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C83DF5" w:rsidTr="00B909F2">
        <w:trPr>
          <w:trHeight w:val="4063"/>
        </w:trPr>
        <w:tc>
          <w:tcPr>
            <w:tcW w:w="5951" w:type="dxa"/>
            <w:tcBorders>
              <w:bottom w:val="single" w:sz="18" w:space="0" w:color="808080"/>
              <w:right w:val="single" w:sz="18" w:space="0" w:color="808080"/>
            </w:tcBorders>
            <w:vAlign w:val="center"/>
          </w:tcPr>
          <w:p w:rsidR="00023FE7" w:rsidRPr="00C83DF5" w:rsidRDefault="00023FE7" w:rsidP="00264812">
            <w:pPr>
              <w:pStyle w:val="Title"/>
              <w:tabs>
                <w:tab w:val="right" w:pos="612"/>
                <w:tab w:val="left" w:pos="675"/>
              </w:tabs>
              <w:ind w:hanging="270"/>
              <w:rPr>
                <w:rFonts w:eastAsia="MS Mincho" w:cs="Tahoma"/>
                <w:b w:val="0"/>
                <w:sz w:val="76"/>
                <w:szCs w:val="76"/>
                <w:lang w:val="de-DE"/>
              </w:rPr>
            </w:pPr>
            <w:bookmarkStart w:id="0" w:name="_Toc336337837"/>
            <w:bookmarkStart w:id="1" w:name="_Toc370982963"/>
            <w:r w:rsidRPr="00C83DF5">
              <w:rPr>
                <w:rFonts w:eastAsia="MS Mincho" w:cs="Tahoma"/>
                <w:b w:val="0"/>
                <w:sz w:val="76"/>
                <w:szCs w:val="76"/>
                <w:lang w:val="de-DE"/>
              </w:rPr>
              <w:t>Microsoft</w:t>
            </w:r>
            <w:r w:rsidRPr="00C83DF5">
              <w:rPr>
                <w:rFonts w:eastAsia="MS Mincho" w:cs="Tahoma"/>
                <w:b w:val="0"/>
                <w:sz w:val="76"/>
                <w:szCs w:val="76"/>
                <w:vertAlign w:val="superscript"/>
                <w:lang w:val="de-DE"/>
              </w:rPr>
              <w:t>®</w:t>
            </w:r>
            <w:bookmarkEnd w:id="0"/>
            <w:bookmarkEnd w:id="1"/>
          </w:p>
          <w:p w:rsidR="00023FE7" w:rsidRPr="00C83DF5" w:rsidRDefault="00023FE7" w:rsidP="005C2227">
            <w:pPr>
              <w:pStyle w:val="NoSpacing1"/>
              <w:ind w:left="317" w:right="632"/>
              <w:jc w:val="right"/>
              <w:rPr>
                <w:rFonts w:ascii="Cambria" w:hAnsi="Cambria" w:cs="Calibri"/>
                <w:sz w:val="76"/>
                <w:szCs w:val="72"/>
              </w:rPr>
            </w:pPr>
            <w:r w:rsidRPr="00C83DF5">
              <w:rPr>
                <w:rFonts w:ascii="Cambria" w:hAnsi="Cambria" w:cs="Calibri"/>
                <w:sz w:val="76"/>
                <w:szCs w:val="72"/>
              </w:rPr>
              <w:t>Produktliste</w:t>
            </w:r>
          </w:p>
        </w:tc>
        <w:tc>
          <w:tcPr>
            <w:tcW w:w="4615" w:type="dxa"/>
            <w:tcBorders>
              <w:left w:val="single" w:sz="18" w:space="0" w:color="808080"/>
              <w:bottom w:val="single" w:sz="18" w:space="0" w:color="808080"/>
            </w:tcBorders>
            <w:vAlign w:val="center"/>
          </w:tcPr>
          <w:p w:rsidR="00023FE7" w:rsidRPr="00C83DF5" w:rsidRDefault="00023FE7">
            <w:pPr>
              <w:pStyle w:val="NoSpacing1"/>
              <w:ind w:right="-1797"/>
              <w:rPr>
                <w:rFonts w:ascii="Tahoma" w:hAnsi="Tahoma" w:cs="Tahoma"/>
                <w:sz w:val="72"/>
                <w:szCs w:val="72"/>
              </w:rPr>
            </w:pPr>
          </w:p>
          <w:p w:rsidR="00023FE7" w:rsidRPr="00C83DF5" w:rsidRDefault="009252D9">
            <w:pPr>
              <w:pStyle w:val="NoSpacing1"/>
              <w:ind w:right="-1797"/>
            </w:pPr>
            <w:r w:rsidRPr="00C83DF5">
              <w:rPr>
                <w:rFonts w:ascii="Tahoma" w:hAnsi="Tahoma" w:cs="Tahoma"/>
                <w:sz w:val="72"/>
                <w:szCs w:val="72"/>
              </w:rPr>
              <w:t>1. November</w:t>
            </w:r>
          </w:p>
          <w:p w:rsidR="00023FE7" w:rsidRPr="00C83DF5" w:rsidRDefault="0077167D" w:rsidP="00A04495">
            <w:pPr>
              <w:pStyle w:val="NoSpacing1"/>
              <w:ind w:rightChars="-103" w:right="-185"/>
              <w:rPr>
                <w:rFonts w:ascii="Tahoma" w:hAnsi="Tahoma" w:cs="Tahoma"/>
                <w:color w:val="4F81BD"/>
                <w:sz w:val="200"/>
                <w:szCs w:val="200"/>
              </w:rPr>
            </w:pPr>
            <w:r w:rsidRPr="00C83DF5">
              <w:rPr>
                <w:rFonts w:ascii="Tahoma" w:hAnsi="Tahoma" w:cs="Tahoma"/>
                <w:color w:val="4F81BD"/>
                <w:sz w:val="180"/>
                <w:szCs w:val="200"/>
              </w:rPr>
              <w:t>2013</w:t>
            </w:r>
          </w:p>
        </w:tc>
      </w:tr>
      <w:tr w:rsidR="00023FE7" w:rsidRPr="004D388E" w:rsidTr="00B909F2">
        <w:trPr>
          <w:trHeight w:val="412"/>
        </w:trPr>
        <w:tc>
          <w:tcPr>
            <w:tcW w:w="5951" w:type="dxa"/>
            <w:tcBorders>
              <w:top w:val="single" w:sz="18" w:space="0" w:color="808080"/>
            </w:tcBorders>
            <w:vAlign w:val="center"/>
          </w:tcPr>
          <w:p w:rsidR="00023FE7" w:rsidRPr="00DC7A55" w:rsidRDefault="00023FE7" w:rsidP="00281082">
            <w:pPr>
              <w:pStyle w:val="NoSpacing1"/>
              <w:ind w:leftChars="122" w:left="220" w:firstLine="2"/>
              <w:rPr>
                <w:rFonts w:ascii="Tahoma" w:hAnsi="Tahoma" w:cs="Tahoma"/>
                <w:lang w:val="de-DE"/>
              </w:rPr>
            </w:pPr>
            <w:r w:rsidRPr="00DC7A55">
              <w:rPr>
                <w:rFonts w:ascii="Tahoma" w:hAnsi="Tahoma" w:cs="Tahoma"/>
                <w:lang w:val="de-DE"/>
              </w:rPr>
              <w:t>Die Microsoft-Produktliste informiert Sie monatlich über Microsoft-Software und -Onlinedienste, die im Rahmen von Microsoft-Volumenlizenzprogrammen lizenziert werden.</w:t>
            </w:r>
          </w:p>
        </w:tc>
        <w:tc>
          <w:tcPr>
            <w:tcW w:w="4615" w:type="dxa"/>
            <w:tcBorders>
              <w:top w:val="single" w:sz="18" w:space="0" w:color="808080"/>
            </w:tcBorders>
            <w:vAlign w:val="center"/>
          </w:tcPr>
          <w:p w:rsidR="00023FE7" w:rsidRPr="00C83DF5" w:rsidRDefault="00023FE7" w:rsidP="00A04495">
            <w:pPr>
              <w:pStyle w:val="NoSpacing1"/>
              <w:ind w:rightChars="-15" w:right="-27"/>
              <w:rPr>
                <w:rFonts w:ascii="Tahoma" w:hAnsi="Tahoma" w:cs="Tahoma"/>
                <w:sz w:val="32"/>
                <w:szCs w:val="32"/>
                <w:lang w:val="de-DE"/>
              </w:rPr>
            </w:pPr>
          </w:p>
        </w:tc>
      </w:tr>
    </w:tbl>
    <w:p w:rsidR="00023FE7" w:rsidRPr="00C83DF5" w:rsidRDefault="00023FE7" w:rsidP="00B0065F">
      <w:pPr>
        <w:pStyle w:val="Heading1"/>
        <w:rPr>
          <w:lang w:val="de-DE"/>
        </w:rPr>
        <w:sectPr w:rsidR="00023FE7" w:rsidRPr="00C83DF5"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C83DF5" w:rsidRDefault="00023FE7" w:rsidP="00B0065F">
      <w:pPr>
        <w:pStyle w:val="Heading1"/>
        <w:rPr>
          <w:lang w:val="de-DE"/>
        </w:rPr>
      </w:pPr>
      <w:bookmarkStart w:id="2" w:name="_Toc336337838"/>
      <w:bookmarkStart w:id="3" w:name="_Toc370982964"/>
      <w:r w:rsidRPr="00C83DF5">
        <w:rPr>
          <w:lang w:val="de-DE"/>
        </w:rPr>
        <w:lastRenderedPageBreak/>
        <w:t>ÜBER DIESES DOKUMENT</w:t>
      </w:r>
      <w:bookmarkEnd w:id="2"/>
      <w:bookmarkEnd w:id="3"/>
    </w:p>
    <w:p w:rsidR="00023FE7" w:rsidRPr="009C7FD5" w:rsidRDefault="00023FE7">
      <w:pPr>
        <w:pStyle w:val="Body"/>
        <w:ind w:right="720"/>
        <w:rPr>
          <w:rFonts w:ascii="Tahoma" w:hAnsi="Tahoma" w:cs="Tahoma"/>
          <w:szCs w:val="20"/>
          <w:lang w:val="de-DE"/>
        </w:rPr>
      </w:pPr>
    </w:p>
    <w:p w:rsidR="00023FE7" w:rsidRPr="009C7FD5" w:rsidRDefault="00023FE7" w:rsidP="007330A8">
      <w:pPr>
        <w:pStyle w:val="Body"/>
        <w:rPr>
          <w:rFonts w:ascii="Tahoma" w:hAnsi="Tahoma" w:cs="Tahoma"/>
          <w:sz w:val="18"/>
          <w:szCs w:val="18"/>
          <w:lang w:val="de-DE"/>
        </w:rPr>
      </w:pPr>
      <w:r w:rsidRPr="009C7FD5">
        <w:rPr>
          <w:rFonts w:ascii="Tahoma" w:hAnsi="Tahoma" w:cs="Tahoma"/>
          <w:sz w:val="18"/>
          <w:szCs w:val="18"/>
          <w:lang w:val="de-DE"/>
        </w:rPr>
        <w:t>Die Microsoft-Produktliste informiert Sie monatlich über Microsoft-Software und -Onlinedienste, die im Rahmen von Microsoft-Volumenlizenzprogrammen lizenziert werden. In der Microsoft-Produktliste wird unter</w:t>
      </w:r>
      <w:r w:rsidR="007330A8" w:rsidRPr="009C7FD5">
        <w:rPr>
          <w:rFonts w:ascii="Tahoma" w:hAnsi="Tahoma" w:cs="Tahoma"/>
          <w:sz w:val="18"/>
          <w:szCs w:val="18"/>
          <w:lang w:val="de-DE"/>
        </w:rPr>
        <w:t> </w:t>
      </w:r>
      <w:r w:rsidRPr="009C7FD5">
        <w:rPr>
          <w:rFonts w:ascii="Tahoma" w:hAnsi="Tahoma" w:cs="Tahoma"/>
          <w:sz w:val="18"/>
          <w:szCs w:val="18"/>
          <w:lang w:val="de-DE"/>
        </w:rPr>
        <w:t>anderem Folgendes beschrieben:</w:t>
      </w:r>
    </w:p>
    <w:p w:rsidR="00023FE7" w:rsidRPr="009C7FD5" w:rsidRDefault="00023FE7" w:rsidP="007330A8">
      <w:pPr>
        <w:pStyle w:val="Body"/>
        <w:rPr>
          <w:rFonts w:ascii="Tahoma" w:hAnsi="Tahoma" w:cs="Tahoma"/>
          <w:sz w:val="18"/>
          <w:szCs w:val="18"/>
          <w:lang w:val="de-DE"/>
        </w:rPr>
      </w:pPr>
    </w:p>
    <w:p w:rsidR="00023FE7" w:rsidRPr="009C7FD5" w:rsidRDefault="00023FE7" w:rsidP="004F7C59">
      <w:pPr>
        <w:pStyle w:val="BulletedList"/>
        <w:rPr>
          <w:rFonts w:ascii="Tahoma" w:hAnsi="Tahoma" w:cs="Tahoma"/>
          <w:sz w:val="18"/>
          <w:szCs w:val="18"/>
          <w:lang w:val="de-DE"/>
        </w:rPr>
      </w:pPr>
      <w:r w:rsidRPr="009C7FD5">
        <w:rPr>
          <w:rFonts w:ascii="Tahoma" w:hAnsi="Tahoma" w:cs="Tahoma"/>
          <w:sz w:val="18"/>
          <w:szCs w:val="18"/>
          <w:lang w:val="de-DE"/>
        </w:rPr>
        <w:t>Verfügbarkeit neuer Software und Produkte, die im Rahmen von Microsoft-Volumenlizenzprogrammen angeboten werden</w:t>
      </w:r>
    </w:p>
    <w:p w:rsidR="00023FE7" w:rsidRPr="009C7FD5" w:rsidRDefault="00023FE7" w:rsidP="004F7C59">
      <w:pPr>
        <w:pStyle w:val="BulletedList"/>
        <w:numPr>
          <w:ilvl w:val="0"/>
          <w:numId w:val="16"/>
        </w:numPr>
        <w:rPr>
          <w:rFonts w:ascii="Tahoma" w:hAnsi="Tahoma" w:cs="Tahoma"/>
          <w:sz w:val="18"/>
          <w:szCs w:val="18"/>
          <w:lang w:val="de-DE"/>
        </w:rPr>
      </w:pPr>
      <w:r w:rsidRPr="009C7FD5">
        <w:rPr>
          <w:rFonts w:ascii="Tahoma" w:hAnsi="Tahoma" w:cs="Tahoma"/>
          <w:sz w:val="18"/>
          <w:szCs w:val="18"/>
          <w:lang w:val="de-DE"/>
        </w:rPr>
        <w:t>Wegfall von Software und Produkten, die im Rahmen von Microsoft-Volumenlizenzprogrammen angeboten wurden</w:t>
      </w:r>
    </w:p>
    <w:p w:rsidR="00023FE7" w:rsidRPr="009C7FD5" w:rsidRDefault="00023FE7" w:rsidP="004F7C59">
      <w:pPr>
        <w:pStyle w:val="BulletedList"/>
        <w:numPr>
          <w:ilvl w:val="0"/>
          <w:numId w:val="16"/>
        </w:numPr>
        <w:rPr>
          <w:rFonts w:ascii="Tahoma" w:hAnsi="Tahoma" w:cs="Tahoma"/>
          <w:sz w:val="18"/>
          <w:szCs w:val="18"/>
          <w:lang w:val="de-DE"/>
        </w:rPr>
      </w:pPr>
      <w:r w:rsidRPr="009C7FD5">
        <w:rPr>
          <w:rFonts w:ascii="Tahoma" w:hAnsi="Tahoma" w:cs="Tahoma"/>
          <w:sz w:val="18"/>
          <w:szCs w:val="18"/>
          <w:lang w:val="de-DE"/>
        </w:rPr>
        <w:t>Software- und Produktzuordnungen in Bezug auf den Micr</w:t>
      </w:r>
      <w:r w:rsidR="00A86B21" w:rsidRPr="009C7FD5">
        <w:rPr>
          <w:rFonts w:ascii="Tahoma" w:hAnsi="Tahoma" w:cs="Tahoma"/>
          <w:sz w:val="18"/>
          <w:szCs w:val="18"/>
          <w:lang w:val="de-DE"/>
        </w:rPr>
        <w:t>osoft-Volumenlizenz-Produktpool</w:t>
      </w:r>
    </w:p>
    <w:p w:rsidR="00023FE7" w:rsidRPr="009C7FD5" w:rsidRDefault="00023FE7" w:rsidP="004F7C59">
      <w:pPr>
        <w:pStyle w:val="BulletedList"/>
        <w:numPr>
          <w:ilvl w:val="0"/>
          <w:numId w:val="16"/>
        </w:numPr>
        <w:rPr>
          <w:rFonts w:ascii="Tahoma" w:hAnsi="Tahoma" w:cs="Tahoma"/>
          <w:sz w:val="18"/>
          <w:szCs w:val="18"/>
          <w:lang w:val="de-DE"/>
        </w:rPr>
      </w:pPr>
      <w:r w:rsidRPr="009C7FD5">
        <w:rPr>
          <w:rFonts w:ascii="Tahoma" w:hAnsi="Tahoma" w:cs="Tahoma"/>
          <w:sz w:val="18"/>
          <w:szCs w:val="18"/>
          <w:lang w:val="de-DE"/>
        </w:rPr>
        <w:t>Die Punktwerte für die einzelnen Software- und Produkttechnologien</w:t>
      </w:r>
    </w:p>
    <w:p w:rsidR="00023FE7" w:rsidRPr="009C7FD5" w:rsidRDefault="00023FE7" w:rsidP="004F7C59">
      <w:pPr>
        <w:pStyle w:val="BulletedList"/>
        <w:numPr>
          <w:ilvl w:val="0"/>
          <w:numId w:val="16"/>
        </w:numPr>
        <w:rPr>
          <w:rFonts w:ascii="Tahoma" w:hAnsi="Tahoma" w:cs="Tahoma"/>
          <w:sz w:val="18"/>
          <w:szCs w:val="18"/>
        </w:rPr>
      </w:pPr>
      <w:r w:rsidRPr="009C7FD5">
        <w:rPr>
          <w:rFonts w:ascii="Tahoma" w:hAnsi="Tahoma" w:cs="Tahoma"/>
          <w:sz w:val="18"/>
          <w:szCs w:val="18"/>
        </w:rPr>
        <w:t>Verfügbare Promotions</w:t>
      </w:r>
    </w:p>
    <w:p w:rsidR="00023FE7" w:rsidRPr="009C7FD5" w:rsidRDefault="00023FE7" w:rsidP="004F7C59">
      <w:pPr>
        <w:pStyle w:val="BulletedList"/>
        <w:numPr>
          <w:ilvl w:val="0"/>
          <w:numId w:val="16"/>
        </w:numPr>
        <w:rPr>
          <w:rFonts w:ascii="Tahoma" w:hAnsi="Tahoma" w:cs="Tahoma"/>
          <w:sz w:val="18"/>
          <w:szCs w:val="18"/>
          <w:lang w:val="de-DE"/>
        </w:rPr>
      </w:pPr>
      <w:r w:rsidRPr="009C7FD5">
        <w:rPr>
          <w:rFonts w:ascii="Tahoma" w:hAnsi="Tahoma" w:cs="Tahoma"/>
          <w:sz w:val="18"/>
          <w:szCs w:val="18"/>
          <w:lang w:val="de-DE"/>
        </w:rPr>
        <w:t>Migrationspfade von einer Softwareversion auf eine andere Version derselben Software</w:t>
      </w:r>
    </w:p>
    <w:p w:rsidR="00023FE7" w:rsidRPr="009C7FD5" w:rsidRDefault="00023FE7" w:rsidP="004F7C59">
      <w:pPr>
        <w:pStyle w:val="BulletedList"/>
        <w:numPr>
          <w:ilvl w:val="0"/>
          <w:numId w:val="16"/>
        </w:numPr>
        <w:rPr>
          <w:rFonts w:ascii="Tahoma" w:hAnsi="Tahoma" w:cs="Tahoma"/>
          <w:sz w:val="18"/>
          <w:szCs w:val="18"/>
          <w:lang w:val="de-DE"/>
        </w:rPr>
      </w:pPr>
      <w:r w:rsidRPr="009C7FD5">
        <w:rPr>
          <w:rFonts w:ascii="Tahoma" w:hAnsi="Tahoma" w:cs="Tahoma"/>
          <w:sz w:val="18"/>
          <w:szCs w:val="18"/>
          <w:lang w:val="de-DE"/>
        </w:rPr>
        <w:t>Migrationspfade von einer nicht mehr angebotenen Software auf neue Softwareversionen</w:t>
      </w:r>
    </w:p>
    <w:p w:rsidR="00023FE7" w:rsidRPr="009C7FD5" w:rsidRDefault="00023FE7" w:rsidP="004F7C59">
      <w:pPr>
        <w:pStyle w:val="BulletedList"/>
        <w:numPr>
          <w:ilvl w:val="0"/>
          <w:numId w:val="16"/>
        </w:numPr>
        <w:rPr>
          <w:rFonts w:ascii="Tahoma" w:hAnsi="Tahoma" w:cs="Tahoma"/>
          <w:sz w:val="18"/>
          <w:szCs w:val="18"/>
        </w:rPr>
      </w:pPr>
      <w:r w:rsidRPr="009C7FD5">
        <w:rPr>
          <w:rFonts w:ascii="Tahoma" w:hAnsi="Tahoma" w:cs="Tahoma"/>
          <w:sz w:val="18"/>
          <w:szCs w:val="18"/>
        </w:rPr>
        <w:t>Software Assurance-Vergünstigungen</w:t>
      </w:r>
    </w:p>
    <w:p w:rsidR="00023FE7" w:rsidRPr="009C7FD5" w:rsidRDefault="00023FE7" w:rsidP="004F7C59">
      <w:pPr>
        <w:pStyle w:val="BulletedList"/>
        <w:numPr>
          <w:ilvl w:val="0"/>
          <w:numId w:val="16"/>
        </w:numPr>
        <w:rPr>
          <w:rFonts w:ascii="Tahoma" w:hAnsi="Tahoma" w:cs="Tahoma"/>
          <w:sz w:val="18"/>
          <w:szCs w:val="18"/>
          <w:lang w:val="de-DE"/>
        </w:rPr>
      </w:pPr>
      <w:r w:rsidRPr="009C7FD5">
        <w:rPr>
          <w:rFonts w:ascii="Tahoma" w:hAnsi="Tahoma" w:cs="Tahoma"/>
          <w:sz w:val="18"/>
          <w:szCs w:val="18"/>
          <w:lang w:val="de-DE"/>
        </w:rPr>
        <w:t>Sonstige spezifische Hinweise und Informationen zu Software und Produkten</w:t>
      </w:r>
    </w:p>
    <w:p w:rsidR="00023FE7" w:rsidRPr="00C83DF5" w:rsidRDefault="00023FE7">
      <w:pPr>
        <w:ind w:right="720"/>
        <w:rPr>
          <w:rFonts w:cs="Tahoma"/>
          <w:lang w:val="de-DE"/>
        </w:rPr>
      </w:pPr>
    </w:p>
    <w:p w:rsidR="00023FE7" w:rsidRPr="00C83DF5" w:rsidRDefault="00023FE7">
      <w:pPr>
        <w:ind w:right="720"/>
        <w:rPr>
          <w:rFonts w:cs="Tahoma"/>
          <w:lang w:val="de-DE"/>
        </w:rPr>
      </w:pPr>
    </w:p>
    <w:p w:rsidR="00023FE7" w:rsidRPr="00C83DF5" w:rsidRDefault="00023FE7" w:rsidP="00B0065F">
      <w:pPr>
        <w:pStyle w:val="Heading1"/>
        <w:rPr>
          <w:lang w:val="de-DE"/>
        </w:rPr>
      </w:pPr>
      <w:bookmarkStart w:id="4" w:name="_Toc336337839"/>
      <w:bookmarkStart w:id="5" w:name="_Toc370982965"/>
      <w:r w:rsidRPr="00C83DF5">
        <w:rPr>
          <w:lang w:val="de-DE"/>
        </w:rPr>
        <w:t>VERWENDUNG dER Microsoft-ProduktLISTe</w:t>
      </w:r>
      <w:bookmarkEnd w:id="4"/>
      <w:bookmarkEnd w:id="5"/>
    </w:p>
    <w:p w:rsidR="00023FE7" w:rsidRPr="00C83DF5" w:rsidRDefault="00023FE7">
      <w:pPr>
        <w:pStyle w:val="Body"/>
        <w:ind w:right="-1890"/>
        <w:rPr>
          <w:rFonts w:ascii="Tahoma" w:hAnsi="Tahoma" w:cs="Tahoma"/>
          <w:b/>
          <w:lang w:val="de-DE"/>
        </w:rPr>
      </w:pPr>
    </w:p>
    <w:p w:rsidR="00023FE7" w:rsidRPr="00C83DF5" w:rsidRDefault="00023FE7" w:rsidP="00FF0515">
      <w:pPr>
        <w:pStyle w:val="Body"/>
        <w:rPr>
          <w:rFonts w:ascii="Tahoma" w:hAnsi="Tahoma" w:cs="Tahoma"/>
          <w:b/>
          <w:lang w:val="de-DE"/>
        </w:rPr>
      </w:pPr>
      <w:r w:rsidRPr="00C83DF5">
        <w:rPr>
          <w:rFonts w:ascii="Tahoma" w:hAnsi="Tahoma" w:cs="Tahoma"/>
          <w:b/>
          <w:lang w:val="de-DE"/>
        </w:rPr>
        <w:t>Bitte machen Sie sich mit der Tabellenlegende vertraut, die im Anschluss an die nachfolgend genannten Schritte zu finden ist.</w:t>
      </w:r>
    </w:p>
    <w:p w:rsidR="00023FE7" w:rsidRPr="00C83DF5" w:rsidRDefault="00023FE7">
      <w:pPr>
        <w:pStyle w:val="Body"/>
        <w:ind w:right="-1890"/>
        <w:rPr>
          <w:rStyle w:val="BodyChar"/>
          <w:rFonts w:ascii="Tahoma" w:hAnsi="Tahoma" w:cs="Tahoma"/>
          <w:b/>
          <w:sz w:val="20"/>
          <w:lang w:val="de-DE"/>
        </w:rPr>
      </w:pPr>
    </w:p>
    <w:p w:rsidR="00023FE7" w:rsidRPr="00C83DF5" w:rsidRDefault="00023FE7">
      <w:pPr>
        <w:pStyle w:val="Body"/>
        <w:ind w:right="-1890"/>
        <w:rPr>
          <w:rStyle w:val="BodyChar"/>
          <w:rFonts w:ascii="Tahoma" w:hAnsi="Tahoma" w:cs="Tahoma"/>
          <w:bCs/>
          <w:sz w:val="18"/>
          <w:szCs w:val="18"/>
          <w:lang w:val="de-DE"/>
        </w:rPr>
      </w:pPr>
      <w:r w:rsidRPr="00C83DF5">
        <w:rPr>
          <w:rStyle w:val="BodyChar"/>
          <w:rFonts w:ascii="Tahoma" w:hAnsi="Tahoma" w:cs="Tahoma"/>
          <w:b/>
          <w:sz w:val="18"/>
          <w:szCs w:val="18"/>
          <w:lang w:val="de-DE"/>
        </w:rPr>
        <w:t>Schritt 1:</w:t>
      </w:r>
      <w:r w:rsidR="00E71F46" w:rsidRPr="00C83DF5">
        <w:rPr>
          <w:rStyle w:val="BodyChar"/>
          <w:rFonts w:ascii="Tahoma" w:hAnsi="Tahoma" w:cs="Tahoma"/>
          <w:b/>
          <w:sz w:val="18"/>
          <w:szCs w:val="18"/>
          <w:lang w:val="de-DE"/>
        </w:rPr>
        <w:t xml:space="preserve"> </w:t>
      </w:r>
      <w:r w:rsidRPr="00C83DF5">
        <w:rPr>
          <w:rStyle w:val="BodyChar"/>
          <w:rFonts w:ascii="Tahoma" w:hAnsi="Tahoma" w:cs="Tahoma"/>
          <w:bCs/>
          <w:sz w:val="18"/>
          <w:szCs w:val="18"/>
          <w:lang w:val="de-DE"/>
        </w:rPr>
        <w:t xml:space="preserve">Suchen Sie die infrage kommende Software in der Tabelle. </w:t>
      </w:r>
    </w:p>
    <w:p w:rsidR="00023FE7" w:rsidRPr="00C83DF5" w:rsidRDefault="00023FE7">
      <w:pPr>
        <w:pStyle w:val="Body"/>
        <w:ind w:right="-1890"/>
        <w:rPr>
          <w:rFonts w:ascii="Tahoma" w:hAnsi="Tahoma" w:cs="Tahoma"/>
          <w:sz w:val="18"/>
          <w:szCs w:val="18"/>
          <w:lang w:val="de-DE"/>
        </w:rPr>
      </w:pPr>
    </w:p>
    <w:p w:rsidR="00023FE7" w:rsidRPr="00C83DF5" w:rsidRDefault="00B525B3" w:rsidP="00C02029">
      <w:pPr>
        <w:pStyle w:val="NumberedSteps"/>
        <w:ind w:left="0" w:right="720"/>
      </w:pPr>
      <w:r>
        <w:rPr>
          <w:noProof/>
        </w:rPr>
        <mc:AlternateContent>
          <mc:Choice Requires="wps">
            <w:drawing>
              <wp:anchor distT="0" distB="0" distL="114300" distR="114300" simplePos="0" relativeHeight="251659776" behindDoc="0" locked="0" layoutInCell="1" allowOverlap="1">
                <wp:simplePos x="0" y="0"/>
                <wp:positionH relativeFrom="column">
                  <wp:posOffset>-99060</wp:posOffset>
                </wp:positionH>
                <wp:positionV relativeFrom="paragraph">
                  <wp:posOffset>2074545</wp:posOffset>
                </wp:positionV>
                <wp:extent cx="1688465" cy="212725"/>
                <wp:effectExtent l="15240" t="17145" r="10795" b="17780"/>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8465" cy="212725"/>
                        </a:xfrm>
                        <a:prstGeom prst="ellipse">
                          <a:avLst/>
                        </a:prstGeom>
                        <a:noFill/>
                        <a:ln w="19050">
                          <a:solidFill>
                            <a:srgbClr val="FF0000"/>
                          </a:solidFill>
                          <a:round/>
                          <a:headEnd/>
                          <a:tailEnd/>
                        </a:ln>
                        <a:extLst>
                          <a:ext uri="{909E8E84-426E-40DD-AFC4-6F175D3DCCD1}">
                            <a14:hiddenFill xmlns:a14="http://schemas.microsoft.com/office/drawing/2010/main">
                              <a:solidFill>
                                <a:schemeClr val="bg1">
                                  <a:lumMod val="100000"/>
                                  <a:lumOff val="0"/>
                                </a:schemeClr>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EC3CF3" id="Oval 7" o:spid="_x0000_s1026" style="position:absolute;margin-left:-7.8pt;margin-top:163.35pt;width:132.95pt;height:16.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" filled="f" fillcolor="white [3212]" strokecolor="red" strokeweight="1.5pt">
                <v:textbox inset="5.85pt,.7pt,5.85pt,.7pt"/>
              </v:oval>
            </w:pict>
          </mc:Fallback>
        </mc:AlternateContent>
      </w:r>
      <w:r w:rsidR="008223FC">
        <w:rPr>
          <w:noProof/>
        </w:rPr>
        <w:drawing>
          <wp:inline distT="0" distB="0" distL="0" distR="0" wp14:anchorId="0D7ABD7A" wp14:editId="38C3A47F">
            <wp:extent cx="5623560" cy="278892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4188" r="12660" b="16667"/>
                    <a:stretch/>
                  </pic:blipFill>
                  <pic:spPr bwMode="auto">
                    <a:xfrm>
                      <a:off x="0" y="0"/>
                      <a:ext cx="5623560" cy="278892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C83DF5" w:rsidRDefault="00023FE7">
      <w:pPr>
        <w:pStyle w:val="NumberedSteps"/>
        <w:ind w:right="720"/>
        <w:rPr>
          <w:rStyle w:val="BodyChar"/>
          <w:rFonts w:ascii="Tahoma" w:hAnsi="Tahoma" w:cs="Tahoma"/>
          <w:b/>
          <w:sz w:val="18"/>
          <w:szCs w:val="18"/>
        </w:rPr>
      </w:pPr>
    </w:p>
    <w:p w:rsidR="00023FE7" w:rsidRPr="00C83DF5" w:rsidRDefault="00023FE7" w:rsidP="00C02029">
      <w:pPr>
        <w:pStyle w:val="NumberedSteps"/>
        <w:rPr>
          <w:lang w:val="de-DE"/>
        </w:rPr>
      </w:pPr>
      <w:r w:rsidRPr="00C83DF5">
        <w:rPr>
          <w:rStyle w:val="BodyChar"/>
          <w:rFonts w:ascii="Tahoma" w:hAnsi="Tahoma" w:cs="Tahoma"/>
          <w:b/>
          <w:sz w:val="18"/>
          <w:szCs w:val="18"/>
          <w:lang w:val="de-DE"/>
        </w:rPr>
        <w:t>Schritt 2:</w:t>
      </w:r>
      <w:r w:rsidR="00E71F46" w:rsidRPr="00C83DF5">
        <w:rPr>
          <w:rFonts w:ascii="Tahoma" w:hAnsi="Tahoma" w:cs="Tahoma"/>
          <w:sz w:val="18"/>
          <w:szCs w:val="18"/>
          <w:lang w:val="de-DE"/>
        </w:rPr>
        <w:t xml:space="preserve"> </w:t>
      </w:r>
      <w:r w:rsidRPr="00C83DF5">
        <w:rPr>
          <w:rFonts w:ascii="Tahoma" w:hAnsi="Tahoma" w:cs="Tahoma"/>
          <w:sz w:val="18"/>
          <w:szCs w:val="18"/>
          <w:lang w:val="de-DE"/>
        </w:rPr>
        <w:t>Informieren Sie sich in den zugehörigen Spalten über verfügbare Promotions, Software</w:t>
      </w:r>
      <w:r w:rsidR="00C02029">
        <w:rPr>
          <w:rFonts w:ascii="Tahoma" w:hAnsi="Tahoma" w:cs="Tahoma"/>
          <w:sz w:val="18"/>
          <w:szCs w:val="18"/>
          <w:lang w:val="de-DE"/>
        </w:rPr>
        <w:t> </w:t>
      </w:r>
      <w:r w:rsidRPr="00C83DF5">
        <w:rPr>
          <w:rFonts w:ascii="Tahoma" w:hAnsi="Tahoma" w:cs="Tahoma"/>
          <w:sz w:val="18"/>
          <w:szCs w:val="18"/>
          <w:lang w:val="de-DE"/>
        </w:rPr>
        <w:t>Assurance-Vergünstigungen, Punktzahlen, Programmverfügbarkeit usw.</w:t>
      </w:r>
    </w:p>
    <w:p w:rsidR="00023FE7" w:rsidRPr="00C83DF5" w:rsidRDefault="00023FE7" w:rsidP="001F7B56">
      <w:pPr>
        <w:pStyle w:val="NumberedSteps"/>
        <w:spacing w:after="0"/>
        <w:rPr>
          <w:lang w:val="de-DE"/>
        </w:rPr>
      </w:pPr>
      <w:r w:rsidRPr="00C83DF5">
        <w:rPr>
          <w:rStyle w:val="BodyChar"/>
          <w:rFonts w:ascii="Tahoma" w:hAnsi="Tahoma" w:cs="Tahoma"/>
          <w:b/>
          <w:sz w:val="18"/>
          <w:szCs w:val="18"/>
          <w:lang w:val="de-DE"/>
        </w:rPr>
        <w:lastRenderedPageBreak/>
        <w:t>Schritt 3:</w:t>
      </w:r>
      <w:r w:rsidR="00E71F46" w:rsidRPr="00C83DF5">
        <w:rPr>
          <w:rFonts w:ascii="Tahoma" w:hAnsi="Tahoma" w:cs="Tahoma"/>
          <w:sz w:val="18"/>
          <w:szCs w:val="18"/>
          <w:lang w:val="de-DE"/>
        </w:rPr>
        <w:t xml:space="preserve"> </w:t>
      </w:r>
      <w:r w:rsidRPr="00C83DF5">
        <w:rPr>
          <w:rFonts w:ascii="Tahoma" w:hAnsi="Tahoma" w:cs="Tahoma"/>
          <w:sz w:val="18"/>
          <w:szCs w:val="18"/>
          <w:lang w:val="de-DE"/>
        </w:rPr>
        <w:t>Einige Softwareprodukte sind darüber hinaus mit Fußnoten versehen, die weitere Informationen</w:t>
      </w:r>
      <w:r w:rsidR="00872F44" w:rsidRPr="00C83DF5">
        <w:rPr>
          <w:rFonts w:ascii="Tahoma" w:hAnsi="Tahoma" w:cs="Tahoma"/>
          <w:sz w:val="18"/>
          <w:szCs w:val="18"/>
          <w:lang w:val="de-DE"/>
        </w:rPr>
        <w:t> </w:t>
      </w:r>
      <w:r w:rsidRPr="00C83DF5">
        <w:rPr>
          <w:rFonts w:ascii="Tahoma" w:hAnsi="Tahoma" w:cs="Tahoma"/>
          <w:sz w:val="18"/>
          <w:szCs w:val="18"/>
          <w:lang w:val="de-DE"/>
        </w:rPr>
        <w:t>enthalten. Wenn Sie auf die Fußnotennummer (sofern vorhanden) „klicken</w:t>
      </w:r>
      <w:r w:rsidR="00E71F46" w:rsidRPr="00C83DF5">
        <w:rPr>
          <w:rFonts w:ascii="Tahoma" w:hAnsi="Tahoma" w:cs="Tahoma"/>
          <w:sz w:val="18"/>
          <w:szCs w:val="18"/>
          <w:lang w:val="de-DE"/>
        </w:rPr>
        <w:t>“</w:t>
      </w:r>
      <w:r w:rsidRPr="00C83DF5">
        <w:rPr>
          <w:rFonts w:ascii="Tahoma" w:hAnsi="Tahoma" w:cs="Tahoma"/>
          <w:sz w:val="18"/>
          <w:szCs w:val="18"/>
          <w:lang w:val="de-DE"/>
        </w:rPr>
        <w:t xml:space="preserve"> (Strg + Klick), gelangen Sie direkt zu dem entsprechenden Text. Alternativ können Sie die angegebene Fußnote auf den</w:t>
      </w:r>
      <w:r w:rsidR="00872F44" w:rsidRPr="00C83DF5">
        <w:rPr>
          <w:rFonts w:ascii="Tahoma" w:hAnsi="Tahoma" w:cs="Tahoma"/>
          <w:sz w:val="18"/>
          <w:szCs w:val="18"/>
          <w:lang w:val="de-DE"/>
        </w:rPr>
        <w:t> </w:t>
      </w:r>
      <w:r w:rsidRPr="00C83DF5">
        <w:rPr>
          <w:rFonts w:ascii="Tahoma" w:hAnsi="Tahoma" w:cs="Tahoma"/>
          <w:sz w:val="18"/>
          <w:szCs w:val="18"/>
          <w:lang w:val="de-DE"/>
        </w:rPr>
        <w:t>Seiten im Anschluss an die Tabelle nachschlagen und dort die zusätzlichen Informationen lesen. Die</w:t>
      </w:r>
      <w:r w:rsidR="00872F44" w:rsidRPr="00C83DF5">
        <w:rPr>
          <w:rFonts w:ascii="Tahoma" w:hAnsi="Tahoma" w:cs="Tahoma"/>
          <w:sz w:val="18"/>
          <w:szCs w:val="18"/>
          <w:lang w:val="de-DE"/>
        </w:rPr>
        <w:t> </w:t>
      </w:r>
      <w:r w:rsidRPr="00C83DF5">
        <w:rPr>
          <w:rFonts w:ascii="Tahoma" w:hAnsi="Tahoma" w:cs="Tahoma"/>
          <w:sz w:val="18"/>
          <w:szCs w:val="18"/>
          <w:lang w:val="de-DE"/>
        </w:rPr>
        <w:t>zusätzlichen Informationen enthalten Einzelheiten bezüglich Migrationsangeboten oder Berechtigungskriterien, wie im folgenden Beispiel dargestellt.</w:t>
      </w:r>
    </w:p>
    <w:p w:rsidR="000E5145" w:rsidRPr="00C83DF5" w:rsidRDefault="000E5145" w:rsidP="001F7B56">
      <w:pPr>
        <w:pStyle w:val="NumberedSteps"/>
        <w:spacing w:before="0" w:after="0"/>
        <w:ind w:right="720"/>
        <w:rPr>
          <w:lang w:val="de-DE"/>
        </w:rPr>
      </w:pPr>
    </w:p>
    <w:p w:rsidR="00023FE7" w:rsidRPr="00C83DF5" w:rsidRDefault="00B525B3">
      <w:pPr>
        <w:pStyle w:val="NumberedSteps"/>
        <w:tabs>
          <w:tab w:val="left" w:pos="9360"/>
        </w:tabs>
        <w:ind w:right="720"/>
      </w:pPr>
      <w:r>
        <w:rPr>
          <w:noProof/>
        </w:rPr>
        <mc:AlternateContent>
          <mc:Choice Requires="wps">
            <w:drawing>
              <wp:anchor distT="0" distB="0" distL="114300" distR="114300" simplePos="0" relativeHeight="251661824" behindDoc="0" locked="0" layoutInCell="1" allowOverlap="1">
                <wp:simplePos x="0" y="0"/>
                <wp:positionH relativeFrom="column">
                  <wp:posOffset>1895475</wp:posOffset>
                </wp:positionH>
                <wp:positionV relativeFrom="paragraph">
                  <wp:posOffset>2165350</wp:posOffset>
                </wp:positionV>
                <wp:extent cx="238125" cy="212725"/>
                <wp:effectExtent l="9525" t="12700" r="9525" b="12700"/>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12725"/>
                        </a:xfrm>
                        <a:prstGeom prst="ellipse">
                          <a:avLst/>
                        </a:prstGeom>
                        <a:noFill/>
                        <a:ln w="19050">
                          <a:solidFill>
                            <a:srgbClr val="FF0000"/>
                          </a:solidFill>
                          <a:round/>
                          <a:headEnd/>
                          <a:tailEnd/>
                        </a:ln>
                        <a:extLst>
                          <a:ext uri="{909E8E84-426E-40DD-AFC4-6F175D3DCCD1}">
                            <a14:hiddenFill xmlns:a14="http://schemas.microsoft.com/office/drawing/2010/main">
                              <a:solidFill>
                                <a:schemeClr val="bg1">
                                  <a:lumMod val="100000"/>
                                  <a:lumOff val="0"/>
                                </a:schemeClr>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81FDEA" id="Oval 9" o:spid="_x0000_s1026" style="position:absolute;margin-left:149.25pt;margin-top:170.5pt;width:18.75pt;height:16.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" filled="f" fillcolor="white [3212]" strokecolor="red" strokeweight="1.5pt">
                <v:textbox inset="5.85pt,.7pt,5.85pt,.7pt"/>
              </v:oval>
            </w:pict>
          </mc:Fallback>
        </mc:AlternateContent>
      </w:r>
      <w:r>
        <w:rPr>
          <w:noProof/>
        </w:rPr>
        <mc:AlternateContent>
          <mc:Choice Requires="wps">
            <w:drawing>
              <wp:anchor distT="0" distB="0" distL="114300" distR="114300" simplePos="0" relativeHeight="251660800" behindDoc="0" locked="0" layoutInCell="1" allowOverlap="1">
                <wp:simplePos x="0" y="0"/>
                <wp:positionH relativeFrom="column">
                  <wp:posOffset>431165</wp:posOffset>
                </wp:positionH>
                <wp:positionV relativeFrom="paragraph">
                  <wp:posOffset>2155825</wp:posOffset>
                </wp:positionV>
                <wp:extent cx="864235" cy="212725"/>
                <wp:effectExtent l="12065" t="12700" r="9525" b="12700"/>
                <wp:wrapNone/>
                <wp:docPr id="109"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4235" cy="212725"/>
                        </a:xfrm>
                        <a:prstGeom prst="ellipse">
                          <a:avLst/>
                        </a:prstGeom>
                        <a:noFill/>
                        <a:ln w="19050">
                          <a:solidFill>
                            <a:srgbClr val="FF0000"/>
                          </a:solidFill>
                          <a:round/>
                          <a:headEnd/>
                          <a:tailEnd/>
                        </a:ln>
                        <a:extLst>
                          <a:ext uri="{909E8E84-426E-40DD-AFC4-6F175D3DCCD1}">
                            <a14:hiddenFill xmlns:a14="http://schemas.microsoft.com/office/drawing/2010/main">
                              <a:solidFill>
                                <a:schemeClr val="bg1">
                                  <a:lumMod val="100000"/>
                                  <a:lumOff val="0"/>
                                </a:schemeClr>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EB48176" id="Oval 8" o:spid="_x0000_s1026" style="position:absolute;margin-left:33.95pt;margin-top:169.75pt;width:68.05pt;height:16.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" filled="f" fillcolor="white [3212]" strokecolor="red" strokeweight="1.5pt">
                <v:textbox inset="5.85pt,.7pt,5.85pt,.7pt"/>
              </v:oval>
            </w:pict>
          </mc:Fallback>
        </mc:AlternateContent>
      </w:r>
      <w:r w:rsidR="008223FC">
        <w:rPr>
          <w:noProof/>
        </w:rPr>
        <w:drawing>
          <wp:inline distT="0" distB="0" distL="0" distR="0" wp14:anchorId="326C10AB" wp14:editId="76C82F22">
            <wp:extent cx="2148840" cy="2907792"/>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4188" r="59135" b="16667"/>
                    <a:stretch/>
                  </pic:blipFill>
                  <pic:spPr bwMode="auto">
                    <a:xfrm>
                      <a:off x="0" y="0"/>
                      <a:ext cx="2148840" cy="290779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C83DF5" w:rsidRDefault="0013361B" w:rsidP="001F7B56">
      <w:pPr>
        <w:pStyle w:val="NumberedSteps"/>
        <w:tabs>
          <w:tab w:val="left" w:pos="9360"/>
        </w:tabs>
        <w:spacing w:after="0"/>
        <w:ind w:right="720"/>
        <w:rPr>
          <w:rStyle w:val="BodyChar"/>
          <w:rFonts w:ascii="Tahoma" w:hAnsi="Tahoma" w:cs="Tahoma"/>
          <w:b/>
          <w:sz w:val="18"/>
          <w:szCs w:val="18"/>
        </w:rPr>
      </w:pPr>
    </w:p>
    <w:p w:rsidR="00023FE7" w:rsidRPr="00C83DF5" w:rsidRDefault="004D388E" w:rsidP="001F7B56">
      <w:pPr>
        <w:pStyle w:val="NumberedSteps"/>
        <w:spacing w:before="0" w:after="0"/>
        <w:ind w:right="720"/>
        <w:rPr>
          <w:rStyle w:val="BodyChar"/>
          <w:rFonts w:ascii="Tahoma" w:hAnsi="Tahoma" w:cs="Tahoma"/>
          <w:b/>
          <w:sz w:val="18"/>
          <w:szCs w:val="18"/>
        </w:rPr>
      </w:pPr>
      <w:r>
        <w:rPr>
          <w:noProof/>
        </w:rPr>
        <w:drawing>
          <wp:inline distT="0" distB="0" distL="0" distR="0" wp14:anchorId="433D9EE6" wp14:editId="2E05B200">
            <wp:extent cx="5183717" cy="1181100"/>
            <wp:effectExtent l="19050" t="19050" r="17145" b="1905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9688" t="32716" r="29166" b="50617"/>
                    <a:stretch/>
                  </pic:blipFill>
                  <pic:spPr bwMode="auto">
                    <a:xfrm>
                      <a:off x="0" y="0"/>
                      <a:ext cx="5183717" cy="118110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13361B" w:rsidRPr="00C83DF5" w:rsidRDefault="0013361B" w:rsidP="001F7B56">
      <w:pPr>
        <w:pStyle w:val="NumberedSteps"/>
        <w:spacing w:before="0" w:after="0"/>
        <w:ind w:right="720"/>
        <w:rPr>
          <w:rStyle w:val="BodyChar"/>
          <w:rFonts w:ascii="Tahoma" w:hAnsi="Tahoma" w:cs="Tahoma"/>
          <w:b/>
          <w:sz w:val="18"/>
          <w:szCs w:val="18"/>
        </w:rPr>
      </w:pPr>
    </w:p>
    <w:p w:rsidR="00023FE7" w:rsidRPr="00C83DF5" w:rsidRDefault="00023FE7" w:rsidP="00F47150">
      <w:pPr>
        <w:pStyle w:val="NumberedSteps"/>
        <w:rPr>
          <w:lang w:val="de-DE"/>
        </w:rPr>
      </w:pPr>
      <w:r w:rsidRPr="00C83DF5">
        <w:rPr>
          <w:rStyle w:val="BodyChar"/>
          <w:rFonts w:ascii="Tahoma" w:hAnsi="Tahoma" w:cs="Tahoma"/>
          <w:b/>
          <w:sz w:val="18"/>
          <w:szCs w:val="18"/>
          <w:lang w:val="de-DE"/>
        </w:rPr>
        <w:t>Schritt 4:</w:t>
      </w:r>
      <w:r w:rsidR="00E71F46" w:rsidRPr="00C83DF5">
        <w:rPr>
          <w:rStyle w:val="BodyChar"/>
          <w:rFonts w:ascii="Tahoma" w:hAnsi="Tahoma" w:cs="Tahoma"/>
          <w:bCs w:val="0"/>
          <w:sz w:val="18"/>
          <w:szCs w:val="18"/>
          <w:lang w:val="de-DE"/>
        </w:rPr>
        <w:t xml:space="preserve"> </w:t>
      </w:r>
      <w:r w:rsidRPr="00C83DF5">
        <w:rPr>
          <w:rFonts w:ascii="Tahoma" w:hAnsi="Tahoma" w:cs="Tahoma"/>
          <w:sz w:val="18"/>
          <w:szCs w:val="18"/>
          <w:lang w:val="de-DE"/>
        </w:rPr>
        <w:t>Weitere Informationen über Software Assurance-Vergünstigungen sowie den Erwerb und die Verlängerung von Software Assurance finden Sie in den Anhängen 5 und 6.</w:t>
      </w:r>
    </w:p>
    <w:p w:rsidR="00023FE7" w:rsidRPr="00C83DF5" w:rsidRDefault="00023FE7" w:rsidP="00F47150">
      <w:pPr>
        <w:pStyle w:val="Body"/>
        <w:rPr>
          <w:lang w:val="de-DE"/>
        </w:rPr>
      </w:pPr>
      <w:r w:rsidRPr="00C83DF5">
        <w:rPr>
          <w:rFonts w:ascii="Tahoma" w:hAnsi="Tahoma" w:cs="Tahoma"/>
          <w:b/>
          <w:sz w:val="18"/>
          <w:szCs w:val="18"/>
          <w:lang w:val="de-DE"/>
        </w:rPr>
        <w:t>Anmerkung:</w:t>
      </w:r>
      <w:r w:rsidR="00E71F46" w:rsidRPr="00C83DF5">
        <w:rPr>
          <w:rFonts w:ascii="Tahoma" w:hAnsi="Tahoma" w:cs="Tahoma"/>
          <w:sz w:val="18"/>
          <w:szCs w:val="18"/>
          <w:lang w:val="de-DE"/>
        </w:rPr>
        <w:t xml:space="preserve"> </w:t>
      </w:r>
      <w:r w:rsidRPr="00C83DF5">
        <w:rPr>
          <w:rFonts w:ascii="Tahoma" w:hAnsi="Tahoma" w:cs="Tahoma"/>
          <w:sz w:val="18"/>
          <w:szCs w:val="18"/>
          <w:lang w:val="de-DE"/>
        </w:rPr>
        <w:t>In der Produktliste ist die verfügbare Software nach Programm aufgeführt. Darüber</w:t>
      </w:r>
      <w:r w:rsidR="00F47150" w:rsidRPr="00C83DF5">
        <w:rPr>
          <w:rFonts w:ascii="Tahoma" w:hAnsi="Tahoma" w:cs="Tahoma"/>
          <w:sz w:val="18"/>
          <w:szCs w:val="18"/>
          <w:lang w:val="de-DE"/>
        </w:rPr>
        <w:t> </w:t>
      </w:r>
      <w:r w:rsidRPr="00C83DF5">
        <w:rPr>
          <w:rFonts w:ascii="Tahoma" w:hAnsi="Tahoma" w:cs="Tahoma"/>
          <w:sz w:val="18"/>
          <w:szCs w:val="18"/>
          <w:lang w:val="de-DE"/>
        </w:rPr>
        <w:t>hinaus</w:t>
      </w:r>
      <w:r w:rsidR="00F47150" w:rsidRPr="00C83DF5">
        <w:rPr>
          <w:rFonts w:ascii="Tahoma" w:hAnsi="Tahoma" w:cs="Tahoma"/>
          <w:sz w:val="18"/>
          <w:szCs w:val="18"/>
          <w:lang w:val="de-DE"/>
        </w:rPr>
        <w:t> </w:t>
      </w:r>
      <w:r w:rsidRPr="00C83DF5">
        <w:rPr>
          <w:rFonts w:ascii="Tahoma" w:hAnsi="Tahoma" w:cs="Tahoma"/>
          <w:sz w:val="18"/>
          <w:szCs w:val="18"/>
          <w:lang w:val="de-DE"/>
        </w:rPr>
        <w:t>enthält die Produktliste softwarespezifische Information</w:t>
      </w:r>
      <w:r w:rsidR="00F47150" w:rsidRPr="00C83DF5">
        <w:rPr>
          <w:rFonts w:ascii="Tahoma" w:hAnsi="Tahoma" w:cs="Tahoma"/>
          <w:sz w:val="18"/>
          <w:szCs w:val="18"/>
          <w:lang w:val="de-DE"/>
        </w:rPr>
        <w:t>en hinsichtlich des Erwerbs von </w:t>
      </w:r>
      <w:r w:rsidRPr="00C83DF5">
        <w:rPr>
          <w:rFonts w:ascii="Tahoma" w:hAnsi="Tahoma" w:cs="Tahoma"/>
          <w:sz w:val="18"/>
          <w:szCs w:val="18"/>
          <w:lang w:val="de-DE"/>
        </w:rPr>
        <w:t>Lizenzen</w:t>
      </w:r>
      <w:r w:rsidR="00F47150" w:rsidRPr="00C83DF5">
        <w:rPr>
          <w:rFonts w:ascii="Tahoma" w:hAnsi="Tahoma" w:cs="Tahoma"/>
          <w:sz w:val="18"/>
          <w:szCs w:val="18"/>
          <w:lang w:val="de-DE"/>
        </w:rPr>
        <w:t> </w:t>
      </w:r>
      <w:r w:rsidRPr="00C83DF5">
        <w:rPr>
          <w:rFonts w:ascii="Tahoma" w:hAnsi="Tahoma" w:cs="Tahoma"/>
          <w:sz w:val="18"/>
          <w:szCs w:val="18"/>
          <w:lang w:val="de-DE"/>
        </w:rPr>
        <w:t>für</w:t>
      </w:r>
      <w:r w:rsidR="00F47150" w:rsidRPr="00C83DF5">
        <w:rPr>
          <w:rFonts w:ascii="Tahoma" w:hAnsi="Tahoma" w:cs="Tahoma"/>
          <w:sz w:val="18"/>
          <w:szCs w:val="18"/>
          <w:lang w:val="de-DE"/>
        </w:rPr>
        <w:t> </w:t>
      </w:r>
      <w:r w:rsidRPr="00C83DF5">
        <w:rPr>
          <w:rFonts w:ascii="Tahoma" w:hAnsi="Tahoma" w:cs="Tahoma"/>
          <w:sz w:val="18"/>
          <w:szCs w:val="18"/>
          <w:lang w:val="de-DE"/>
        </w:rPr>
        <w:t xml:space="preserve">die betreffende Software. Die Produktliste wird durch Bezugnahme Bestandteil des </w:t>
      </w:r>
      <w:r w:rsidR="00F47150" w:rsidRPr="00C83DF5">
        <w:rPr>
          <w:rFonts w:ascii="Tahoma" w:hAnsi="Tahoma" w:cs="Tahoma"/>
          <w:sz w:val="18"/>
          <w:szCs w:val="18"/>
          <w:lang w:val="de-DE"/>
        </w:rPr>
        <w:br/>
      </w:r>
      <w:r w:rsidRPr="00C83DF5">
        <w:rPr>
          <w:rFonts w:ascii="Tahoma" w:hAnsi="Tahoma" w:cs="Tahoma"/>
          <w:sz w:val="18"/>
          <w:szCs w:val="18"/>
          <w:lang w:val="de-DE"/>
        </w:rPr>
        <w:t>Microsoft-Volumenlizenvertrages. Die Verfügbarkeit von Software kann von Region zu Region variieren. Für</w:t>
      </w:r>
      <w:r w:rsidR="00F47150" w:rsidRPr="00C83DF5">
        <w:rPr>
          <w:rFonts w:ascii="Tahoma" w:hAnsi="Tahoma" w:cs="Tahoma"/>
          <w:sz w:val="18"/>
          <w:szCs w:val="18"/>
          <w:lang w:val="de-DE"/>
        </w:rPr>
        <w:t> </w:t>
      </w:r>
      <w:r w:rsidRPr="00C83DF5">
        <w:rPr>
          <w:rFonts w:ascii="Tahoma" w:hAnsi="Tahoma" w:cs="Tahoma"/>
          <w:sz w:val="18"/>
          <w:szCs w:val="18"/>
          <w:lang w:val="de-DE"/>
        </w:rPr>
        <w:t>Informationen bezüglich der regionalen Verfügbarkeit eines bestimmten Softwareproduktes sollten sich</w:t>
      </w:r>
      <w:r w:rsidR="00F47150" w:rsidRPr="00C83DF5">
        <w:rPr>
          <w:rFonts w:ascii="Tahoma" w:hAnsi="Tahoma" w:cs="Tahoma"/>
          <w:sz w:val="18"/>
          <w:szCs w:val="18"/>
          <w:lang w:val="de-DE"/>
        </w:rPr>
        <w:t> </w:t>
      </w:r>
      <w:r w:rsidRPr="00C83DF5">
        <w:rPr>
          <w:rFonts w:ascii="Tahoma" w:hAnsi="Tahoma" w:cs="Tahoma"/>
          <w:sz w:val="18"/>
          <w:szCs w:val="18"/>
          <w:lang w:val="de-DE"/>
        </w:rPr>
        <w:t>Kunden an ihren Handelspartner oder Microsoft-Kundenbetreuer wenden.</w:t>
      </w:r>
    </w:p>
    <w:p w:rsidR="00023FE7" w:rsidRPr="00C83DF5" w:rsidRDefault="00023FE7" w:rsidP="00F47150">
      <w:pPr>
        <w:pStyle w:val="Body"/>
        <w:rPr>
          <w:lang w:val="de-DE"/>
        </w:rPr>
      </w:pPr>
    </w:p>
    <w:p w:rsidR="004D388E" w:rsidRPr="00B6345F" w:rsidRDefault="00023FE7" w:rsidP="00B6345F">
      <w:pPr>
        <w:pStyle w:val="Body"/>
        <w:rPr>
          <w:rStyle w:val="Hyperlink"/>
          <w:rFonts w:ascii="Tahoma" w:hAnsi="Tahoma" w:cs="Tahoma"/>
          <w:color w:val="auto"/>
          <w:sz w:val="18"/>
          <w:szCs w:val="18"/>
          <w:lang w:val="de-DE"/>
        </w:rPr>
      </w:pPr>
      <w:r w:rsidRPr="00B6345F">
        <w:rPr>
          <w:rFonts w:ascii="Tahoma" w:hAnsi="Tahoma" w:cs="Tahoma"/>
          <w:sz w:val="18"/>
          <w:szCs w:val="18"/>
          <w:lang w:val="de-DE"/>
        </w:rPr>
        <w:t>Außerdem ist es sinnvoll, das Produktbenutzungsrechte(PUR)-Dokument zu konsultieren. Das</w:t>
      </w:r>
      <w:r w:rsidR="00F47150" w:rsidRPr="00B6345F">
        <w:rPr>
          <w:rFonts w:ascii="Tahoma" w:hAnsi="Tahoma" w:cs="Tahoma"/>
          <w:sz w:val="18"/>
          <w:szCs w:val="18"/>
          <w:lang w:val="de-DE"/>
        </w:rPr>
        <w:t> </w:t>
      </w:r>
      <w:r w:rsidRPr="00B6345F">
        <w:rPr>
          <w:rFonts w:ascii="Tahoma" w:hAnsi="Tahoma" w:cs="Tahoma"/>
          <w:sz w:val="18"/>
          <w:szCs w:val="18"/>
          <w:lang w:val="de-DE"/>
        </w:rPr>
        <w:t>Produktbenutzungsrechte-Dokument wird vierteljährlich aktualisiert und enthält Informationen über</w:t>
      </w:r>
      <w:r w:rsidR="00F47150" w:rsidRPr="00B6345F">
        <w:rPr>
          <w:rFonts w:ascii="Tahoma" w:hAnsi="Tahoma" w:cs="Tahoma"/>
          <w:sz w:val="18"/>
          <w:szCs w:val="18"/>
          <w:lang w:val="de-DE"/>
        </w:rPr>
        <w:t> </w:t>
      </w:r>
      <w:r w:rsidRPr="00B6345F">
        <w:rPr>
          <w:rFonts w:ascii="Tahoma" w:hAnsi="Tahoma" w:cs="Tahoma"/>
          <w:sz w:val="18"/>
          <w:szCs w:val="18"/>
          <w:lang w:val="de-DE"/>
        </w:rPr>
        <w:t>die</w:t>
      </w:r>
      <w:r w:rsidR="00F47150" w:rsidRPr="00B6345F">
        <w:rPr>
          <w:rFonts w:ascii="Tahoma" w:hAnsi="Tahoma" w:cs="Tahoma"/>
          <w:sz w:val="18"/>
          <w:szCs w:val="18"/>
          <w:lang w:val="de-DE"/>
        </w:rPr>
        <w:t> </w:t>
      </w:r>
      <w:r w:rsidRPr="00B6345F">
        <w:rPr>
          <w:rFonts w:ascii="Tahoma" w:hAnsi="Tahoma" w:cs="Tahoma"/>
          <w:sz w:val="18"/>
          <w:szCs w:val="18"/>
          <w:lang w:val="de-DE"/>
        </w:rPr>
        <w:t>neuesten Nutzungsrechte für Microsoft-Software unter Microsoft-Volumenlizenzprogrammen. Das</w:t>
      </w:r>
      <w:r w:rsidR="00F47150" w:rsidRPr="00B6345F">
        <w:rPr>
          <w:rFonts w:ascii="Tahoma" w:hAnsi="Tahoma" w:cs="Tahoma"/>
          <w:sz w:val="18"/>
          <w:szCs w:val="18"/>
          <w:lang w:val="de-DE"/>
        </w:rPr>
        <w:t> </w:t>
      </w:r>
      <w:r w:rsidRPr="00B6345F">
        <w:rPr>
          <w:rFonts w:ascii="Tahoma" w:hAnsi="Tahoma" w:cs="Tahoma"/>
          <w:sz w:val="18"/>
          <w:szCs w:val="18"/>
          <w:lang w:val="de-DE"/>
        </w:rPr>
        <w:t>Dokument befindet sich unter:</w:t>
      </w:r>
      <w:r w:rsidR="00E71F46" w:rsidRPr="00B6345F">
        <w:rPr>
          <w:rFonts w:ascii="Tahoma" w:hAnsi="Tahoma" w:cs="Tahoma"/>
          <w:sz w:val="18"/>
          <w:szCs w:val="18"/>
          <w:lang w:val="de-DE"/>
        </w:rPr>
        <w:t xml:space="preserve"> </w:t>
      </w:r>
      <w:r w:rsidR="00B6345F" w:rsidRPr="00B6345F">
        <w:rPr>
          <w:rFonts w:ascii="Tahoma" w:hAnsi="Tahoma" w:cs="Tahoma"/>
          <w:sz w:val="18"/>
          <w:szCs w:val="18"/>
          <w:lang w:val="de-DE"/>
        </w:rPr>
        <w:t>http://www.microsoftvolumelicensing.com/userights/Default.aspx</w:t>
      </w:r>
    </w:p>
    <w:p w:rsidR="00BE51ED" w:rsidRPr="00BE51ED" w:rsidRDefault="005519A5" w:rsidP="001F7B56">
      <w:pPr>
        <w:pStyle w:val="Body"/>
        <w:rPr>
          <w:noProof/>
        </w:rPr>
      </w:pPr>
      <w:hyperlink w:history="1"/>
      <w:r w:rsidR="00023FE7" w:rsidRPr="00C83DF5">
        <w:rPr>
          <w:lang w:val="de-DE"/>
        </w:rPr>
        <w:br w:type="page"/>
      </w:r>
      <w:r w:rsidR="00CF5A3E" w:rsidRPr="00C83DF5">
        <w:rPr>
          <w:rFonts w:cs="Tahoma"/>
          <w:b/>
          <w:caps/>
          <w:noProof/>
          <w:color w:val="000000"/>
          <w:sz w:val="22"/>
          <w:szCs w:val="18"/>
        </w:rPr>
        <w:fldChar w:fldCharType="begin"/>
      </w:r>
      <w:r w:rsidR="00023FE7" w:rsidRPr="00C83DF5">
        <w:rPr>
          <w:lang w:val="de-DE"/>
        </w:rPr>
        <w:instrText xml:space="preserve"> TOC \o "1-2" \t "Heading 3,3,Heading 4,4,Product Names,2" </w:instrText>
      </w:r>
      <w:r w:rsidR="00CF5A3E" w:rsidRPr="00C83DF5">
        <w:rPr>
          <w:rFonts w:cs="Tahoma"/>
          <w:b/>
          <w:caps/>
          <w:noProof/>
          <w:color w:val="000000"/>
          <w:sz w:val="22"/>
          <w:szCs w:val="18"/>
        </w:rPr>
        <w:fldChar w:fldCharType="separate"/>
      </w:r>
    </w:p>
    <w:p w:rsidR="00BE51ED" w:rsidRPr="00BE51ED" w:rsidRDefault="00BE51ED">
      <w:pPr>
        <w:pStyle w:val="TOC1"/>
        <w:rPr>
          <w:rFonts w:asciiTheme="minorHAnsi" w:eastAsiaTheme="minorEastAsia" w:hAnsiTheme="minorHAnsi" w:cstheme="minorBidi"/>
          <w:b w:val="0"/>
          <w:caps w:val="0"/>
          <w:color w:val="auto"/>
          <w:szCs w:val="22"/>
        </w:rPr>
      </w:pPr>
      <w:r w:rsidRPr="00BE51ED">
        <w:rPr>
          <w:b w:val="0"/>
          <w:color w:val="auto"/>
          <w:lang w:val="de-DE"/>
        </w:rPr>
        <w:lastRenderedPageBreak/>
        <w:t>Microsoft</w:t>
      </w:r>
      <w:r w:rsidRPr="00BE51ED">
        <w:rPr>
          <w:b w:val="0"/>
          <w:color w:val="auto"/>
          <w:vertAlign w:val="superscript"/>
          <w:lang w:val="de-DE"/>
        </w:rPr>
        <w:t>®</w:t>
      </w:r>
      <w:r w:rsidRPr="00BE51ED">
        <w:rPr>
          <w:color w:val="auto"/>
        </w:rPr>
        <w:tab/>
      </w:r>
      <w:r w:rsidRPr="00BE51ED">
        <w:rPr>
          <w:color w:val="auto"/>
        </w:rPr>
        <w:fldChar w:fldCharType="begin"/>
      </w:r>
      <w:r w:rsidRPr="00BE51ED">
        <w:rPr>
          <w:color w:val="auto"/>
        </w:rPr>
        <w:instrText xml:space="preserve"> PAGEREF _Toc370982963 \h </w:instrText>
      </w:r>
      <w:r w:rsidRPr="00BE51ED">
        <w:rPr>
          <w:color w:val="auto"/>
        </w:rPr>
      </w:r>
      <w:r w:rsidRPr="00BE51ED">
        <w:rPr>
          <w:color w:val="auto"/>
        </w:rPr>
        <w:fldChar w:fldCharType="separate"/>
      </w:r>
      <w:r w:rsidRPr="00BE51ED">
        <w:rPr>
          <w:color w:val="auto"/>
        </w:rPr>
        <w:t>1</w:t>
      </w:r>
      <w:r w:rsidRPr="00BE51ED">
        <w:rPr>
          <w:color w:val="auto"/>
        </w:rPr>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ÜBER DIESES DOKUMENT</w:t>
      </w:r>
      <w:r w:rsidRPr="00BE51ED">
        <w:rPr>
          <w:color w:val="auto"/>
        </w:rPr>
        <w:tab/>
      </w:r>
      <w:r w:rsidRPr="00BE51ED">
        <w:rPr>
          <w:color w:val="auto"/>
        </w:rPr>
        <w:fldChar w:fldCharType="begin"/>
      </w:r>
      <w:r w:rsidRPr="00BE51ED">
        <w:rPr>
          <w:color w:val="auto"/>
        </w:rPr>
        <w:instrText xml:space="preserve"> PAGEREF _Toc370982964 \h </w:instrText>
      </w:r>
      <w:r w:rsidRPr="00BE51ED">
        <w:rPr>
          <w:color w:val="auto"/>
        </w:rPr>
      </w:r>
      <w:r w:rsidRPr="00BE51ED">
        <w:rPr>
          <w:color w:val="auto"/>
        </w:rPr>
        <w:fldChar w:fldCharType="separate"/>
      </w:r>
      <w:r w:rsidRPr="00BE51ED">
        <w:rPr>
          <w:color w:val="auto"/>
        </w:rPr>
        <w:t>2</w:t>
      </w:r>
      <w:r w:rsidRPr="00BE51ED">
        <w:rPr>
          <w:color w:val="auto"/>
        </w:rPr>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VERWENDUNG dER Microsoft-ProduktLISTe</w:t>
      </w:r>
      <w:r w:rsidRPr="00BE51ED">
        <w:rPr>
          <w:color w:val="auto"/>
        </w:rPr>
        <w:tab/>
      </w:r>
      <w:r w:rsidRPr="00BE51ED">
        <w:rPr>
          <w:color w:val="auto"/>
        </w:rPr>
        <w:fldChar w:fldCharType="begin"/>
      </w:r>
      <w:r w:rsidRPr="00BE51ED">
        <w:rPr>
          <w:color w:val="auto"/>
        </w:rPr>
        <w:instrText xml:space="preserve"> PAGEREF _Toc370982965 \h </w:instrText>
      </w:r>
      <w:r w:rsidRPr="00BE51ED">
        <w:rPr>
          <w:color w:val="auto"/>
        </w:rPr>
      </w:r>
      <w:r w:rsidRPr="00BE51ED">
        <w:rPr>
          <w:color w:val="auto"/>
        </w:rPr>
        <w:fldChar w:fldCharType="separate"/>
      </w:r>
      <w:r w:rsidRPr="00BE51ED">
        <w:rPr>
          <w:color w:val="auto"/>
        </w:rPr>
        <w:t>2</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Tabellenlegende</w:t>
      </w:r>
      <w:r w:rsidRPr="00BE51ED">
        <w:tab/>
      </w:r>
      <w:r w:rsidRPr="00BE51ED">
        <w:fldChar w:fldCharType="begin"/>
      </w:r>
      <w:r w:rsidRPr="00BE51ED">
        <w:instrText xml:space="preserve"> PAGEREF _Toc370982966 \h </w:instrText>
      </w:r>
      <w:r w:rsidRPr="00BE51ED">
        <w:fldChar w:fldCharType="separate"/>
      </w:r>
      <w:r w:rsidRPr="00BE51ED">
        <w:t>14</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rPr>
        <w:t>PRODUKTLISTE</w:t>
      </w:r>
      <w:r w:rsidRPr="00BE51ED">
        <w:rPr>
          <w:color w:val="auto"/>
        </w:rPr>
        <w:tab/>
      </w:r>
      <w:r w:rsidRPr="00BE51ED">
        <w:rPr>
          <w:color w:val="auto"/>
        </w:rPr>
        <w:fldChar w:fldCharType="begin"/>
      </w:r>
      <w:r w:rsidRPr="00BE51ED">
        <w:rPr>
          <w:color w:val="auto"/>
        </w:rPr>
        <w:instrText xml:space="preserve"> PAGEREF _Toc370982967 \h </w:instrText>
      </w:r>
      <w:r w:rsidRPr="00BE51ED">
        <w:rPr>
          <w:color w:val="auto"/>
        </w:rPr>
      </w:r>
      <w:r w:rsidRPr="00BE51ED">
        <w:rPr>
          <w:color w:val="auto"/>
        </w:rPr>
        <w:fldChar w:fldCharType="separate"/>
      </w:r>
      <w:r w:rsidRPr="00BE51ED">
        <w:rPr>
          <w:color w:val="auto"/>
        </w:rPr>
        <w:t>16</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ANWENDUNGS-POOL</w:t>
      </w:r>
      <w:r w:rsidRPr="00BE51ED">
        <w:rPr>
          <w:color w:val="auto"/>
        </w:rPr>
        <w:tab/>
      </w:r>
      <w:r w:rsidRPr="00BE51ED">
        <w:rPr>
          <w:color w:val="auto"/>
        </w:rPr>
        <w:fldChar w:fldCharType="begin"/>
      </w:r>
      <w:r w:rsidRPr="00BE51ED">
        <w:rPr>
          <w:color w:val="auto"/>
        </w:rPr>
        <w:instrText xml:space="preserve"> PAGEREF _Toc370982968 \h </w:instrText>
      </w:r>
      <w:r w:rsidRPr="00BE51ED">
        <w:rPr>
          <w:color w:val="auto"/>
        </w:rPr>
      </w:r>
      <w:r w:rsidRPr="00BE51ED">
        <w:rPr>
          <w:color w:val="auto"/>
        </w:rPr>
        <w:fldChar w:fldCharType="separate"/>
      </w:r>
      <w:r w:rsidRPr="00BE51ED">
        <w:rPr>
          <w:color w:val="auto"/>
        </w:rPr>
        <w:t>16</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Access 2013</w:t>
      </w:r>
      <w:r w:rsidRPr="00BE51ED">
        <w:tab/>
      </w:r>
      <w:r w:rsidRPr="00BE51ED">
        <w:fldChar w:fldCharType="begin"/>
      </w:r>
      <w:r w:rsidRPr="00BE51ED">
        <w:instrText xml:space="preserve"> PAGEREF _Toc370982969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AutoRoute 2013</w:t>
      </w:r>
      <w:r w:rsidRPr="00BE51ED">
        <w:tab/>
      </w:r>
      <w:r w:rsidRPr="00BE51ED">
        <w:fldChar w:fldCharType="begin"/>
      </w:r>
      <w:r w:rsidRPr="00BE51ED">
        <w:instrText xml:space="preserve"> PAGEREF _Toc370982970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Excel 2013</w:t>
      </w:r>
      <w:r w:rsidRPr="00BE51ED">
        <w:tab/>
      </w:r>
      <w:r w:rsidRPr="00BE51ED">
        <w:fldChar w:fldCharType="begin"/>
      </w:r>
      <w:r w:rsidRPr="00BE51ED">
        <w:instrText xml:space="preserve"> PAGEREF _Toc370982971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Excel für Mac 2011</w:t>
      </w:r>
      <w:r w:rsidRPr="00BE51ED">
        <w:tab/>
      </w:r>
      <w:r w:rsidRPr="00BE51ED">
        <w:fldChar w:fldCharType="begin"/>
      </w:r>
      <w:r w:rsidRPr="00BE51ED">
        <w:instrText xml:space="preserve"> PAGEREF _Toc370982972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Expression Encoder Pro 4</w:t>
      </w:r>
      <w:r w:rsidRPr="00BE51ED">
        <w:tab/>
      </w:r>
      <w:r w:rsidRPr="00BE51ED">
        <w:fldChar w:fldCharType="begin"/>
      </w:r>
      <w:r w:rsidRPr="00BE51ED">
        <w:instrText xml:space="preserve"> PAGEREF _Toc370982973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InfoPath</w:t>
      </w:r>
      <w:r w:rsidRPr="00BE51ED">
        <w:rPr>
          <w:rFonts w:cs="Tahoma"/>
          <w:vertAlign w:val="superscript"/>
        </w:rPr>
        <w:t>®</w:t>
      </w:r>
      <w:r w:rsidRPr="00BE51ED">
        <w:rPr>
          <w:rFonts w:cs="Tahoma"/>
        </w:rPr>
        <w:t xml:space="preserve"> 2013</w:t>
      </w:r>
      <w:r w:rsidRPr="00BE51ED">
        <w:tab/>
      </w:r>
      <w:r w:rsidRPr="00BE51ED">
        <w:fldChar w:fldCharType="begin"/>
      </w:r>
      <w:r w:rsidRPr="00BE51ED">
        <w:instrText xml:space="preserve"> PAGEREF _Toc370982974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Lync 2013</w:t>
      </w:r>
      <w:r w:rsidRPr="00BE51ED">
        <w:tab/>
      </w:r>
      <w:r w:rsidRPr="00BE51ED">
        <w:fldChar w:fldCharType="begin"/>
      </w:r>
      <w:r w:rsidRPr="00BE51ED">
        <w:instrText xml:space="preserve"> PAGEREF _Toc370982975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Lync für Mac 2011</w:t>
      </w:r>
      <w:r w:rsidRPr="00BE51ED">
        <w:tab/>
      </w:r>
      <w:r w:rsidRPr="00BE51ED">
        <w:fldChar w:fldCharType="begin"/>
      </w:r>
      <w:r w:rsidRPr="00BE51ED">
        <w:instrText xml:space="preserve"> PAGEREF _Toc370982976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MapPoint</w:t>
      </w:r>
      <w:r w:rsidRPr="00BE51ED">
        <w:rPr>
          <w:rFonts w:cs="Tahoma"/>
          <w:vertAlign w:val="superscript"/>
        </w:rPr>
        <w:t>®</w:t>
      </w:r>
      <w:r w:rsidRPr="00BE51ED">
        <w:rPr>
          <w:rFonts w:cs="Tahoma"/>
        </w:rPr>
        <w:t xml:space="preserve"> Fleet Edition 2013</w:t>
      </w:r>
      <w:r w:rsidRPr="00BE51ED">
        <w:tab/>
      </w:r>
      <w:r w:rsidRPr="00BE51ED">
        <w:fldChar w:fldCharType="begin"/>
      </w:r>
      <w:r w:rsidRPr="00BE51ED">
        <w:instrText xml:space="preserve"> PAGEREF _Toc370982977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MapPoint</w:t>
      </w:r>
      <w:r w:rsidRPr="00BE51ED">
        <w:rPr>
          <w:rFonts w:cs="Tahoma"/>
          <w:vertAlign w:val="superscript"/>
        </w:rPr>
        <w:t>®</w:t>
      </w:r>
      <w:r w:rsidRPr="00BE51ED">
        <w:rPr>
          <w:rFonts w:cs="Tahoma"/>
        </w:rPr>
        <w:t xml:space="preserve"> 2013 für Windows</w:t>
      </w:r>
      <w:r w:rsidRPr="00BE51ED">
        <w:tab/>
      </w:r>
      <w:r w:rsidRPr="00BE51ED">
        <w:fldChar w:fldCharType="begin"/>
      </w:r>
      <w:r w:rsidRPr="00BE51ED">
        <w:instrText xml:space="preserve"> PAGEREF _Toc370982978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MSDN-Betriebssysteme</w:t>
      </w:r>
      <w:r w:rsidRPr="00BE51ED">
        <w:tab/>
      </w:r>
      <w:r w:rsidRPr="00BE51ED">
        <w:fldChar w:fldCharType="begin"/>
      </w:r>
      <w:r w:rsidRPr="00BE51ED">
        <w:instrText xml:space="preserve"> PAGEREF _Toc370982979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MSDN-Plattformen</w:t>
      </w:r>
      <w:r w:rsidRPr="00BE51ED">
        <w:tab/>
      </w:r>
      <w:r w:rsidRPr="00BE51ED">
        <w:fldChar w:fldCharType="begin"/>
      </w:r>
      <w:r w:rsidRPr="00BE51ED">
        <w:instrText xml:space="preserve"> PAGEREF _Toc370982980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Education A3 (Nutzer-AL)</w:t>
      </w:r>
      <w:r w:rsidRPr="00BE51ED">
        <w:tab/>
      </w:r>
      <w:r w:rsidRPr="00BE51ED">
        <w:fldChar w:fldCharType="begin"/>
      </w:r>
      <w:r w:rsidRPr="00BE51ED">
        <w:instrText xml:space="preserve"> PAGEREF _Toc370982981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Education A4 (Nutzer-AL)</w:t>
      </w:r>
      <w:r w:rsidRPr="00BE51ED">
        <w:tab/>
      </w:r>
      <w:r w:rsidRPr="00BE51ED">
        <w:fldChar w:fldCharType="begin"/>
      </w:r>
      <w:r w:rsidRPr="00BE51ED">
        <w:instrText xml:space="preserve"> PAGEREF _Toc370982982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Midsize Business  (Nutzer-AL)</w:t>
      </w:r>
      <w:r w:rsidRPr="00BE51ED">
        <w:tab/>
      </w:r>
      <w:r w:rsidRPr="00BE51ED">
        <w:fldChar w:fldCharType="begin"/>
      </w:r>
      <w:r w:rsidRPr="00BE51ED">
        <w:instrText xml:space="preserve"> PAGEREF _Toc370982983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für Office 365 Enterprise E3, E4 (Nutzer-AL)</w:t>
      </w:r>
      <w:r w:rsidRPr="00BE51ED">
        <w:tab/>
      </w:r>
      <w:r w:rsidRPr="00BE51ED">
        <w:fldChar w:fldCharType="begin"/>
      </w:r>
      <w:r w:rsidRPr="00BE51ED">
        <w:instrText xml:space="preserve"> PAGEREF _Toc370982984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Enterprise E3 (Nutzer-AL)</w:t>
      </w:r>
      <w:r w:rsidRPr="00BE51ED">
        <w:tab/>
      </w:r>
      <w:r w:rsidRPr="00BE51ED">
        <w:fldChar w:fldCharType="begin"/>
      </w:r>
      <w:r w:rsidRPr="00BE51ED">
        <w:instrText xml:space="preserve"> PAGEREF _Toc370982985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Enterprise E4 (Nutzer-AL)</w:t>
      </w:r>
      <w:r w:rsidRPr="00BE51ED">
        <w:tab/>
      </w:r>
      <w:r w:rsidRPr="00BE51ED">
        <w:fldChar w:fldCharType="begin"/>
      </w:r>
      <w:r w:rsidRPr="00BE51ED">
        <w:instrText xml:space="preserve"> PAGEREF _Toc370982986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für Office 365 Government G3, G4 (Nutzer-AL)</w:t>
      </w:r>
      <w:r w:rsidRPr="00BE51ED">
        <w:tab/>
      </w:r>
      <w:r w:rsidRPr="00BE51ED">
        <w:fldChar w:fldCharType="begin"/>
      </w:r>
      <w:r w:rsidRPr="00BE51ED">
        <w:instrText xml:space="preserve"> PAGEREF _Toc370982987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Government G3 – G4 (Nutzer-AL)</w:t>
      </w:r>
      <w:r w:rsidRPr="00BE51ED">
        <w:tab/>
      </w:r>
      <w:r w:rsidRPr="00BE51ED">
        <w:fldChar w:fldCharType="begin"/>
      </w:r>
      <w:r w:rsidRPr="00BE51ED">
        <w:instrText xml:space="preserve"> PAGEREF _Toc370982988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Kommerzielle Nutzungsrechte für Office Home &amp; Student 2013 RT</w:t>
      </w:r>
      <w:r w:rsidRPr="00BE51ED">
        <w:tab/>
      </w:r>
      <w:r w:rsidRPr="00BE51ED">
        <w:fldChar w:fldCharType="begin"/>
      </w:r>
      <w:r w:rsidRPr="00BE51ED">
        <w:instrText xml:space="preserve"> PAGEREF _Toc370982989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für Mac Standard 2011</w:t>
      </w:r>
      <w:r w:rsidRPr="00BE51ED">
        <w:tab/>
      </w:r>
      <w:r w:rsidRPr="00BE51ED">
        <w:fldChar w:fldCharType="begin"/>
      </w:r>
      <w:r w:rsidRPr="00BE51ED">
        <w:instrText xml:space="preserve"> PAGEREF _Toc370982990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Multi-Language Pack 2013</w:t>
      </w:r>
      <w:r w:rsidRPr="00BE51ED">
        <w:tab/>
      </w:r>
      <w:r w:rsidRPr="00BE51ED">
        <w:fldChar w:fldCharType="begin"/>
      </w:r>
      <w:r w:rsidRPr="00BE51ED">
        <w:instrText xml:space="preserve"> PAGEREF _Toc370982991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Professional Plus 2013</w:t>
      </w:r>
      <w:r w:rsidRPr="00BE51ED">
        <w:tab/>
      </w:r>
      <w:r w:rsidRPr="00BE51ED">
        <w:fldChar w:fldCharType="begin"/>
      </w:r>
      <w:r w:rsidRPr="00BE51ED">
        <w:instrText xml:space="preserve"> PAGEREF _Toc370982992 \h </w:instrText>
      </w:r>
      <w:r w:rsidRPr="00BE51ED">
        <w:fldChar w:fldCharType="separate"/>
      </w:r>
      <w:r w:rsidRPr="00BE51ED">
        <w:t>16</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Office Standard 2013</w:t>
      </w:r>
      <w:r w:rsidRPr="00BE51ED">
        <w:rPr>
          <w:color w:val="auto"/>
        </w:rPr>
        <w:tab/>
      </w:r>
      <w:r w:rsidRPr="00BE51ED">
        <w:rPr>
          <w:color w:val="auto"/>
        </w:rPr>
        <w:fldChar w:fldCharType="begin"/>
      </w:r>
      <w:r w:rsidRPr="00BE51ED">
        <w:rPr>
          <w:color w:val="auto"/>
        </w:rPr>
        <w:instrText xml:space="preserve"> PAGEREF _Toc370982993 \h </w:instrText>
      </w:r>
      <w:r w:rsidRPr="00BE51ED">
        <w:rPr>
          <w:color w:val="auto"/>
        </w:rPr>
      </w:r>
      <w:r w:rsidRPr="00BE51ED">
        <w:rPr>
          <w:color w:val="auto"/>
        </w:rPr>
        <w:fldChar w:fldCharType="separate"/>
      </w:r>
      <w:r w:rsidRPr="00BE51ED">
        <w:rPr>
          <w:color w:val="auto"/>
        </w:rPr>
        <w:t>16</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ProPlus (Nutzer-AL)</w:t>
      </w:r>
      <w:r w:rsidRPr="00BE51ED">
        <w:tab/>
      </w:r>
      <w:r w:rsidRPr="00BE51ED">
        <w:fldChar w:fldCharType="begin"/>
      </w:r>
      <w:r w:rsidRPr="00BE51ED">
        <w:instrText xml:space="preserve"> PAGEREF _Toc370982994 \h </w:instrText>
      </w:r>
      <w:r w:rsidRPr="00BE51ED">
        <w:fldChar w:fldCharType="separate"/>
      </w:r>
      <w:r w:rsidRPr="00BE51ED">
        <w:t>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Office 365 ProPlus SA-Übergang (Nutzer-AL)</w:t>
      </w:r>
      <w:r w:rsidRPr="00BE51ED">
        <w:tab/>
      </w:r>
      <w:r w:rsidRPr="00BE51ED">
        <w:fldChar w:fldCharType="begin"/>
      </w:r>
      <w:r w:rsidRPr="00BE51ED">
        <w:instrText xml:space="preserve"> PAGEREF _Toc370982995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fr-FR"/>
        </w:rPr>
        <w:t>Office Professional Plus-Abonnement A (Nutzer-AL)</w:t>
      </w:r>
      <w:r w:rsidRPr="00BE51ED">
        <w:tab/>
      </w:r>
      <w:r w:rsidRPr="00BE51ED">
        <w:fldChar w:fldCharType="begin"/>
      </w:r>
      <w:r w:rsidRPr="00BE51ED">
        <w:instrText xml:space="preserve"> PAGEREF _Toc370982996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OneNote</w:t>
      </w:r>
      <w:r w:rsidRPr="00BE51ED">
        <w:rPr>
          <w:rFonts w:cs="Tahoma"/>
          <w:vertAlign w:val="superscript"/>
        </w:rPr>
        <w:t>®</w:t>
      </w:r>
      <w:r w:rsidRPr="00BE51ED">
        <w:rPr>
          <w:rFonts w:cs="Tahoma"/>
        </w:rPr>
        <w:t xml:space="preserve"> 2013</w:t>
      </w:r>
      <w:r w:rsidRPr="00BE51ED">
        <w:tab/>
      </w:r>
      <w:r w:rsidRPr="00BE51ED">
        <w:fldChar w:fldCharType="begin"/>
      </w:r>
      <w:r w:rsidRPr="00BE51ED">
        <w:instrText xml:space="preserve"> PAGEREF _Toc370982997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Outlook</w:t>
      </w:r>
      <w:r w:rsidRPr="00BE51ED">
        <w:rPr>
          <w:rFonts w:cs="Tahoma"/>
          <w:vertAlign w:val="superscript"/>
        </w:rPr>
        <w:t>®</w:t>
      </w:r>
      <w:r w:rsidRPr="00BE51ED">
        <w:rPr>
          <w:rFonts w:cs="Tahoma"/>
        </w:rPr>
        <w:t xml:space="preserve"> 2013</w:t>
      </w:r>
      <w:r w:rsidRPr="00BE51ED">
        <w:tab/>
      </w:r>
      <w:r w:rsidRPr="00BE51ED">
        <w:fldChar w:fldCharType="begin"/>
      </w:r>
      <w:r w:rsidRPr="00BE51ED">
        <w:instrText xml:space="preserve"> PAGEREF _Toc370982998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Outlook für Mac 2011</w:t>
      </w:r>
      <w:r w:rsidRPr="00BE51ED">
        <w:tab/>
      </w:r>
      <w:r w:rsidRPr="00BE51ED">
        <w:fldChar w:fldCharType="begin"/>
      </w:r>
      <w:r w:rsidRPr="00BE51ED">
        <w:instrText xml:space="preserve"> PAGEREF _Toc370982999 \h </w:instrText>
      </w:r>
      <w:r w:rsidRPr="00BE51ED">
        <w:fldChar w:fldCharType="separate"/>
      </w:r>
      <w:r w:rsidRPr="00BE51ED">
        <w:t>17</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PowerPoint 2013</w:t>
      </w:r>
      <w:r w:rsidRPr="00BE51ED">
        <w:rPr>
          <w:color w:val="auto"/>
        </w:rPr>
        <w:tab/>
      </w:r>
      <w:r w:rsidRPr="00BE51ED">
        <w:rPr>
          <w:color w:val="auto"/>
        </w:rPr>
        <w:fldChar w:fldCharType="begin"/>
      </w:r>
      <w:r w:rsidRPr="00BE51ED">
        <w:rPr>
          <w:color w:val="auto"/>
        </w:rPr>
        <w:instrText xml:space="preserve"> PAGEREF _Toc370983000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PowerPoint für Mac 2011</w:t>
      </w:r>
      <w:r w:rsidRPr="00BE51ED">
        <w:rPr>
          <w:color w:val="auto"/>
        </w:rPr>
        <w:tab/>
      </w:r>
      <w:r w:rsidRPr="00BE51ED">
        <w:rPr>
          <w:color w:val="auto"/>
        </w:rPr>
        <w:fldChar w:fldCharType="begin"/>
      </w:r>
      <w:r w:rsidRPr="00BE51ED">
        <w:rPr>
          <w:color w:val="auto"/>
        </w:rPr>
        <w:instrText xml:space="preserve"> PAGEREF _Toc370983001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Project Standard 2013</w:t>
      </w:r>
      <w:r w:rsidRPr="00BE51ED">
        <w:rPr>
          <w:color w:val="auto"/>
        </w:rPr>
        <w:tab/>
      </w:r>
      <w:r w:rsidRPr="00BE51ED">
        <w:rPr>
          <w:color w:val="auto"/>
        </w:rPr>
        <w:fldChar w:fldCharType="begin"/>
      </w:r>
      <w:r w:rsidRPr="00BE51ED">
        <w:rPr>
          <w:color w:val="auto"/>
        </w:rPr>
        <w:instrText xml:space="preserve"> PAGEREF _Toc370983002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Project Professional 2013</w:t>
      </w:r>
      <w:r w:rsidRPr="00BE51ED">
        <w:rPr>
          <w:color w:val="auto"/>
        </w:rPr>
        <w:tab/>
      </w:r>
      <w:r w:rsidRPr="00BE51ED">
        <w:rPr>
          <w:color w:val="auto"/>
        </w:rPr>
        <w:fldChar w:fldCharType="begin"/>
      </w:r>
      <w:r w:rsidRPr="00BE51ED">
        <w:rPr>
          <w:color w:val="auto"/>
        </w:rPr>
        <w:instrText xml:space="preserve"> PAGEREF _Toc370983003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Project Pro für Office 365</w:t>
      </w:r>
      <w:r w:rsidRPr="00BE51ED">
        <w:rPr>
          <w:color w:val="auto"/>
        </w:rPr>
        <w:tab/>
      </w:r>
      <w:r w:rsidRPr="00BE51ED">
        <w:rPr>
          <w:color w:val="auto"/>
        </w:rPr>
        <w:fldChar w:fldCharType="begin"/>
      </w:r>
      <w:r w:rsidRPr="00BE51ED">
        <w:rPr>
          <w:color w:val="auto"/>
        </w:rPr>
        <w:instrText xml:space="preserve"> PAGEREF _Toc370983004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Project Pro für Office 365 A</w:t>
      </w:r>
      <w:r w:rsidRPr="00BE51ED">
        <w:rPr>
          <w:color w:val="auto"/>
        </w:rPr>
        <w:tab/>
      </w:r>
      <w:r w:rsidRPr="00BE51ED">
        <w:rPr>
          <w:color w:val="auto"/>
        </w:rPr>
        <w:fldChar w:fldCharType="begin"/>
      </w:r>
      <w:r w:rsidRPr="00BE51ED">
        <w:rPr>
          <w:color w:val="auto"/>
        </w:rPr>
        <w:instrText xml:space="preserve"> PAGEREF _Toc370983005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Publisher 2013</w:t>
      </w:r>
      <w:r w:rsidRPr="00BE51ED">
        <w:rPr>
          <w:color w:val="auto"/>
        </w:rPr>
        <w:tab/>
      </w:r>
      <w:r w:rsidRPr="00BE51ED">
        <w:rPr>
          <w:color w:val="auto"/>
        </w:rPr>
        <w:fldChar w:fldCharType="begin"/>
      </w:r>
      <w:r w:rsidRPr="00BE51ED">
        <w:rPr>
          <w:color w:val="auto"/>
        </w:rPr>
        <w:instrText xml:space="preserve"> PAGEREF _Toc370983006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Vermietungsrechte für Office Standard</w:t>
      </w:r>
      <w:r w:rsidRPr="00BE51ED">
        <w:rPr>
          <w:color w:val="auto"/>
        </w:rPr>
        <w:tab/>
      </w:r>
      <w:r w:rsidRPr="00BE51ED">
        <w:rPr>
          <w:color w:val="auto"/>
        </w:rPr>
        <w:fldChar w:fldCharType="begin"/>
      </w:r>
      <w:r w:rsidRPr="00BE51ED">
        <w:rPr>
          <w:color w:val="auto"/>
        </w:rPr>
        <w:instrText xml:space="preserve"> PAGEREF _Toc370983007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Vermietungsrechte für Office Professional Plus</w:t>
      </w:r>
      <w:r w:rsidRPr="00BE51ED">
        <w:rPr>
          <w:color w:val="auto"/>
        </w:rPr>
        <w:tab/>
      </w:r>
      <w:r w:rsidRPr="00BE51ED">
        <w:rPr>
          <w:color w:val="auto"/>
        </w:rPr>
        <w:fldChar w:fldCharType="begin"/>
      </w:r>
      <w:r w:rsidRPr="00BE51ED">
        <w:rPr>
          <w:color w:val="auto"/>
        </w:rPr>
        <w:instrText xml:space="preserve"> PAGEREF _Toc370983008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Streets and Trips 2013</w:t>
      </w:r>
      <w:r w:rsidRPr="00BE51ED">
        <w:rPr>
          <w:color w:val="auto"/>
        </w:rPr>
        <w:tab/>
      </w:r>
      <w:r w:rsidRPr="00BE51ED">
        <w:rPr>
          <w:color w:val="auto"/>
        </w:rPr>
        <w:fldChar w:fldCharType="begin"/>
      </w:r>
      <w:r w:rsidRPr="00BE51ED">
        <w:rPr>
          <w:color w:val="auto"/>
        </w:rPr>
        <w:instrText xml:space="preserve"> PAGEREF _Toc370983009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Visio</w:t>
      </w:r>
      <w:r w:rsidRPr="00BE51ED">
        <w:rPr>
          <w:color w:val="auto"/>
          <w:vertAlign w:val="superscript"/>
        </w:rPr>
        <w:t>®</w:t>
      </w:r>
      <w:r w:rsidRPr="00BE51ED">
        <w:rPr>
          <w:color w:val="auto"/>
        </w:rPr>
        <w:t xml:space="preserve"> 2013 Professional</w:t>
      </w:r>
      <w:r w:rsidRPr="00BE51ED">
        <w:rPr>
          <w:color w:val="auto"/>
        </w:rPr>
        <w:tab/>
      </w:r>
      <w:r w:rsidRPr="00BE51ED">
        <w:rPr>
          <w:color w:val="auto"/>
        </w:rPr>
        <w:fldChar w:fldCharType="begin"/>
      </w:r>
      <w:r w:rsidRPr="00BE51ED">
        <w:rPr>
          <w:color w:val="auto"/>
        </w:rPr>
        <w:instrText xml:space="preserve"> PAGEREF _Toc370983010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Visio</w:t>
      </w:r>
      <w:r w:rsidRPr="00BE51ED">
        <w:rPr>
          <w:color w:val="auto"/>
          <w:vertAlign w:val="superscript"/>
        </w:rPr>
        <w:t>®</w:t>
      </w:r>
      <w:r w:rsidRPr="00BE51ED">
        <w:rPr>
          <w:color w:val="auto"/>
        </w:rPr>
        <w:t xml:space="preserve"> 2013 Standard</w:t>
      </w:r>
      <w:r w:rsidRPr="00BE51ED">
        <w:rPr>
          <w:color w:val="auto"/>
        </w:rPr>
        <w:tab/>
      </w:r>
      <w:r w:rsidRPr="00BE51ED">
        <w:rPr>
          <w:color w:val="auto"/>
        </w:rPr>
        <w:fldChar w:fldCharType="begin"/>
      </w:r>
      <w:r w:rsidRPr="00BE51ED">
        <w:rPr>
          <w:color w:val="auto"/>
        </w:rPr>
        <w:instrText xml:space="preserve"> PAGEREF _Toc370983011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Visio Pro für Office 365</w:t>
      </w:r>
      <w:r w:rsidRPr="00BE51ED">
        <w:tab/>
      </w:r>
      <w:r w:rsidRPr="00BE51ED">
        <w:fldChar w:fldCharType="begin"/>
      </w:r>
      <w:r w:rsidRPr="00BE51ED">
        <w:instrText xml:space="preserve"> PAGEREF _Toc370983012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it-IT"/>
        </w:rPr>
        <w:t>Visio Pro für Office 365 A</w:t>
      </w:r>
      <w:r w:rsidRPr="00BE51ED">
        <w:tab/>
      </w:r>
      <w:r w:rsidRPr="00BE51ED">
        <w:fldChar w:fldCharType="begin"/>
      </w:r>
      <w:r w:rsidRPr="00BE51ED">
        <w:instrText xml:space="preserve"> PAGEREF _Toc370983013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Visual Studio</w:t>
      </w:r>
      <w:r w:rsidRPr="00BE51ED">
        <w:rPr>
          <w:rFonts w:cs="Tahoma"/>
          <w:vertAlign w:val="superscript"/>
        </w:rPr>
        <w:t>®</w:t>
      </w:r>
      <w:r w:rsidRPr="00BE51ED">
        <w:rPr>
          <w:rFonts w:cs="Tahoma"/>
        </w:rPr>
        <w:t xml:space="preserve"> Professional 2013</w:t>
      </w:r>
      <w:r w:rsidRPr="00BE51ED">
        <w:tab/>
      </w:r>
      <w:r w:rsidRPr="00BE51ED">
        <w:fldChar w:fldCharType="begin"/>
      </w:r>
      <w:r w:rsidRPr="00BE51ED">
        <w:instrText xml:space="preserve"> PAGEREF _Toc370983014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Visual Studio</w:t>
      </w:r>
      <w:r w:rsidRPr="00BE51ED">
        <w:rPr>
          <w:rFonts w:cs="Tahoma"/>
          <w:vertAlign w:val="superscript"/>
        </w:rPr>
        <w:t>®</w:t>
      </w:r>
      <w:r w:rsidRPr="00BE51ED">
        <w:rPr>
          <w:rFonts w:cs="Tahoma"/>
        </w:rPr>
        <w:t xml:space="preserve"> Professional 2013 mit MSDN</w:t>
      </w:r>
      <w:r w:rsidRPr="00BE51ED">
        <w:tab/>
      </w:r>
      <w:r w:rsidRPr="00BE51ED">
        <w:fldChar w:fldCharType="begin"/>
      </w:r>
      <w:r w:rsidRPr="00BE51ED">
        <w:instrText xml:space="preserve"> PAGEREF _Toc370983015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Visual Studio</w:t>
      </w:r>
      <w:r w:rsidRPr="00BE51ED">
        <w:rPr>
          <w:rFonts w:cs="Tahoma"/>
          <w:vertAlign w:val="superscript"/>
        </w:rPr>
        <w:t>®</w:t>
      </w:r>
      <w:r w:rsidRPr="00BE51ED">
        <w:rPr>
          <w:rFonts w:cs="Tahoma"/>
        </w:rPr>
        <w:t xml:space="preserve"> Premium 2013 mit MSDN</w:t>
      </w:r>
      <w:r w:rsidRPr="00BE51ED">
        <w:tab/>
      </w:r>
      <w:r w:rsidRPr="00BE51ED">
        <w:fldChar w:fldCharType="begin"/>
      </w:r>
      <w:r w:rsidRPr="00BE51ED">
        <w:instrText xml:space="preserve"> PAGEREF _Toc370983016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Visual Studio</w:t>
      </w:r>
      <w:r w:rsidRPr="00BE51ED">
        <w:rPr>
          <w:rFonts w:cs="Tahoma"/>
          <w:vertAlign w:val="superscript"/>
        </w:rPr>
        <w:t>®</w:t>
      </w:r>
      <w:r w:rsidRPr="00BE51ED">
        <w:rPr>
          <w:rFonts w:cs="Tahoma"/>
        </w:rPr>
        <w:t xml:space="preserve"> Ultimate 2013 mit MSDN</w:t>
      </w:r>
      <w:r w:rsidRPr="00BE51ED">
        <w:tab/>
      </w:r>
      <w:r w:rsidRPr="00BE51ED">
        <w:fldChar w:fldCharType="begin"/>
      </w:r>
      <w:r w:rsidRPr="00BE51ED">
        <w:instrText xml:space="preserve"> PAGEREF _Toc370983017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Visual Studio</w:t>
      </w:r>
      <w:r w:rsidRPr="00BE51ED">
        <w:rPr>
          <w:rFonts w:cs="Tahoma"/>
          <w:vertAlign w:val="superscript"/>
        </w:rPr>
        <w:t>®</w:t>
      </w:r>
      <w:r w:rsidRPr="00BE51ED">
        <w:rPr>
          <w:rFonts w:cs="Tahoma"/>
        </w:rPr>
        <w:t xml:space="preserve"> Test Professional 2013 mit MSDN</w:t>
      </w:r>
      <w:r w:rsidRPr="00BE51ED">
        <w:tab/>
      </w:r>
      <w:r w:rsidRPr="00BE51ED">
        <w:fldChar w:fldCharType="begin"/>
      </w:r>
      <w:r w:rsidRPr="00BE51ED">
        <w:instrText xml:space="preserve"> PAGEREF _Toc370983018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Word 2013</w:t>
      </w:r>
      <w:r w:rsidRPr="00BE51ED">
        <w:tab/>
      </w:r>
      <w:r w:rsidRPr="00BE51ED">
        <w:fldChar w:fldCharType="begin"/>
      </w:r>
      <w:r w:rsidRPr="00BE51ED">
        <w:instrText xml:space="preserve"> PAGEREF _Toc370983019 \h </w:instrText>
      </w:r>
      <w:r w:rsidRPr="00BE51ED">
        <w:fldChar w:fldCharType="separate"/>
      </w:r>
      <w:r w:rsidRPr="00BE51ED">
        <w:t>17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lastRenderedPageBreak/>
        <w:t>Word für Mac 2011</w:t>
      </w:r>
      <w:r w:rsidRPr="00BE51ED">
        <w:tab/>
      </w:r>
      <w:r w:rsidRPr="00BE51ED">
        <w:fldChar w:fldCharType="begin"/>
      </w:r>
      <w:r w:rsidRPr="00BE51ED">
        <w:instrText xml:space="preserve"> PAGEREF _Toc370983020 \h </w:instrText>
      </w:r>
      <w:r w:rsidRPr="00BE51ED">
        <w:fldChar w:fldCharType="separate"/>
      </w:r>
      <w:r w:rsidRPr="00BE51ED">
        <w:t>17</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SYSTEM-POOL</w:t>
      </w:r>
      <w:r w:rsidRPr="00BE51ED">
        <w:rPr>
          <w:color w:val="auto"/>
        </w:rPr>
        <w:tab/>
      </w:r>
      <w:r w:rsidRPr="00BE51ED">
        <w:rPr>
          <w:color w:val="auto"/>
        </w:rPr>
        <w:fldChar w:fldCharType="begin"/>
      </w:r>
      <w:r w:rsidRPr="00BE51ED">
        <w:rPr>
          <w:color w:val="auto"/>
        </w:rPr>
        <w:instrText xml:space="preserve"> PAGEREF _Toc370983021 \h </w:instrText>
      </w:r>
      <w:r w:rsidRPr="00BE51ED">
        <w:rPr>
          <w:color w:val="auto"/>
        </w:rPr>
      </w:r>
      <w:r w:rsidRPr="00BE51ED">
        <w:rPr>
          <w:color w:val="auto"/>
        </w:rPr>
        <w:fldChar w:fldCharType="separate"/>
      </w:r>
      <w:r w:rsidRPr="00BE51ED">
        <w:rPr>
          <w:color w:val="auto"/>
        </w:rPr>
        <w:t>17</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Desktop Optimization Pack für Software Assurance</w:t>
      </w:r>
      <w:r w:rsidRPr="00BE51ED">
        <w:tab/>
      </w:r>
      <w:r w:rsidRPr="00BE51ED">
        <w:fldChar w:fldCharType="begin"/>
      </w:r>
      <w:r w:rsidRPr="00BE51ED">
        <w:instrText xml:space="preserve"> PAGEREF _Toc370983022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Companion-Abonnementlizenz</w:t>
      </w:r>
      <w:r w:rsidRPr="00BE51ED">
        <w:tab/>
      </w:r>
      <w:r w:rsidRPr="00BE51ED">
        <w:fldChar w:fldCharType="begin"/>
      </w:r>
      <w:r w:rsidRPr="00BE51ED">
        <w:instrText xml:space="preserve"> PAGEREF _Toc370983023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w:t>
      </w:r>
      <w:r w:rsidRPr="00BE51ED">
        <w:rPr>
          <w:rFonts w:cs="Tahoma"/>
          <w:vertAlign w:val="superscript"/>
        </w:rPr>
        <w:t>®</w:t>
      </w:r>
      <w:r w:rsidRPr="00BE51ED">
        <w:rPr>
          <w:rFonts w:cs="Tahoma"/>
        </w:rPr>
        <w:t xml:space="preserve"> Embedded 8.1  Industry Pro</w:t>
      </w:r>
      <w:r w:rsidRPr="00BE51ED">
        <w:tab/>
      </w:r>
      <w:r w:rsidRPr="00BE51ED">
        <w:fldChar w:fldCharType="begin"/>
      </w:r>
      <w:r w:rsidRPr="00BE51ED">
        <w:instrText xml:space="preserve"> PAGEREF _Toc370983024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w:t>
      </w:r>
      <w:r w:rsidRPr="00BE51ED">
        <w:rPr>
          <w:rFonts w:cs="Tahoma"/>
          <w:vertAlign w:val="superscript"/>
        </w:rPr>
        <w:t>®</w:t>
      </w:r>
      <w:r w:rsidRPr="00BE51ED">
        <w:rPr>
          <w:rFonts w:cs="Tahoma"/>
        </w:rPr>
        <w:t xml:space="preserve"> Embedded 8.1 Industry Pro Sideloading</w:t>
      </w:r>
      <w:r w:rsidRPr="00BE51ED">
        <w:tab/>
      </w:r>
      <w:r w:rsidRPr="00BE51ED">
        <w:fldChar w:fldCharType="begin"/>
      </w:r>
      <w:r w:rsidRPr="00BE51ED">
        <w:instrText xml:space="preserve"> PAGEREF _Toc370983025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w:t>
      </w:r>
      <w:r w:rsidRPr="00BE51ED">
        <w:rPr>
          <w:rFonts w:cs="Tahoma"/>
          <w:vertAlign w:val="superscript"/>
        </w:rPr>
        <w:t>®</w:t>
      </w:r>
      <w:r w:rsidRPr="00BE51ED">
        <w:rPr>
          <w:rFonts w:cs="Tahoma"/>
        </w:rPr>
        <w:t xml:space="preserve"> Embedded 8 Standard Enterprise Kit</w:t>
      </w:r>
      <w:r w:rsidRPr="00BE51ED">
        <w:tab/>
      </w:r>
      <w:r w:rsidRPr="00BE51ED">
        <w:fldChar w:fldCharType="begin"/>
      </w:r>
      <w:r w:rsidRPr="00BE51ED">
        <w:instrText xml:space="preserve"> PAGEREF _Toc370983026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Vermietungsrechte für Windows</w:t>
      </w:r>
      <w:r w:rsidRPr="00BE51ED">
        <w:tab/>
      </w:r>
      <w:r w:rsidRPr="00BE51ED">
        <w:fldChar w:fldCharType="begin"/>
      </w:r>
      <w:r w:rsidRPr="00BE51ED">
        <w:instrText xml:space="preserve"> PAGEREF _Toc370983027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w:t>
      </w:r>
      <w:r w:rsidRPr="00BE51ED">
        <w:rPr>
          <w:rFonts w:cs="Tahoma"/>
          <w:vertAlign w:val="superscript"/>
        </w:rPr>
        <w:t>®</w:t>
      </w:r>
      <w:r w:rsidRPr="00BE51ED">
        <w:rPr>
          <w:rFonts w:cs="Tahoma"/>
        </w:rPr>
        <w:t xml:space="preserve"> 7 Partners in Learning</w:t>
      </w:r>
      <w:r w:rsidRPr="00BE51ED">
        <w:tab/>
      </w:r>
      <w:r w:rsidRPr="00BE51ED">
        <w:fldChar w:fldCharType="begin"/>
      </w:r>
      <w:r w:rsidRPr="00BE51ED">
        <w:instrText xml:space="preserve"> PAGEREF _Toc370983028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8.1 Enterprise Sideloading (100 Pack)</w:t>
      </w:r>
      <w:r w:rsidRPr="00BE51ED">
        <w:tab/>
      </w:r>
      <w:r w:rsidRPr="00BE51ED">
        <w:fldChar w:fldCharType="begin"/>
      </w:r>
      <w:r w:rsidRPr="00BE51ED">
        <w:instrText xml:space="preserve"> PAGEREF _Toc370983029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w:t>
      </w:r>
      <w:r w:rsidRPr="00BE51ED">
        <w:rPr>
          <w:rFonts w:cs="Tahoma"/>
          <w:vertAlign w:val="superscript"/>
        </w:rPr>
        <w:t>®</w:t>
      </w:r>
      <w:r w:rsidRPr="00BE51ED">
        <w:rPr>
          <w:rFonts w:cs="Tahoma"/>
        </w:rPr>
        <w:t xml:space="preserve"> 8.1 Pro</w:t>
      </w:r>
      <w:r w:rsidRPr="00BE51ED">
        <w:tab/>
      </w:r>
      <w:r w:rsidRPr="00BE51ED">
        <w:fldChar w:fldCharType="begin"/>
      </w:r>
      <w:r w:rsidRPr="00BE51ED">
        <w:instrText xml:space="preserve"> PAGEREF _Toc370983030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w:t>
      </w:r>
      <w:r w:rsidRPr="00BE51ED">
        <w:rPr>
          <w:rFonts w:cs="Tahoma"/>
          <w:vertAlign w:val="superscript"/>
        </w:rPr>
        <w:t>®</w:t>
      </w:r>
      <w:r w:rsidRPr="00BE51ED">
        <w:rPr>
          <w:rFonts w:cs="Tahoma"/>
        </w:rPr>
        <w:t xml:space="preserve"> 8.1 Pro mit MDOP</w:t>
      </w:r>
      <w:r w:rsidRPr="00BE51ED">
        <w:tab/>
      </w:r>
      <w:r w:rsidRPr="00BE51ED">
        <w:fldChar w:fldCharType="begin"/>
      </w:r>
      <w:r w:rsidRPr="00BE51ED">
        <w:instrText xml:space="preserve"> PAGEREF _Toc370983031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Virtual Desktop Access (VDA)</w:t>
      </w:r>
      <w:r w:rsidRPr="00BE51ED">
        <w:tab/>
      </w:r>
      <w:r w:rsidRPr="00BE51ED">
        <w:fldChar w:fldCharType="begin"/>
      </w:r>
      <w:r w:rsidRPr="00BE51ED">
        <w:instrText xml:space="preserve"> PAGEREF _Toc370983032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Intune (Pro Gerät)</w:t>
      </w:r>
      <w:r w:rsidRPr="00BE51ED">
        <w:tab/>
      </w:r>
      <w:r w:rsidRPr="00BE51ED">
        <w:fldChar w:fldCharType="begin"/>
      </w:r>
      <w:r w:rsidRPr="00BE51ED">
        <w:instrText xml:space="preserve"> PAGEREF _Toc370983033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Intune-Add-On (Pro Gerät)</w:t>
      </w:r>
      <w:r w:rsidRPr="00BE51ED">
        <w:tab/>
      </w:r>
      <w:r w:rsidRPr="00BE51ED">
        <w:fldChar w:fldCharType="begin"/>
      </w:r>
      <w:r w:rsidRPr="00BE51ED">
        <w:instrText xml:space="preserve"> PAGEREF _Toc370983034 \h </w:instrText>
      </w:r>
      <w:r w:rsidRPr="00BE51ED">
        <w:fldChar w:fldCharType="separate"/>
      </w:r>
      <w:r w:rsidRPr="00BE51ED">
        <w:t>18</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SERVER-POOL</w:t>
      </w:r>
      <w:r w:rsidRPr="00BE51ED">
        <w:rPr>
          <w:color w:val="auto"/>
        </w:rPr>
        <w:tab/>
      </w:r>
      <w:r w:rsidRPr="00BE51ED">
        <w:rPr>
          <w:color w:val="auto"/>
        </w:rPr>
        <w:fldChar w:fldCharType="begin"/>
      </w:r>
      <w:r w:rsidRPr="00BE51ED">
        <w:rPr>
          <w:color w:val="auto"/>
        </w:rPr>
        <w:instrText xml:space="preserve"> PAGEREF _Toc370983035 \h </w:instrText>
      </w:r>
      <w:r w:rsidRPr="00BE51ED">
        <w:rPr>
          <w:color w:val="auto"/>
        </w:rPr>
      </w:r>
      <w:r w:rsidRPr="00BE51ED">
        <w:rPr>
          <w:color w:val="auto"/>
        </w:rPr>
        <w:fldChar w:fldCharType="separate"/>
      </w:r>
      <w:r w:rsidRPr="00BE51ED">
        <w:rPr>
          <w:color w:val="auto"/>
        </w:rPr>
        <w:t>18</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Consumer Tracked Per Asset Monthly Sub</w:t>
      </w:r>
      <w:r w:rsidRPr="00BE51ED">
        <w:tab/>
      </w:r>
      <w:r w:rsidRPr="00BE51ED">
        <w:fldChar w:fldCharType="begin"/>
      </w:r>
      <w:r w:rsidRPr="00BE51ED">
        <w:instrText xml:space="preserve"> PAGEREF _Toc370983036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Enterprise Fee Monthly Sub</w:t>
      </w:r>
      <w:r w:rsidRPr="00BE51ED">
        <w:tab/>
      </w:r>
      <w:r w:rsidRPr="00BE51ED">
        <w:fldChar w:fldCharType="begin"/>
      </w:r>
      <w:r w:rsidRPr="00BE51ED">
        <w:instrText xml:space="preserve"> PAGEREF _Toc370983037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Public Website Usage 100K Transactions Monthly Sub</w:t>
      </w:r>
      <w:r w:rsidRPr="00BE51ED">
        <w:tab/>
      </w:r>
      <w:r w:rsidRPr="00BE51ED">
        <w:fldChar w:fldCharType="begin"/>
      </w:r>
      <w:r w:rsidRPr="00BE51ED">
        <w:instrText xml:space="preserve"> PAGEREF _Toc370983038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Public Website Usage 420K (und höher) Transactions Monthly Sub</w:t>
      </w:r>
      <w:r w:rsidRPr="00BE51ED">
        <w:tab/>
      </w:r>
      <w:r w:rsidRPr="00BE51ED">
        <w:fldChar w:fldCharType="begin"/>
      </w:r>
      <w:r w:rsidRPr="00BE51ED">
        <w:instrText xml:space="preserve"> PAGEREF _Toc370983039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Internal Website Usage 100K Transactions Monthly Sub</w:t>
      </w:r>
      <w:r w:rsidRPr="00BE51ED">
        <w:tab/>
      </w:r>
      <w:r w:rsidRPr="00BE51ED">
        <w:fldChar w:fldCharType="begin"/>
      </w:r>
      <w:r w:rsidRPr="00BE51ED">
        <w:instrText xml:space="preserve"> PAGEREF _Toc370983040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Internal Website Usage 250K (und höher) Transactions Monthly Sub</w:t>
      </w:r>
      <w:r w:rsidRPr="00BE51ED">
        <w:tab/>
      </w:r>
      <w:r w:rsidRPr="00BE51ED">
        <w:fldChar w:fldCharType="begin"/>
      </w:r>
      <w:r w:rsidRPr="00BE51ED">
        <w:instrText xml:space="preserve"> PAGEREF _Toc370983041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Known Per User Monthly Sub</w:t>
      </w:r>
      <w:r w:rsidRPr="00BE51ED">
        <w:tab/>
      </w:r>
      <w:r w:rsidRPr="00BE51ED">
        <w:fldChar w:fldCharType="begin"/>
      </w:r>
      <w:r w:rsidRPr="00BE51ED">
        <w:instrText xml:space="preserve"> PAGEREF _Toc370983042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Known 5K User Bundle Monthly Sub</w:t>
      </w:r>
      <w:r w:rsidRPr="00BE51ED">
        <w:tab/>
      </w:r>
      <w:r w:rsidRPr="00BE51ED">
        <w:fldChar w:fldCharType="begin"/>
      </w:r>
      <w:r w:rsidRPr="00BE51ED">
        <w:instrText xml:space="preserve"> PAGEREF _Toc370983043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Light Known Per User Monthly Sub</w:t>
      </w:r>
      <w:r w:rsidRPr="00BE51ED">
        <w:tab/>
      </w:r>
      <w:r w:rsidRPr="00BE51ED">
        <w:fldChar w:fldCharType="begin"/>
      </w:r>
      <w:r w:rsidRPr="00BE51ED">
        <w:instrText xml:space="preserve"> PAGEREF _Toc370983044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Light Known 5K User Bundle Monthly Sub</w:t>
      </w:r>
      <w:r w:rsidRPr="00BE51ED">
        <w:tab/>
      </w:r>
      <w:r w:rsidRPr="00BE51ED">
        <w:fldChar w:fldCharType="begin"/>
      </w:r>
      <w:r w:rsidRPr="00BE51ED">
        <w:instrText xml:space="preserve"> PAGEREF _Toc370983045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Mobile Asset Management Platform Fee Monthly Sub</w:t>
      </w:r>
      <w:r w:rsidRPr="00BE51ED">
        <w:tab/>
      </w:r>
      <w:r w:rsidRPr="00BE51ED">
        <w:fldChar w:fldCharType="begin"/>
      </w:r>
      <w:r w:rsidRPr="00BE51ED">
        <w:instrText xml:space="preserve"> PAGEREF _Toc370983046 \h </w:instrText>
      </w:r>
      <w:r w:rsidRPr="00BE51ED">
        <w:fldChar w:fldCharType="separate"/>
      </w:r>
      <w:r w:rsidRPr="00BE51ED">
        <w:t>18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Mobile Asset Management NA mit Routing Per Asset Monthly Sub</w:t>
      </w:r>
      <w:r w:rsidRPr="00BE51ED">
        <w:tab/>
      </w:r>
      <w:r w:rsidRPr="00BE51ED">
        <w:fldChar w:fldCharType="begin"/>
      </w:r>
      <w:r w:rsidRPr="00BE51ED">
        <w:instrText xml:space="preserve"> PAGEREF _Toc370983047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Mobile Asset Management NA ohne Routing Per Asset Monthly Sub</w:t>
      </w:r>
      <w:r w:rsidRPr="00BE51ED">
        <w:tab/>
      </w:r>
      <w:r w:rsidRPr="00BE51ED">
        <w:fldChar w:fldCharType="begin"/>
      </w:r>
      <w:r w:rsidRPr="00BE51ED">
        <w:instrText xml:space="preserve"> PAGEREF _Toc370983048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Mobile Asset Management Europe mit Routing Per Asset Monthly Sub</w:t>
      </w:r>
      <w:r w:rsidRPr="00BE51ED">
        <w:tab/>
      </w:r>
      <w:r w:rsidRPr="00BE51ED">
        <w:fldChar w:fldCharType="begin"/>
      </w:r>
      <w:r w:rsidRPr="00BE51ED">
        <w:instrText xml:space="preserve"> PAGEREF _Toc370983049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Bing Maps Mobile Asset Management Europe ohne Routing Per Asset Monthly Sub</w:t>
      </w:r>
      <w:r w:rsidRPr="00BE51ED">
        <w:tab/>
      </w:r>
      <w:r w:rsidRPr="00BE51ED">
        <w:fldChar w:fldCharType="begin"/>
      </w:r>
      <w:r w:rsidRPr="00BE51ED">
        <w:instrText xml:space="preserve"> PAGEREF _Toc370983050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BizTalk</w:t>
      </w:r>
      <w:r w:rsidRPr="00BE51ED">
        <w:rPr>
          <w:rFonts w:cs="Tahoma"/>
          <w:vertAlign w:val="superscript"/>
        </w:rPr>
        <w:t>®</w:t>
      </w:r>
      <w:r w:rsidRPr="00BE51ED">
        <w:rPr>
          <w:rFonts w:cs="Tahoma"/>
        </w:rPr>
        <w:t xml:space="preserve"> Server 2013 Branch Edition</w:t>
      </w:r>
      <w:r w:rsidRPr="00BE51ED">
        <w:tab/>
      </w:r>
      <w:r w:rsidRPr="00BE51ED">
        <w:fldChar w:fldCharType="begin"/>
      </w:r>
      <w:r w:rsidRPr="00BE51ED">
        <w:instrText xml:space="preserve"> PAGEREF _Toc370983051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BizTalk</w:t>
      </w:r>
      <w:r w:rsidRPr="00BE51ED">
        <w:rPr>
          <w:rFonts w:cs="Tahoma"/>
          <w:vertAlign w:val="superscript"/>
        </w:rPr>
        <w:t>®</w:t>
      </w:r>
      <w:r w:rsidRPr="00BE51ED">
        <w:rPr>
          <w:rFonts w:cs="Tahoma"/>
        </w:rPr>
        <w:t xml:space="preserve"> Server 2013 Enterprise Edition</w:t>
      </w:r>
      <w:r w:rsidRPr="00BE51ED">
        <w:tab/>
      </w:r>
      <w:r w:rsidRPr="00BE51ED">
        <w:fldChar w:fldCharType="begin"/>
      </w:r>
      <w:r w:rsidRPr="00BE51ED">
        <w:instrText xml:space="preserve"> PAGEREF _Toc370983052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BizTalk</w:t>
      </w:r>
      <w:r w:rsidRPr="00BE51ED">
        <w:rPr>
          <w:rFonts w:cs="Tahoma"/>
          <w:vertAlign w:val="superscript"/>
        </w:rPr>
        <w:t>®</w:t>
      </w:r>
      <w:r w:rsidRPr="00BE51ED">
        <w:rPr>
          <w:rFonts w:cs="Tahoma"/>
        </w:rPr>
        <w:t xml:space="preserve"> Server 2013 Branch IDC</w:t>
      </w:r>
      <w:r w:rsidRPr="00BE51ED">
        <w:tab/>
      </w:r>
      <w:r w:rsidRPr="00BE51ED">
        <w:fldChar w:fldCharType="begin"/>
      </w:r>
      <w:r w:rsidRPr="00BE51ED">
        <w:instrText xml:space="preserve"> PAGEREF _Toc370983053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BizTalk</w:t>
      </w:r>
      <w:r w:rsidRPr="00BE51ED">
        <w:rPr>
          <w:rFonts w:cs="Tahoma"/>
          <w:vertAlign w:val="superscript"/>
        </w:rPr>
        <w:t>®</w:t>
      </w:r>
      <w:r w:rsidRPr="00BE51ED">
        <w:rPr>
          <w:rFonts w:cs="Tahoma"/>
        </w:rPr>
        <w:t xml:space="preserve"> Server 2013 Standard Edition</w:t>
      </w:r>
      <w:r w:rsidRPr="00BE51ED">
        <w:tab/>
      </w:r>
      <w:r w:rsidRPr="00BE51ED">
        <w:fldChar w:fldCharType="begin"/>
      </w:r>
      <w:r w:rsidRPr="00BE51ED">
        <w:instrText xml:space="preserve"> PAGEREF _Toc370983054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BizTalk</w:t>
      </w:r>
      <w:r w:rsidRPr="00BE51ED">
        <w:rPr>
          <w:rFonts w:cs="Tahoma"/>
          <w:vertAlign w:val="superscript"/>
        </w:rPr>
        <w:t>®</w:t>
      </w:r>
      <w:r w:rsidRPr="00BE51ED">
        <w:rPr>
          <w:rFonts w:cs="Tahoma"/>
        </w:rPr>
        <w:t xml:space="preserve"> Server 2013 Standard Edition IDC</w:t>
      </w:r>
      <w:r w:rsidRPr="00BE51ED">
        <w:tab/>
      </w:r>
      <w:r w:rsidRPr="00BE51ED">
        <w:fldChar w:fldCharType="begin"/>
      </w:r>
      <w:r w:rsidRPr="00BE51ED">
        <w:instrText xml:space="preserve"> PAGEREF _Toc370983055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Business Intelligence Appliance 2012</w:t>
      </w:r>
      <w:r w:rsidRPr="00BE51ED">
        <w:tab/>
      </w:r>
      <w:r w:rsidRPr="00BE51ED">
        <w:fldChar w:fldCharType="begin"/>
      </w:r>
      <w:r w:rsidRPr="00BE51ED">
        <w:instrText xml:space="preserve"> PAGEREF _Toc370983056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Core CAL Suite Bridge für Office 365 (Nutzer &amp; Gerät)</w:t>
      </w:r>
      <w:r w:rsidRPr="00BE51ED">
        <w:tab/>
      </w:r>
      <w:r w:rsidRPr="00BE51ED">
        <w:fldChar w:fldCharType="begin"/>
      </w:r>
      <w:r w:rsidRPr="00BE51ED">
        <w:instrText xml:space="preserve"> PAGEREF _Toc370983057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Core CAL Suite Bridge für Office 365 und Windows</w:t>
      </w:r>
      <w:r w:rsidRPr="00BE51ED">
        <w:rPr>
          <w:rFonts w:cs="Tahoma"/>
          <w:vertAlign w:val="superscript"/>
          <w:lang w:val="de-DE"/>
        </w:rPr>
        <w:t>®</w:t>
      </w:r>
      <w:r w:rsidRPr="00BE51ED">
        <w:rPr>
          <w:rFonts w:cs="Tahoma"/>
          <w:lang w:val="de-DE"/>
        </w:rPr>
        <w:t xml:space="preserve"> Intune (Nutzer &amp; Gerät)</w:t>
      </w:r>
      <w:r w:rsidRPr="00BE51ED">
        <w:tab/>
      </w:r>
      <w:r w:rsidRPr="00BE51ED">
        <w:fldChar w:fldCharType="begin"/>
      </w:r>
      <w:r w:rsidRPr="00BE51ED">
        <w:instrText xml:space="preserve"> PAGEREF _Toc370983058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Core CAL Suite Bridge für Windows</w:t>
      </w:r>
      <w:r w:rsidRPr="00BE51ED">
        <w:rPr>
          <w:rFonts w:cs="Tahoma"/>
          <w:vertAlign w:val="superscript"/>
          <w:lang w:val="de-DE"/>
        </w:rPr>
        <w:t>®</w:t>
      </w:r>
      <w:r w:rsidRPr="00BE51ED">
        <w:rPr>
          <w:rFonts w:cs="Tahoma"/>
          <w:lang w:val="de-DE"/>
        </w:rPr>
        <w:t> Intune (Nutzer &amp; Gerät)</w:t>
      </w:r>
      <w:r w:rsidRPr="00BE51ED">
        <w:tab/>
      </w:r>
      <w:r w:rsidRPr="00BE51ED">
        <w:fldChar w:fldCharType="begin"/>
      </w:r>
      <w:r w:rsidRPr="00BE51ED">
        <w:instrText xml:space="preserve"> PAGEREF _Toc370983059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Core CAL Suite (Nutzer &amp; Gerät)</w:t>
      </w:r>
      <w:r w:rsidRPr="00BE51ED">
        <w:tab/>
      </w:r>
      <w:r w:rsidRPr="00BE51ED">
        <w:fldChar w:fldCharType="begin"/>
      </w:r>
      <w:r w:rsidRPr="00BE51ED">
        <w:instrText xml:space="preserve"> PAGEREF _Toc370983060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fr-FR"/>
        </w:rPr>
        <w:t>Core Infrastructure Server Suite Standard</w:t>
      </w:r>
      <w:r w:rsidRPr="00BE51ED">
        <w:tab/>
      </w:r>
      <w:r w:rsidRPr="00BE51ED">
        <w:fldChar w:fldCharType="begin"/>
      </w:r>
      <w:r w:rsidRPr="00BE51ED">
        <w:instrText xml:space="preserve"> PAGEREF _Toc370983061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fr-FR"/>
        </w:rPr>
        <w:t>Core Infrastructure Server Suite Enterprise</w:t>
      </w:r>
      <w:r w:rsidRPr="00BE51ED">
        <w:tab/>
      </w:r>
      <w:r w:rsidRPr="00BE51ED">
        <w:fldChar w:fldCharType="begin"/>
      </w:r>
      <w:r w:rsidRPr="00BE51ED">
        <w:instrText xml:space="preserve"> PAGEREF _Toc370983062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fr-FR"/>
        </w:rPr>
        <w:t>Core Infrastructure Server Suite Datacenter</w:t>
      </w:r>
      <w:r w:rsidRPr="00BE51ED">
        <w:tab/>
      </w:r>
      <w:r w:rsidRPr="00BE51ED">
        <w:fldChar w:fldCharType="begin"/>
      </w:r>
      <w:r w:rsidRPr="00BE51ED">
        <w:instrText xml:space="preserve"> PAGEREF _Toc370983063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Duet Enterprise 2.0</w:t>
      </w:r>
      <w:r w:rsidRPr="00BE51ED">
        <w:tab/>
      </w:r>
      <w:r w:rsidRPr="00BE51ED">
        <w:fldChar w:fldCharType="begin"/>
      </w:r>
      <w:r w:rsidRPr="00BE51ED">
        <w:instrText xml:space="preserve"> PAGEREF _Toc370983064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Enterprise CAL Suite Bridge für Office 365 (Nutzer &amp; Gerät)</w:t>
      </w:r>
      <w:r w:rsidRPr="00BE51ED">
        <w:tab/>
      </w:r>
      <w:r w:rsidRPr="00BE51ED">
        <w:fldChar w:fldCharType="begin"/>
      </w:r>
      <w:r w:rsidRPr="00BE51ED">
        <w:instrText xml:space="preserve"> PAGEREF _Toc370983065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Enterprise CAL Suite Bridge für Office 365 und Windows</w:t>
      </w:r>
      <w:r w:rsidRPr="00BE51ED">
        <w:rPr>
          <w:rFonts w:cs="Tahoma"/>
          <w:vertAlign w:val="superscript"/>
          <w:lang w:val="de-DE"/>
        </w:rPr>
        <w:t>®</w:t>
      </w:r>
      <w:r w:rsidRPr="00BE51ED">
        <w:rPr>
          <w:rFonts w:cs="Tahoma"/>
          <w:lang w:val="de-DE"/>
        </w:rPr>
        <w:t xml:space="preserve"> Intune (Nutzer &amp; Gerät)</w:t>
      </w:r>
      <w:r w:rsidRPr="00BE51ED">
        <w:tab/>
      </w:r>
      <w:r w:rsidRPr="00BE51ED">
        <w:fldChar w:fldCharType="begin"/>
      </w:r>
      <w:r w:rsidRPr="00BE51ED">
        <w:instrText xml:space="preserve"> PAGEREF _Toc370983066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Enterprise CAL Suite Bridge für Windows</w:t>
      </w:r>
      <w:r w:rsidRPr="00BE51ED">
        <w:rPr>
          <w:rFonts w:cs="Tahoma"/>
          <w:vertAlign w:val="superscript"/>
          <w:lang w:val="de-DE"/>
        </w:rPr>
        <w:t>®</w:t>
      </w:r>
      <w:r w:rsidRPr="00BE51ED">
        <w:rPr>
          <w:rFonts w:cs="Tahoma"/>
          <w:lang w:val="de-DE"/>
        </w:rPr>
        <w:t xml:space="preserve"> Intune (Nutzer &amp; Gerät)</w:t>
      </w:r>
      <w:r w:rsidRPr="00BE51ED">
        <w:tab/>
      </w:r>
      <w:r w:rsidRPr="00BE51ED">
        <w:fldChar w:fldCharType="begin"/>
      </w:r>
      <w:r w:rsidRPr="00BE51ED">
        <w:instrText xml:space="preserve"> PAGEREF _Toc370983067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Enterprise CAL Suite (Nutzer &amp; Gerät)</w:t>
      </w:r>
      <w:r w:rsidRPr="00BE51ED">
        <w:tab/>
      </w:r>
      <w:r w:rsidRPr="00BE51ED">
        <w:fldChar w:fldCharType="begin"/>
      </w:r>
      <w:r w:rsidRPr="00BE51ED">
        <w:instrText xml:space="preserve"> PAGEREF _Toc370983068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Enterprise CAL mit Diensten 2013</w:t>
      </w:r>
      <w:r w:rsidRPr="00BE51ED">
        <w:tab/>
      </w:r>
      <w:r w:rsidRPr="00BE51ED">
        <w:fldChar w:fldCharType="begin"/>
      </w:r>
      <w:r w:rsidRPr="00BE51ED">
        <w:instrText xml:space="preserve"> PAGEREF _Toc370983069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Exchange Enterprise CAL ohne Dienste 2013</w:t>
      </w:r>
      <w:r w:rsidRPr="00BE51ED">
        <w:tab/>
      </w:r>
      <w:r w:rsidRPr="00BE51ED">
        <w:fldChar w:fldCharType="begin"/>
      </w:r>
      <w:r w:rsidRPr="00BE51ED">
        <w:instrText xml:space="preserve"> PAGEREF _Toc370983070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Online-Archivierung für Exchange Server (Nutzer-AL)</w:t>
      </w:r>
      <w:r w:rsidRPr="00BE51ED">
        <w:tab/>
      </w:r>
      <w:r w:rsidRPr="00BE51ED">
        <w:fldChar w:fldCharType="begin"/>
      </w:r>
      <w:r w:rsidRPr="00BE51ED">
        <w:instrText xml:space="preserve"> PAGEREF _Toc370983071 \h </w:instrText>
      </w:r>
      <w:r w:rsidRPr="00BE51ED">
        <w:fldChar w:fldCharType="separate"/>
      </w:r>
      <w:r w:rsidRPr="00BE51ED">
        <w:t>19</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Exchange Online-Archivierung für Exchange Server A (Nutzer-AL)</w:t>
      </w:r>
      <w:r w:rsidRPr="00BE51ED">
        <w:rPr>
          <w:color w:val="auto"/>
        </w:rPr>
        <w:tab/>
      </w:r>
      <w:r w:rsidRPr="00BE51ED">
        <w:rPr>
          <w:color w:val="auto"/>
        </w:rPr>
        <w:fldChar w:fldCharType="begin"/>
      </w:r>
      <w:r w:rsidRPr="00BE51ED">
        <w:rPr>
          <w:color w:val="auto"/>
        </w:rPr>
        <w:instrText xml:space="preserve"> PAGEREF _Toc370983072 \h </w:instrText>
      </w:r>
      <w:r w:rsidRPr="00BE51ED">
        <w:rPr>
          <w:color w:val="auto"/>
        </w:rPr>
      </w:r>
      <w:r w:rsidRPr="00BE51ED">
        <w:rPr>
          <w:color w:val="auto"/>
        </w:rPr>
        <w:fldChar w:fldCharType="separate"/>
      </w:r>
      <w:r w:rsidRPr="00BE51ED">
        <w:rPr>
          <w:color w:val="auto"/>
        </w:rPr>
        <w:t>19</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Hosted Archive (Nutzer-AL)</w:t>
      </w:r>
      <w:r w:rsidRPr="00BE51ED">
        <w:tab/>
      </w:r>
      <w:r w:rsidRPr="00BE51ED">
        <w:fldChar w:fldCharType="begin"/>
      </w:r>
      <w:r w:rsidRPr="00BE51ED">
        <w:instrText xml:space="preserve"> PAGEREF _Toc370983073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Hosted Archive Extra Storage (Nutzer-AL)</w:t>
      </w:r>
      <w:r w:rsidRPr="00BE51ED">
        <w:tab/>
      </w:r>
      <w:r w:rsidRPr="00BE51ED">
        <w:fldChar w:fldCharType="begin"/>
      </w:r>
      <w:r w:rsidRPr="00BE51ED">
        <w:instrText xml:space="preserve"> PAGEREF _Toc370983074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Hosted Encryption  (Nutzer-AL)</w:t>
      </w:r>
      <w:r w:rsidRPr="00BE51ED">
        <w:tab/>
      </w:r>
      <w:r w:rsidRPr="00BE51ED">
        <w:fldChar w:fldCharType="begin"/>
      </w:r>
      <w:r w:rsidRPr="00BE51ED">
        <w:instrText xml:space="preserve"> PAGEREF _Toc370983075 \h </w:instrText>
      </w:r>
      <w:r w:rsidRPr="00BE51ED">
        <w:fldChar w:fldCharType="separate"/>
      </w:r>
      <w:r w:rsidRPr="00BE51ED">
        <w:t>19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Online-Archivierung für Exchange Online A</w:t>
      </w:r>
      <w:r w:rsidRPr="00BE51ED">
        <w:tab/>
      </w:r>
      <w:r w:rsidRPr="00BE51ED">
        <w:fldChar w:fldCharType="begin"/>
      </w:r>
      <w:r w:rsidRPr="00BE51ED">
        <w:instrText xml:space="preserve"> PAGEREF _Toc370983076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Online-Archivierung für Exchange Online</w:t>
      </w:r>
      <w:r w:rsidRPr="00BE51ED">
        <w:tab/>
      </w:r>
      <w:r w:rsidRPr="00BE51ED">
        <w:fldChar w:fldCharType="begin"/>
      </w:r>
      <w:r w:rsidRPr="00BE51ED">
        <w:instrText xml:space="preserve"> PAGEREF _Toc370983077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Online Kiosk (Nutzer-AL)</w:t>
      </w:r>
      <w:r w:rsidRPr="00BE51ED">
        <w:tab/>
      </w:r>
      <w:r w:rsidRPr="00BE51ED">
        <w:fldChar w:fldCharType="begin"/>
      </w:r>
      <w:r w:rsidRPr="00BE51ED">
        <w:instrText xml:space="preserve"> PAGEREF _Toc370983078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lastRenderedPageBreak/>
        <w:t>Add-On für Exchange Online Plan 1 (Nutzer-AL)</w:t>
      </w:r>
      <w:r w:rsidRPr="00BE51ED">
        <w:tab/>
      </w:r>
      <w:r w:rsidRPr="00BE51ED">
        <w:fldChar w:fldCharType="begin"/>
      </w:r>
      <w:r w:rsidRPr="00BE51ED">
        <w:instrText xml:space="preserve"> PAGEREF _Toc370983079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Online Plan 1 (Nutzer-AL)</w:t>
      </w:r>
      <w:r w:rsidRPr="00BE51ED">
        <w:tab/>
      </w:r>
      <w:r w:rsidRPr="00BE51ED">
        <w:fldChar w:fldCharType="begin"/>
      </w:r>
      <w:r w:rsidRPr="00BE51ED">
        <w:instrText xml:space="preserve"> PAGEREF _Toc370983080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Online Plan 2 (Nutzer-AL)</w:t>
      </w:r>
      <w:r w:rsidRPr="00BE51ED">
        <w:tab/>
      </w:r>
      <w:r w:rsidRPr="00BE51ED">
        <w:fldChar w:fldCharType="begin"/>
      </w:r>
      <w:r w:rsidRPr="00BE51ED">
        <w:instrText xml:space="preserve"> PAGEREF _Toc370983081 \h </w:instrText>
      </w:r>
      <w:r w:rsidRPr="00BE51ED">
        <w:fldChar w:fldCharType="separate"/>
      </w:r>
      <w:r w:rsidRPr="00BE51ED">
        <w:t>20</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Exchange Online Plan 1A für Alumni (Nutzer-AL)</w:t>
      </w:r>
      <w:r w:rsidRPr="00BE51ED">
        <w:rPr>
          <w:color w:val="auto"/>
        </w:rPr>
        <w:tab/>
      </w:r>
      <w:r w:rsidRPr="00BE51ED">
        <w:rPr>
          <w:color w:val="auto"/>
        </w:rPr>
        <w:fldChar w:fldCharType="begin"/>
      </w:r>
      <w:r w:rsidRPr="00BE51ED">
        <w:rPr>
          <w:color w:val="auto"/>
        </w:rPr>
        <w:instrText xml:space="preserve"> PAGEREF _Toc370983082 \h </w:instrText>
      </w:r>
      <w:r w:rsidRPr="00BE51ED">
        <w:rPr>
          <w:color w:val="auto"/>
        </w:rPr>
      </w:r>
      <w:r w:rsidRPr="00BE51ED">
        <w:rPr>
          <w:color w:val="auto"/>
        </w:rPr>
        <w:fldChar w:fldCharType="separate"/>
      </w:r>
      <w:r w:rsidRPr="00BE51ED">
        <w:rPr>
          <w:color w:val="auto"/>
        </w:rPr>
        <w:t>20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Exchange Online Plan 2A (Nutzer-AL)</w:t>
      </w:r>
      <w:r w:rsidRPr="00BE51ED">
        <w:rPr>
          <w:color w:val="auto"/>
        </w:rPr>
        <w:tab/>
      </w:r>
      <w:r w:rsidRPr="00BE51ED">
        <w:rPr>
          <w:color w:val="auto"/>
        </w:rPr>
        <w:fldChar w:fldCharType="begin"/>
      </w:r>
      <w:r w:rsidRPr="00BE51ED">
        <w:rPr>
          <w:color w:val="auto"/>
        </w:rPr>
        <w:instrText xml:space="preserve"> PAGEREF _Toc370983083 \h </w:instrText>
      </w:r>
      <w:r w:rsidRPr="00BE51ED">
        <w:rPr>
          <w:color w:val="auto"/>
        </w:rPr>
      </w:r>
      <w:r w:rsidRPr="00BE51ED">
        <w:rPr>
          <w:color w:val="auto"/>
        </w:rPr>
        <w:fldChar w:fldCharType="separate"/>
      </w:r>
      <w:r w:rsidRPr="00BE51ED">
        <w:rPr>
          <w:color w:val="auto"/>
        </w:rPr>
        <w:t>20</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Exchange Online Protection (Nutzer-AL)</w:t>
      </w:r>
      <w:r w:rsidRPr="00BE51ED">
        <w:tab/>
      </w:r>
      <w:r w:rsidRPr="00BE51ED">
        <w:fldChar w:fldCharType="begin"/>
      </w:r>
      <w:r w:rsidRPr="00BE51ED">
        <w:instrText xml:space="preserve"> PAGEREF _Toc370983084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Exchange Server Enterprise 2013</w:t>
      </w:r>
      <w:r w:rsidRPr="00BE51ED">
        <w:tab/>
      </w:r>
      <w:r w:rsidRPr="00BE51ED">
        <w:fldChar w:fldCharType="begin"/>
      </w:r>
      <w:r w:rsidRPr="00BE51ED">
        <w:instrText xml:space="preserve"> PAGEREF _Toc370983085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Exchange Server Standard 2013</w:t>
      </w:r>
      <w:r w:rsidRPr="00BE51ED">
        <w:tab/>
      </w:r>
      <w:r w:rsidRPr="00BE51ED">
        <w:fldChar w:fldCharType="begin"/>
      </w:r>
      <w:r w:rsidRPr="00BE51ED">
        <w:instrText xml:space="preserve"> PAGEREF _Toc370983086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Exchange Server 2007 Standard für Small Business</w:t>
      </w:r>
      <w:r w:rsidRPr="00BE51ED">
        <w:tab/>
      </w:r>
      <w:r w:rsidRPr="00BE51ED">
        <w:fldChar w:fldCharType="begin"/>
      </w:r>
      <w:r w:rsidRPr="00BE51ED">
        <w:instrText xml:space="preserve"> PAGEREF _Toc370983087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 für Exchange Server 2007 Standard für Small Business</w:t>
      </w:r>
      <w:r w:rsidRPr="00BE51ED">
        <w:tab/>
      </w:r>
      <w:r w:rsidRPr="00BE51ED">
        <w:fldChar w:fldCharType="begin"/>
      </w:r>
      <w:r w:rsidRPr="00BE51ED">
        <w:instrText xml:space="preserve"> PAGEREF _Toc370983088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Standard-CAL für Exchange Server 2010 (Gerät &amp; Nutzer)</w:t>
      </w:r>
      <w:r w:rsidRPr="00BE51ED">
        <w:tab/>
      </w:r>
      <w:r w:rsidRPr="00BE51ED">
        <w:fldChar w:fldCharType="begin"/>
      </w:r>
      <w:r w:rsidRPr="00BE51ED">
        <w:instrText xml:space="preserve"> PAGEREF _Toc370983089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Forefront Endpoint Protection</w:t>
      </w:r>
      <w:r w:rsidRPr="00BE51ED">
        <w:tab/>
      </w:r>
      <w:r w:rsidRPr="00BE51ED">
        <w:fldChar w:fldCharType="begin"/>
      </w:r>
      <w:r w:rsidRPr="00BE51ED">
        <w:instrText xml:space="preserve"> PAGEREF _Toc370983090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Forefront Identity Manager 2010 R2 (nur Nutzer)</w:t>
      </w:r>
      <w:r w:rsidRPr="00BE51ED">
        <w:tab/>
      </w:r>
      <w:r w:rsidRPr="00BE51ED">
        <w:fldChar w:fldCharType="begin"/>
      </w:r>
      <w:r w:rsidRPr="00BE51ED">
        <w:instrText xml:space="preserve"> PAGEREF _Toc370983091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Externer Connector für Forefront Identity Manager 2010 R2</w:t>
      </w:r>
      <w:r w:rsidRPr="00BE51ED">
        <w:tab/>
      </w:r>
      <w:r w:rsidRPr="00BE51ED">
        <w:fldChar w:fldCharType="begin"/>
      </w:r>
      <w:r w:rsidRPr="00BE51ED">
        <w:instrText xml:space="preserve"> PAGEREF _Toc370983092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Forefront Identity Manager 2010 R2 Server</w:t>
      </w:r>
      <w:r w:rsidRPr="00BE51ED">
        <w:tab/>
      </w:r>
      <w:r w:rsidRPr="00BE51ED">
        <w:fldChar w:fldCharType="begin"/>
      </w:r>
      <w:r w:rsidRPr="00BE51ED">
        <w:instrText xml:space="preserve"> PAGEREF _Toc370983093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Forefront Identity Manager 2010 R2 – Windows Live Edition</w:t>
      </w:r>
      <w:r w:rsidRPr="00BE51ED">
        <w:tab/>
      </w:r>
      <w:r w:rsidRPr="00BE51ED">
        <w:fldChar w:fldCharType="begin"/>
      </w:r>
      <w:r w:rsidRPr="00BE51ED">
        <w:instrText xml:space="preserve"> PAGEREF _Toc370983094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Forefront Online Protection für Exchange (Geräte- und Nutzer-AL)</w:t>
      </w:r>
      <w:r w:rsidRPr="00BE51ED">
        <w:tab/>
      </w:r>
      <w:r w:rsidRPr="00BE51ED">
        <w:fldChar w:fldCharType="begin"/>
      </w:r>
      <w:r w:rsidRPr="00BE51ED">
        <w:instrText xml:space="preserve"> PAGEREF _Toc370983095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Forefront Protection 2010 für Exchange Server (Geräte- und Nutzer-AL)</w:t>
      </w:r>
      <w:r w:rsidRPr="00BE51ED">
        <w:tab/>
      </w:r>
      <w:r w:rsidRPr="00BE51ED">
        <w:fldChar w:fldCharType="begin"/>
      </w:r>
      <w:r w:rsidRPr="00BE51ED">
        <w:instrText xml:space="preserve"> PAGEREF _Toc370983096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Forefront Protection 2010 for SharePoint (Geräte- und Nutzer-AL)</w:t>
      </w:r>
      <w:r w:rsidRPr="00BE51ED">
        <w:tab/>
      </w:r>
      <w:r w:rsidRPr="00BE51ED">
        <w:fldChar w:fldCharType="begin"/>
      </w:r>
      <w:r w:rsidRPr="00BE51ED">
        <w:instrText xml:space="preserve"> PAGEREF _Toc370983097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Forefront Protection 2010 for SharePoint for Internet Sites (Add-On-AL)</w:t>
      </w:r>
      <w:r w:rsidRPr="00BE51ED">
        <w:tab/>
      </w:r>
      <w:r w:rsidRPr="00BE51ED">
        <w:fldChar w:fldCharType="begin"/>
      </w:r>
      <w:r w:rsidRPr="00BE51ED">
        <w:instrText xml:space="preserve"> PAGEREF _Toc370983098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Forefront Protection Suite  (Geräte- und Nutzer-AL)</w:t>
      </w:r>
      <w:r w:rsidRPr="00BE51ED">
        <w:tab/>
      </w:r>
      <w:r w:rsidRPr="00BE51ED">
        <w:fldChar w:fldCharType="begin"/>
      </w:r>
      <w:r w:rsidRPr="00BE51ED">
        <w:instrText xml:space="preserve"> PAGEREF _Toc370983099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Forefront Security für Office Communications Server  (Nutzer- und Geräte-AL)</w:t>
      </w:r>
      <w:r w:rsidRPr="00BE51ED">
        <w:tab/>
      </w:r>
      <w:r w:rsidRPr="00BE51ED">
        <w:fldChar w:fldCharType="begin"/>
      </w:r>
      <w:r w:rsidRPr="00BE51ED">
        <w:instrText xml:space="preserve"> PAGEREF _Toc370983100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Forefront Threat Management Gateway Web Protection Services</w:t>
      </w:r>
      <w:r w:rsidRPr="00BE51ED">
        <w:tab/>
      </w:r>
      <w:r w:rsidRPr="00BE51ED">
        <w:fldChar w:fldCharType="begin"/>
      </w:r>
      <w:r w:rsidRPr="00BE51ED">
        <w:instrText xml:space="preserve"> PAGEREF _Toc370983101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Forefront Unified Access Gateway Server 2010</w:t>
      </w:r>
      <w:r w:rsidRPr="00BE51ED">
        <w:tab/>
      </w:r>
      <w:r w:rsidRPr="00BE51ED">
        <w:fldChar w:fldCharType="begin"/>
      </w:r>
      <w:r w:rsidRPr="00BE51ED">
        <w:instrText xml:space="preserve"> PAGEREF _Toc370983102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Externer Connector für Forefront Unified Access Gateway 2010</w:t>
      </w:r>
      <w:r w:rsidRPr="00BE51ED">
        <w:tab/>
      </w:r>
      <w:r w:rsidRPr="00BE51ED">
        <w:fldChar w:fldCharType="begin"/>
      </w:r>
      <w:r w:rsidRPr="00BE51ED">
        <w:instrText xml:space="preserve"> PAGEREF _Toc370983103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 für Forefront Unified Access Gateway 2010</w:t>
      </w:r>
      <w:r w:rsidRPr="00BE51ED">
        <w:tab/>
      </w:r>
      <w:r w:rsidRPr="00BE51ED">
        <w:fldChar w:fldCharType="begin"/>
      </w:r>
      <w:r w:rsidRPr="00BE51ED">
        <w:instrText xml:space="preserve"> PAGEREF _Toc370983104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10K CAL Pack für Forefront Unified Access Gateway 2010</w:t>
      </w:r>
      <w:r w:rsidRPr="00BE51ED">
        <w:tab/>
      </w:r>
      <w:r w:rsidRPr="00BE51ED">
        <w:fldChar w:fldCharType="begin"/>
      </w:r>
      <w:r w:rsidRPr="00BE51ED">
        <w:instrText xml:space="preserve"> PAGEREF _Toc370983105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HPC Pack 2008 R2 Enterprise</w:t>
      </w:r>
      <w:r w:rsidRPr="00BE51ED">
        <w:tab/>
      </w:r>
      <w:r w:rsidRPr="00BE51ED">
        <w:fldChar w:fldCharType="begin"/>
      </w:r>
      <w:r w:rsidRPr="00BE51ED">
        <w:instrText xml:space="preserve"> PAGEREF _Toc370983106 \h </w:instrText>
      </w:r>
      <w:r w:rsidRPr="00BE51ED">
        <w:fldChar w:fldCharType="separate"/>
      </w:r>
      <w:r w:rsidRPr="00BE51ED">
        <w:t>20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HPC Pack 2008 R2 für Workstation</w:t>
      </w:r>
      <w:r w:rsidRPr="00BE51ED">
        <w:tab/>
      </w:r>
      <w:r w:rsidRPr="00BE51ED">
        <w:fldChar w:fldCharType="begin"/>
      </w:r>
      <w:r w:rsidRPr="00BE51ED">
        <w:instrText xml:space="preserve"> PAGEREF _Toc370983107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Add-On für Lync Online Plan 1  (Nutzer-AL)</w:t>
      </w:r>
      <w:r w:rsidRPr="00BE51ED">
        <w:tab/>
      </w:r>
      <w:r w:rsidRPr="00BE51ED">
        <w:fldChar w:fldCharType="begin"/>
      </w:r>
      <w:r w:rsidRPr="00BE51ED">
        <w:instrText xml:space="preserve"> PAGEREF _Toc370983108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Lync Online Plan 1 (Nutzer-AL)</w:t>
      </w:r>
      <w:r w:rsidRPr="00BE51ED">
        <w:tab/>
      </w:r>
      <w:r w:rsidRPr="00BE51ED">
        <w:fldChar w:fldCharType="begin"/>
      </w:r>
      <w:r w:rsidRPr="00BE51ED">
        <w:instrText xml:space="preserve"> PAGEREF _Toc370983109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Lync Online Plan 2 (Nutzer-AL)</w:t>
      </w:r>
      <w:r w:rsidRPr="00BE51ED">
        <w:tab/>
      </w:r>
      <w:r w:rsidRPr="00BE51ED">
        <w:fldChar w:fldCharType="begin"/>
      </w:r>
      <w:r w:rsidRPr="00BE51ED">
        <w:instrText xml:space="preserve"> PAGEREF _Toc370983110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Lync Online Plan 3 (Nutzer-AL)</w:t>
      </w:r>
      <w:r w:rsidRPr="00BE51ED">
        <w:tab/>
      </w:r>
      <w:r w:rsidRPr="00BE51ED">
        <w:fldChar w:fldCharType="begin"/>
      </w:r>
      <w:r w:rsidRPr="00BE51ED">
        <w:instrText xml:space="preserve"> PAGEREF _Toc370983111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Lync Online Plan 3A (Nutzer-AL)</w:t>
      </w:r>
      <w:r w:rsidRPr="00BE51ED">
        <w:tab/>
      </w:r>
      <w:r w:rsidRPr="00BE51ED">
        <w:fldChar w:fldCharType="begin"/>
      </w:r>
      <w:r w:rsidRPr="00BE51ED">
        <w:instrText xml:space="preserve"> PAGEREF _Toc370983112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Lync Server 2013</w:t>
      </w:r>
      <w:r w:rsidRPr="00BE51ED">
        <w:tab/>
      </w:r>
      <w:r w:rsidRPr="00BE51ED">
        <w:fldChar w:fldCharType="begin"/>
      </w:r>
      <w:r w:rsidRPr="00BE51ED">
        <w:instrText xml:space="preserve"> PAGEREF _Toc370983113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Enterprise-CAL für Lync Server 2013</w:t>
      </w:r>
      <w:r w:rsidRPr="00BE51ED">
        <w:tab/>
      </w:r>
      <w:r w:rsidRPr="00BE51ED">
        <w:fldChar w:fldCharType="begin"/>
      </w:r>
      <w:r w:rsidRPr="00BE51ED">
        <w:instrText xml:space="preserve"> PAGEREF _Toc370983114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 für Lync Server Plus 2013</w:t>
      </w:r>
      <w:r w:rsidRPr="00BE51ED">
        <w:tab/>
      </w:r>
      <w:r w:rsidRPr="00BE51ED">
        <w:fldChar w:fldCharType="begin"/>
      </w:r>
      <w:r w:rsidRPr="00BE51ED">
        <w:instrText xml:space="preserve"> PAGEREF _Toc370983115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Standard-CAL für Lync Server 2013</w:t>
      </w:r>
      <w:r w:rsidRPr="00BE51ED">
        <w:tab/>
      </w:r>
      <w:r w:rsidRPr="00BE51ED">
        <w:fldChar w:fldCharType="begin"/>
      </w:r>
      <w:r w:rsidRPr="00BE51ED">
        <w:instrText xml:space="preserve"> PAGEREF _Toc370983116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Zusätzliche CAL für Microsoft Dynamics AX 2012 R2 Enterprise (Nutzer &amp; Gerät)</w:t>
      </w:r>
      <w:r w:rsidRPr="00BE51ED">
        <w:tab/>
      </w:r>
      <w:r w:rsidRPr="00BE51ED">
        <w:fldChar w:fldCharType="begin"/>
      </w:r>
      <w:r w:rsidRPr="00BE51ED">
        <w:instrText xml:space="preserve"> PAGEREF _Toc370983117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Microsoft Dynamics AX 2012 R2 Enterprise (Nutzer &amp; Gerät)</w:t>
      </w:r>
      <w:r w:rsidRPr="00BE51ED">
        <w:tab/>
      </w:r>
      <w:r w:rsidRPr="00BE51ED">
        <w:fldChar w:fldCharType="begin"/>
      </w:r>
      <w:r w:rsidRPr="00BE51ED">
        <w:instrText xml:space="preserve"> PAGEREF _Toc370983118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Zusätzliche Funktions-CAL für Microsoft Dynamics AX 2012 R2 (Nutzer &amp; Gerät)</w:t>
      </w:r>
      <w:r w:rsidRPr="00BE51ED">
        <w:tab/>
      </w:r>
      <w:r w:rsidRPr="00BE51ED">
        <w:fldChar w:fldCharType="begin"/>
      </w:r>
      <w:r w:rsidRPr="00BE51ED">
        <w:instrText xml:space="preserve"> PAGEREF _Toc370983119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Funktions-CAL für Microsoft Dynamics AX 2012 R2 (Nutzer &amp; Gerät)</w:t>
      </w:r>
      <w:r w:rsidRPr="00BE51ED">
        <w:tab/>
      </w:r>
      <w:r w:rsidRPr="00BE51ED">
        <w:fldChar w:fldCharType="begin"/>
      </w:r>
      <w:r w:rsidRPr="00BE51ED">
        <w:instrText xml:space="preserve"> PAGEREF _Toc370983120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Microsoft Dynamics AX 2012 R2 Self-Service (Nutzer &amp; Gerät)</w:t>
      </w:r>
      <w:r w:rsidRPr="00BE51ED">
        <w:tab/>
      </w:r>
      <w:r w:rsidRPr="00BE51ED">
        <w:fldChar w:fldCharType="begin"/>
      </w:r>
      <w:r w:rsidRPr="00BE51ED">
        <w:instrText xml:space="preserve"> PAGEREF _Toc370983121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pt-BR"/>
        </w:rPr>
        <w:t>Microsoft Dynamics AX 2012 R2 Server</w:t>
      </w:r>
      <w:r w:rsidRPr="00BE51ED">
        <w:tab/>
      </w:r>
      <w:r w:rsidRPr="00BE51ED">
        <w:fldChar w:fldCharType="begin"/>
      </w:r>
      <w:r w:rsidRPr="00BE51ED">
        <w:instrText xml:space="preserve"> PAGEREF _Toc370983122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Zusätzliche Aufgaben-CAL für Microsoft Dynamics AX 2012 R2 (Nutzer &amp; Gerät)</w:t>
      </w:r>
      <w:r w:rsidRPr="00BE51ED">
        <w:tab/>
      </w:r>
      <w:r w:rsidRPr="00BE51ED">
        <w:fldChar w:fldCharType="begin"/>
      </w:r>
      <w:r w:rsidRPr="00BE51ED">
        <w:instrText xml:space="preserve"> PAGEREF _Toc370983123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Aufgaben-CAL für Microsoft Dynamics AX 2012 R2 (Nutzer &amp; Gerät)</w:t>
      </w:r>
      <w:r w:rsidRPr="00BE51ED">
        <w:tab/>
      </w:r>
      <w:r w:rsidRPr="00BE51ED">
        <w:fldChar w:fldCharType="begin"/>
      </w:r>
      <w:r w:rsidRPr="00BE51ED">
        <w:instrText xml:space="preserve"> PAGEREF _Toc370983124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Microsoft Dynamics CRM 2013 Basic (Nutzer &amp; Gerät)</w:t>
      </w:r>
      <w:r w:rsidRPr="00BE51ED">
        <w:tab/>
      </w:r>
      <w:r w:rsidRPr="00BE51ED">
        <w:fldChar w:fldCharType="begin"/>
      </w:r>
      <w:r w:rsidRPr="00BE51ED">
        <w:instrText xml:space="preserve"> PAGEREF _Toc370983125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Zusätzliche CAL zur Grundlegenden Verwendung von Microsoft Dynamics 2013 CRM (Nutzer &amp; Gerät)</w:t>
      </w:r>
      <w:r w:rsidRPr="00BE51ED">
        <w:tab/>
      </w:r>
      <w:r w:rsidRPr="00BE51ED">
        <w:fldChar w:fldCharType="begin"/>
      </w:r>
      <w:r w:rsidRPr="00BE51ED">
        <w:instrText xml:space="preserve"> PAGEREF _Toc370983126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 für Microsoft Dynamics 2013 CRM Essential</w:t>
      </w:r>
      <w:r w:rsidRPr="00BE51ED">
        <w:tab/>
      </w:r>
      <w:r w:rsidRPr="00BE51ED">
        <w:fldChar w:fldCharType="begin"/>
      </w:r>
      <w:r w:rsidRPr="00BE51ED">
        <w:instrText xml:space="preserve"> PAGEREF _Toc370983127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Microsoft Dynamics 2013 CRM Professional (Nutzer &amp; Gerät)</w:t>
      </w:r>
      <w:r w:rsidRPr="00BE51ED">
        <w:tab/>
      </w:r>
      <w:r w:rsidRPr="00BE51ED">
        <w:fldChar w:fldCharType="begin"/>
      </w:r>
      <w:r w:rsidRPr="00BE51ED">
        <w:instrText xml:space="preserve"> PAGEREF _Toc370983128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Zusätzliche CAL zur Professionellen Verwendung von Microsoft Dynamics 2013 CRM (Nutzer &amp; Gerät)</w:t>
      </w:r>
      <w:r w:rsidRPr="00BE51ED">
        <w:tab/>
      </w:r>
      <w:r w:rsidRPr="00BE51ED">
        <w:fldChar w:fldCharType="begin"/>
      </w:r>
      <w:r w:rsidRPr="00BE51ED">
        <w:instrText xml:space="preserve"> PAGEREF _Toc370983129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Dynamics CRM 2013 Server</w:t>
      </w:r>
      <w:r w:rsidRPr="00BE51ED">
        <w:tab/>
      </w:r>
      <w:r w:rsidRPr="00BE51ED">
        <w:fldChar w:fldCharType="begin"/>
      </w:r>
      <w:r w:rsidRPr="00BE51ED">
        <w:instrText xml:space="preserve"> PAGEREF _Toc370983130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Externe Connectors für Microsoft Dynamics CRM 2011</w:t>
      </w:r>
      <w:r w:rsidRPr="00BE51ED">
        <w:tab/>
      </w:r>
      <w:r w:rsidRPr="00BE51ED">
        <w:fldChar w:fldCharType="begin"/>
      </w:r>
      <w:r w:rsidRPr="00BE51ED">
        <w:instrText xml:space="preserve"> PAGEREF _Toc370983131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Dynamics CRM Workgroup Server 2013</w:t>
      </w:r>
      <w:r w:rsidRPr="00BE51ED">
        <w:tab/>
      </w:r>
      <w:r w:rsidRPr="00BE51ED">
        <w:fldChar w:fldCharType="begin"/>
      </w:r>
      <w:r w:rsidRPr="00BE51ED">
        <w:instrText xml:space="preserve"> PAGEREF _Toc370983132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Dynamics CRM Online Basic</w:t>
      </w:r>
      <w:r w:rsidRPr="00BE51ED">
        <w:tab/>
      </w:r>
      <w:r w:rsidRPr="00BE51ED">
        <w:fldChar w:fldCharType="begin"/>
      </w:r>
      <w:r w:rsidRPr="00BE51ED">
        <w:instrText xml:space="preserve"> PAGEREF _Toc370983133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Dynamics CRM Online Enhanced Support</w:t>
      </w:r>
      <w:r w:rsidRPr="00BE51ED">
        <w:tab/>
      </w:r>
      <w:r w:rsidRPr="00BE51ED">
        <w:fldChar w:fldCharType="begin"/>
      </w:r>
      <w:r w:rsidRPr="00BE51ED">
        <w:instrText xml:space="preserve"> PAGEREF _Toc370983134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Dynamics CRM Online Essential</w:t>
      </w:r>
      <w:r w:rsidRPr="00BE51ED">
        <w:tab/>
      </w:r>
      <w:r w:rsidRPr="00BE51ED">
        <w:fldChar w:fldCharType="begin"/>
      </w:r>
      <w:r w:rsidRPr="00BE51ED">
        <w:instrText xml:space="preserve"> PAGEREF _Toc370983135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Dynamics CRM Online Nichtproduktionsinstanz</w:t>
      </w:r>
      <w:r w:rsidRPr="00BE51ED">
        <w:tab/>
      </w:r>
      <w:r w:rsidRPr="00BE51ED">
        <w:fldChar w:fldCharType="begin"/>
      </w:r>
      <w:r w:rsidRPr="00BE51ED">
        <w:instrText xml:space="preserve"> PAGEREF _Toc370983136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Dynamics CRM Online Produktionsinstanz</w:t>
      </w:r>
      <w:r w:rsidRPr="00BE51ED">
        <w:tab/>
      </w:r>
      <w:r w:rsidRPr="00BE51ED">
        <w:fldChar w:fldCharType="begin"/>
      </w:r>
      <w:r w:rsidRPr="00BE51ED">
        <w:instrText xml:space="preserve"> PAGEREF _Toc370983137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lastRenderedPageBreak/>
        <w:t>Microsoft Dynamics CRM Online Professional</w:t>
      </w:r>
      <w:r w:rsidRPr="00BE51ED">
        <w:tab/>
      </w:r>
      <w:r w:rsidRPr="00BE51ED">
        <w:fldChar w:fldCharType="begin"/>
      </w:r>
      <w:r w:rsidRPr="00BE51ED">
        <w:instrText xml:space="preserve"> PAGEREF _Toc370983138 \h </w:instrText>
      </w:r>
      <w:r w:rsidRPr="00BE51ED">
        <w:fldChar w:fldCharType="separate"/>
      </w:r>
      <w:r w:rsidRPr="00BE51ED">
        <w:t>21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Dynamics CRM Online Professional Direct Support</w:t>
      </w:r>
      <w:r w:rsidRPr="00BE51ED">
        <w:tab/>
      </w:r>
      <w:r w:rsidRPr="00BE51ED">
        <w:fldChar w:fldCharType="begin"/>
      </w:r>
      <w:r w:rsidRPr="00BE51ED">
        <w:instrText xml:space="preserve"> PAGEREF _Toc370983139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Microsoft Dynamics CRM Online-Speicher</w:t>
      </w:r>
      <w:r w:rsidRPr="00BE51ED">
        <w:tab/>
      </w:r>
      <w:r w:rsidRPr="00BE51ED">
        <w:fldChar w:fldCharType="begin"/>
      </w:r>
      <w:r w:rsidRPr="00BE51ED">
        <w:instrText xml:space="preserve"> PAGEREF _Toc370983140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Learning E-Reference Library (Nutzer-AL)</w:t>
      </w:r>
      <w:r w:rsidRPr="00BE51ED">
        <w:tab/>
      </w:r>
      <w:r w:rsidRPr="00BE51ED">
        <w:fldChar w:fldCharType="begin"/>
      </w:r>
      <w:r w:rsidRPr="00BE51ED">
        <w:instrText xml:space="preserve"> PAGEREF _Toc370983141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Learning IT Academy (Dienste-AL)</w:t>
      </w:r>
      <w:r w:rsidRPr="00BE51ED">
        <w:tab/>
      </w:r>
      <w:r w:rsidRPr="00BE51ED">
        <w:fldChar w:fldCharType="begin"/>
      </w:r>
      <w:r w:rsidRPr="00BE51ED">
        <w:instrText xml:space="preserve"> PAGEREF _Toc370983142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Microsoft Learning MCP 1 Prüfungsgutscheine (Dienste-AL)</w:t>
      </w:r>
      <w:r w:rsidRPr="00BE51ED">
        <w:tab/>
      </w:r>
      <w:r w:rsidRPr="00BE51ED">
        <w:fldChar w:fldCharType="begin"/>
      </w:r>
      <w:r w:rsidRPr="00BE51ED">
        <w:instrText xml:space="preserve"> PAGEREF _Toc370983143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Microsoft Learning MCP 30 Prüfungsgutscheine (Nutzer-AL)</w:t>
      </w:r>
      <w:r w:rsidRPr="00BE51ED">
        <w:tab/>
      </w:r>
      <w:r w:rsidRPr="00BE51ED">
        <w:fldChar w:fldCharType="begin"/>
      </w:r>
      <w:r w:rsidRPr="00BE51ED">
        <w:instrText xml:space="preserve"> PAGEREF _Toc370983144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Learning MOS 500 Exam Site License (Dienste-AL)</w:t>
      </w:r>
      <w:r w:rsidRPr="00BE51ED">
        <w:tab/>
      </w:r>
      <w:r w:rsidRPr="00BE51ED">
        <w:fldChar w:fldCharType="begin"/>
      </w:r>
      <w:r w:rsidRPr="00BE51ED">
        <w:instrText xml:space="preserve"> PAGEREF _Toc370983145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Learning MTA 250 Exam Site License (Dienste-AL)</w:t>
      </w:r>
      <w:r w:rsidRPr="00BE51ED">
        <w:tab/>
      </w:r>
      <w:r w:rsidRPr="00BE51ED">
        <w:fldChar w:fldCharType="begin"/>
      </w:r>
      <w:r w:rsidRPr="00BE51ED">
        <w:instrText xml:space="preserve"> PAGEREF _Toc370983146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Office Audit and Control Management Server</w:t>
      </w:r>
      <w:r w:rsidRPr="00BE51ED">
        <w:tab/>
      </w:r>
      <w:r w:rsidRPr="00BE51ED">
        <w:fldChar w:fldCharType="begin"/>
      </w:r>
      <w:r w:rsidRPr="00BE51ED">
        <w:instrText xml:space="preserve"> PAGEREF _Toc370983147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Microsoft Translator API</w:t>
      </w:r>
      <w:r w:rsidRPr="00BE51ED">
        <w:tab/>
      </w:r>
      <w:r w:rsidRPr="00BE51ED">
        <w:fldChar w:fldCharType="begin"/>
      </w:r>
      <w:r w:rsidRPr="00BE51ED">
        <w:instrText xml:space="preserve"> PAGEREF _Toc370983148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Midsize Business (Nutzer-AL)</w:t>
      </w:r>
      <w:r w:rsidRPr="00BE51ED">
        <w:tab/>
      </w:r>
      <w:r w:rsidRPr="00BE51ED">
        <w:fldChar w:fldCharType="begin"/>
      </w:r>
      <w:r w:rsidRPr="00BE51ED">
        <w:instrText xml:space="preserve"> PAGEREF _Toc370983149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Education A2 (Nutzer-AL)</w:t>
      </w:r>
      <w:r w:rsidRPr="00BE51ED">
        <w:tab/>
      </w:r>
      <w:r w:rsidRPr="00BE51ED">
        <w:fldChar w:fldCharType="begin"/>
      </w:r>
      <w:r w:rsidRPr="00BE51ED">
        <w:instrText xml:space="preserve"> PAGEREF _Toc370983150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Education A3 (Nutzer-AL)</w:t>
      </w:r>
      <w:r w:rsidRPr="00BE51ED">
        <w:tab/>
      </w:r>
      <w:r w:rsidRPr="00BE51ED">
        <w:fldChar w:fldCharType="begin"/>
      </w:r>
      <w:r w:rsidRPr="00BE51ED">
        <w:instrText xml:space="preserve"> PAGEREF _Toc370983151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Education A4 (Nutzer-AL)</w:t>
      </w:r>
      <w:r w:rsidRPr="00BE51ED">
        <w:tab/>
      </w:r>
      <w:r w:rsidRPr="00BE51ED">
        <w:fldChar w:fldCharType="begin"/>
      </w:r>
      <w:r w:rsidRPr="00BE51ED">
        <w:instrText xml:space="preserve"> PAGEREF _Toc370983152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Enterprise E3 (Nutzer-AL)</w:t>
      </w:r>
      <w:r w:rsidRPr="00BE51ED">
        <w:tab/>
      </w:r>
      <w:r w:rsidRPr="00BE51ED">
        <w:fldChar w:fldCharType="begin"/>
      </w:r>
      <w:r w:rsidRPr="00BE51ED">
        <w:instrText xml:space="preserve"> PAGEREF _Toc370983153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Enterprise E4 (Nutzer-AL)</w:t>
      </w:r>
      <w:r w:rsidRPr="00BE51ED">
        <w:tab/>
      </w:r>
      <w:r w:rsidRPr="00BE51ED">
        <w:fldChar w:fldCharType="begin"/>
      </w:r>
      <w:r w:rsidRPr="00BE51ED">
        <w:instrText xml:space="preserve"> PAGEREF _Toc370983154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für Office 365 Enterprise E1, E3, E4 (Nutzer-AL)</w:t>
      </w:r>
      <w:r w:rsidRPr="00BE51ED">
        <w:tab/>
      </w:r>
      <w:r w:rsidRPr="00BE51ED">
        <w:fldChar w:fldCharType="begin"/>
      </w:r>
      <w:r w:rsidRPr="00BE51ED">
        <w:instrText xml:space="preserve"> PAGEREF _Toc370983155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für Office 365 Enterprise E3, E4 ohne Office Pro Plus (Nutzer-AL)</w:t>
      </w:r>
      <w:r w:rsidRPr="00BE51ED">
        <w:tab/>
      </w:r>
      <w:r w:rsidRPr="00BE51ED">
        <w:fldChar w:fldCharType="begin"/>
      </w:r>
      <w:r w:rsidRPr="00BE51ED">
        <w:instrText xml:space="preserve"> PAGEREF _Toc370983156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Office 365 Enterprise K1 (Nutzer-AL)</w:t>
      </w:r>
      <w:r w:rsidRPr="00BE51ED">
        <w:tab/>
      </w:r>
      <w:r w:rsidRPr="00BE51ED">
        <w:fldChar w:fldCharType="begin"/>
      </w:r>
      <w:r w:rsidRPr="00BE51ED">
        <w:instrText xml:space="preserve"> PAGEREF _Toc370983157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Office 365 Government G1, G3, G4 (Nutzer-AL)</w:t>
      </w:r>
      <w:r w:rsidRPr="00BE51ED">
        <w:tab/>
      </w:r>
      <w:r w:rsidRPr="00BE51ED">
        <w:fldChar w:fldCharType="begin"/>
      </w:r>
      <w:r w:rsidRPr="00BE51ED">
        <w:instrText xml:space="preserve"> PAGEREF _Toc370983158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für Office 365 Government G1, G3, G4 (Nutzer-AL)</w:t>
      </w:r>
      <w:r w:rsidRPr="00BE51ED">
        <w:tab/>
      </w:r>
      <w:r w:rsidRPr="00BE51ED">
        <w:fldChar w:fldCharType="begin"/>
      </w:r>
      <w:r w:rsidRPr="00BE51ED">
        <w:instrText xml:space="preserve"> PAGEREF _Toc370983159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für Office 365 Government G3, G4 ohne Office Pro Plus (Nutzer-AL)</w:t>
      </w:r>
      <w:r w:rsidRPr="00BE51ED">
        <w:tab/>
      </w:r>
      <w:r w:rsidRPr="00BE51ED">
        <w:fldChar w:fldCharType="begin"/>
      </w:r>
      <w:r w:rsidRPr="00BE51ED">
        <w:instrText xml:space="preserve"> PAGEREF _Toc370983160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Office Web-Anwendungen mit SharePoint Plan 2A (Nutzer-AL)</w:t>
      </w:r>
      <w:r w:rsidRPr="00BE51ED">
        <w:tab/>
      </w:r>
      <w:r w:rsidRPr="00BE51ED">
        <w:fldChar w:fldCharType="begin"/>
      </w:r>
      <w:r w:rsidRPr="00BE51ED">
        <w:instrText xml:space="preserve"> PAGEREF _Toc370983161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Project Online</w:t>
      </w:r>
      <w:r w:rsidRPr="00BE51ED">
        <w:tab/>
      </w:r>
      <w:r w:rsidRPr="00BE51ED">
        <w:fldChar w:fldCharType="begin"/>
      </w:r>
      <w:r w:rsidRPr="00BE51ED">
        <w:instrText xml:space="preserve"> PAGEREF _Toc370983162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Project Online A</w:t>
      </w:r>
      <w:r w:rsidRPr="00BE51ED">
        <w:tab/>
      </w:r>
      <w:r w:rsidRPr="00BE51ED">
        <w:fldChar w:fldCharType="begin"/>
      </w:r>
      <w:r w:rsidRPr="00BE51ED">
        <w:instrText xml:space="preserve"> PAGEREF _Toc370983163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Project Server 2013</w:t>
      </w:r>
      <w:r w:rsidRPr="00BE51ED">
        <w:tab/>
      </w:r>
      <w:r w:rsidRPr="00BE51ED">
        <w:fldChar w:fldCharType="begin"/>
      </w:r>
      <w:r w:rsidRPr="00BE51ED">
        <w:instrText xml:space="preserve"> PAGEREF _Toc370983164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 für Project Server 2013</w:t>
      </w:r>
      <w:r w:rsidRPr="00BE51ED">
        <w:tab/>
      </w:r>
      <w:r w:rsidRPr="00BE51ED">
        <w:fldChar w:fldCharType="begin"/>
      </w:r>
      <w:r w:rsidRPr="00BE51ED">
        <w:instrText xml:space="preserve"> PAGEREF _Toc370983165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SharePoint™ Online Extra Storage 1 GB (Add-On-AL)</w:t>
      </w:r>
      <w:r w:rsidRPr="00BE51ED">
        <w:tab/>
      </w:r>
      <w:r w:rsidRPr="00BE51ED">
        <w:fldChar w:fldCharType="begin"/>
      </w:r>
      <w:r w:rsidRPr="00BE51ED">
        <w:instrText xml:space="preserve"> PAGEREF _Toc370983166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SharePoint™ Online Extra Storage 1 GB A (Add-On-AL)</w:t>
      </w:r>
      <w:r w:rsidRPr="00BE51ED">
        <w:tab/>
      </w:r>
      <w:r w:rsidRPr="00BE51ED">
        <w:fldChar w:fldCharType="begin"/>
      </w:r>
      <w:r w:rsidRPr="00BE51ED">
        <w:instrText xml:space="preserve"> PAGEREF _Toc370983167 \h </w:instrText>
      </w:r>
      <w:r w:rsidRPr="00BE51ED">
        <w:fldChar w:fldCharType="separate"/>
      </w:r>
      <w:r w:rsidRPr="00BE51ED">
        <w:t>22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Add-On für SharePoint™ Online Plan 1 (Nutzer-AL)</w:t>
      </w:r>
      <w:r w:rsidRPr="00BE51ED">
        <w:tab/>
      </w:r>
      <w:r w:rsidRPr="00BE51ED">
        <w:fldChar w:fldCharType="begin"/>
      </w:r>
      <w:r w:rsidRPr="00BE51ED">
        <w:instrText xml:space="preserve"> PAGEREF _Toc370983168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SharePoint™ Online Plan 1 (Nutzer-AL)</w:t>
      </w:r>
      <w:r w:rsidRPr="00BE51ED">
        <w:tab/>
      </w:r>
      <w:r w:rsidRPr="00BE51ED">
        <w:fldChar w:fldCharType="begin"/>
      </w:r>
      <w:r w:rsidRPr="00BE51ED">
        <w:instrText xml:space="preserve"> PAGEREF _Toc370983169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Add-On für SharePoint™ Online Plan 1 mit Yammer (Nutzer-AL)</w:t>
      </w:r>
      <w:r w:rsidRPr="00BE51ED">
        <w:tab/>
      </w:r>
      <w:r w:rsidRPr="00BE51ED">
        <w:fldChar w:fldCharType="begin"/>
      </w:r>
      <w:r w:rsidRPr="00BE51ED">
        <w:instrText xml:space="preserve"> PAGEREF _Toc370983170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SharePoint™ Online Plan 2 (Nutzer-AL)</w:t>
      </w:r>
      <w:r w:rsidRPr="00BE51ED">
        <w:tab/>
      </w:r>
      <w:r w:rsidRPr="00BE51ED">
        <w:fldChar w:fldCharType="begin"/>
      </w:r>
      <w:r w:rsidRPr="00BE51ED">
        <w:instrText xml:space="preserve"> PAGEREF _Toc370983171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SharePoint™ Server 2013</w:t>
      </w:r>
      <w:r w:rsidRPr="00BE51ED">
        <w:tab/>
      </w:r>
      <w:r w:rsidRPr="00BE51ED">
        <w:fldChar w:fldCharType="begin"/>
      </w:r>
      <w:r w:rsidRPr="00BE51ED">
        <w:instrText xml:space="preserve"> PAGEREF _Toc370983172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Enterprise CAL für SharePoint™ Server 2013</w:t>
      </w:r>
      <w:r w:rsidRPr="00BE51ED">
        <w:tab/>
      </w:r>
      <w:r w:rsidRPr="00BE51ED">
        <w:fldChar w:fldCharType="begin"/>
      </w:r>
      <w:r w:rsidRPr="00BE51ED">
        <w:instrText xml:space="preserve"> PAGEREF _Toc370983173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Standard-CAL für SharePoint™ Server 2013</w:t>
      </w:r>
      <w:r w:rsidRPr="00BE51ED">
        <w:tab/>
      </w:r>
      <w:r w:rsidRPr="00BE51ED">
        <w:fldChar w:fldCharType="begin"/>
      </w:r>
      <w:r w:rsidRPr="00BE51ED">
        <w:instrText xml:space="preserve"> PAGEREF _Toc370983174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pt-BR"/>
        </w:rPr>
        <w:t>SQL Server</w:t>
      </w:r>
      <w:r w:rsidRPr="00BE51ED">
        <w:rPr>
          <w:rFonts w:eastAsia="Times New Roman" w:cs="Tahoma"/>
          <w:vertAlign w:val="superscript"/>
          <w:lang w:val="pt-BR"/>
        </w:rPr>
        <w:t>®</w:t>
      </w:r>
      <w:r w:rsidRPr="00BE51ED">
        <w:rPr>
          <w:rFonts w:cs="Tahoma"/>
          <w:lang w:val="pt-BR"/>
        </w:rPr>
        <w:t xml:space="preserve"> 2008 R2 Datacenter, 1 Prozessorlizenz</w:t>
      </w:r>
      <w:r w:rsidRPr="00BE51ED">
        <w:tab/>
      </w:r>
      <w:r w:rsidRPr="00BE51ED">
        <w:fldChar w:fldCharType="begin"/>
      </w:r>
      <w:r w:rsidRPr="00BE51ED">
        <w:instrText xml:space="preserve"> PAGEREF _Toc370983175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2008 R2 Small Business</w:t>
      </w:r>
      <w:r w:rsidRPr="00BE51ED">
        <w:tab/>
      </w:r>
      <w:r w:rsidRPr="00BE51ED">
        <w:fldChar w:fldCharType="begin"/>
      </w:r>
      <w:r w:rsidRPr="00BE51ED">
        <w:instrText xml:space="preserve"> PAGEREF _Toc370983176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 für SQL Server</w:t>
      </w:r>
      <w:r w:rsidRPr="00BE51ED">
        <w:rPr>
          <w:rFonts w:eastAsia="Times New Roman" w:cs="Tahoma"/>
          <w:vertAlign w:val="superscript"/>
        </w:rPr>
        <w:t>®</w:t>
      </w:r>
      <w:r w:rsidRPr="00BE51ED">
        <w:rPr>
          <w:rFonts w:cs="Tahoma"/>
        </w:rPr>
        <w:t xml:space="preserve"> 2008 R2 Small Business</w:t>
      </w:r>
      <w:r w:rsidRPr="00BE51ED">
        <w:tab/>
      </w:r>
      <w:r w:rsidRPr="00BE51ED">
        <w:fldChar w:fldCharType="begin"/>
      </w:r>
      <w:r w:rsidRPr="00BE51ED">
        <w:instrText xml:space="preserve"> PAGEREF _Toc370983177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2008 R2 Web pro Prozessor</w:t>
      </w:r>
      <w:r w:rsidRPr="00BE51ED">
        <w:tab/>
      </w:r>
      <w:r w:rsidRPr="00BE51ED">
        <w:fldChar w:fldCharType="begin"/>
      </w:r>
      <w:r w:rsidRPr="00BE51ED">
        <w:instrText xml:space="preserve"> PAGEREF _Toc370983178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 für SQL Server</w:t>
      </w:r>
      <w:r w:rsidRPr="00BE51ED">
        <w:rPr>
          <w:rFonts w:eastAsia="Times New Roman" w:cs="Tahoma"/>
          <w:vertAlign w:val="superscript"/>
        </w:rPr>
        <w:t>®</w:t>
      </w:r>
      <w:r w:rsidRPr="00BE51ED">
        <w:rPr>
          <w:rFonts w:cs="Tahoma"/>
        </w:rPr>
        <w:t xml:space="preserve"> 2008 R2 Workgroup</w:t>
      </w:r>
      <w:r w:rsidRPr="00BE51ED">
        <w:tab/>
      </w:r>
      <w:r w:rsidRPr="00BE51ED">
        <w:fldChar w:fldCharType="begin"/>
      </w:r>
      <w:r w:rsidRPr="00BE51ED">
        <w:instrText xml:space="preserve"> PAGEREF _Toc370983179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2008 R2 Workgroup  (Add-On für 5 Clients)</w:t>
      </w:r>
      <w:r w:rsidRPr="00BE51ED">
        <w:tab/>
      </w:r>
      <w:r w:rsidRPr="00BE51ED">
        <w:fldChar w:fldCharType="begin"/>
      </w:r>
      <w:r w:rsidRPr="00BE51ED">
        <w:instrText xml:space="preserve"> PAGEREF _Toc370983180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2008 R2 Workgroup, 1 Prozessorlizenz</w:t>
      </w:r>
      <w:r w:rsidRPr="00BE51ED">
        <w:tab/>
      </w:r>
      <w:r w:rsidRPr="00BE51ED">
        <w:fldChar w:fldCharType="begin"/>
      </w:r>
      <w:r w:rsidRPr="00BE51ED">
        <w:instrText xml:space="preserve"> PAGEREF _Toc370983181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2012  Business Intelligence</w:t>
      </w:r>
      <w:r w:rsidRPr="00BE51ED">
        <w:tab/>
      </w:r>
      <w:r w:rsidRPr="00BE51ED">
        <w:fldChar w:fldCharType="begin"/>
      </w:r>
      <w:r w:rsidRPr="00BE51ED">
        <w:instrText xml:space="preserve"> PAGEREF _Toc370983182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SQL Server</w:t>
      </w:r>
      <w:r w:rsidRPr="00BE51ED">
        <w:rPr>
          <w:rFonts w:eastAsia="Times New Roman" w:cs="Tahoma"/>
          <w:vertAlign w:val="superscript"/>
          <w:lang w:val="de-DE"/>
        </w:rPr>
        <w:t>®</w:t>
      </w:r>
      <w:r w:rsidRPr="00BE51ED">
        <w:rPr>
          <w:rFonts w:cs="Tahoma"/>
          <w:lang w:val="de-DE"/>
        </w:rPr>
        <w:t xml:space="preserve"> 2012  (Geräte- &amp; Nutzer-AL)</w:t>
      </w:r>
      <w:r w:rsidRPr="00BE51ED">
        <w:tab/>
      </w:r>
      <w:r w:rsidRPr="00BE51ED">
        <w:fldChar w:fldCharType="begin"/>
      </w:r>
      <w:r w:rsidRPr="00BE51ED">
        <w:instrText xml:space="preserve"> PAGEREF _Toc370983183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2012 Developer</w:t>
      </w:r>
      <w:r w:rsidRPr="00BE51ED">
        <w:tab/>
      </w:r>
      <w:r w:rsidRPr="00BE51ED">
        <w:fldChar w:fldCharType="begin"/>
      </w:r>
      <w:r w:rsidRPr="00BE51ED">
        <w:instrText xml:space="preserve"> PAGEREF _Toc370983184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2012 Enterprise</w:t>
      </w:r>
      <w:r w:rsidRPr="00BE51ED">
        <w:tab/>
      </w:r>
      <w:r w:rsidRPr="00BE51ED">
        <w:fldChar w:fldCharType="begin"/>
      </w:r>
      <w:r w:rsidRPr="00BE51ED">
        <w:instrText xml:space="preserve"> PAGEREF _Toc370983185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2012 Enterprise Core (2 Pack Core-Lizenz)</w:t>
      </w:r>
      <w:r w:rsidRPr="00BE51ED">
        <w:tab/>
      </w:r>
      <w:r w:rsidRPr="00BE51ED">
        <w:fldChar w:fldCharType="begin"/>
      </w:r>
      <w:r w:rsidRPr="00BE51ED">
        <w:instrText xml:space="preserve"> PAGEREF _Toc370983186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2012 Parallel Data Warehouse</w:t>
      </w:r>
      <w:r w:rsidRPr="00BE51ED">
        <w:tab/>
      </w:r>
      <w:r w:rsidRPr="00BE51ED">
        <w:fldChar w:fldCharType="begin"/>
      </w:r>
      <w:r w:rsidRPr="00BE51ED">
        <w:instrText xml:space="preserve"> PAGEREF _Toc370983187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2012 Parallel Data Warehouse Developer</w:t>
      </w:r>
      <w:r w:rsidRPr="00BE51ED">
        <w:tab/>
      </w:r>
      <w:r w:rsidRPr="00BE51ED">
        <w:fldChar w:fldCharType="begin"/>
      </w:r>
      <w:r w:rsidRPr="00BE51ED">
        <w:instrText xml:space="preserve"> PAGEREF _Toc370983188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2012 Standard</w:t>
      </w:r>
      <w:r w:rsidRPr="00BE51ED">
        <w:tab/>
      </w:r>
      <w:r w:rsidRPr="00BE51ED">
        <w:fldChar w:fldCharType="begin"/>
      </w:r>
      <w:r w:rsidRPr="00BE51ED">
        <w:instrText xml:space="preserve"> PAGEREF _Toc370983189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SQL Server</w:t>
      </w:r>
      <w:r w:rsidRPr="00BE51ED">
        <w:rPr>
          <w:rFonts w:eastAsia="Times New Roman" w:cs="Tahoma"/>
          <w:vertAlign w:val="superscript"/>
        </w:rPr>
        <w:t>®</w:t>
      </w:r>
      <w:r w:rsidRPr="00BE51ED">
        <w:rPr>
          <w:rFonts w:cs="Tahoma"/>
        </w:rPr>
        <w:t xml:space="preserve"> 2012 Standard Core (2 Pack Core-Lizenz)</w:t>
      </w:r>
      <w:r w:rsidRPr="00BE51ED">
        <w:tab/>
      </w:r>
      <w:r w:rsidRPr="00BE51ED">
        <w:fldChar w:fldCharType="begin"/>
      </w:r>
      <w:r w:rsidRPr="00BE51ED">
        <w:instrText xml:space="preserve"> PAGEREF _Toc370983190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Enterprise-Server-Management-Lizenz für System Center Configuration Manager 2007 R3</w:t>
      </w:r>
      <w:r w:rsidRPr="00BE51ED">
        <w:tab/>
      </w:r>
      <w:r w:rsidRPr="00BE51ED">
        <w:fldChar w:fldCharType="begin"/>
      </w:r>
      <w:r w:rsidRPr="00BE51ED">
        <w:instrText xml:space="preserve"> PAGEREF _Toc370983191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Standard-Server-Management-Lizenz (Standard-Server-ML) für System Center Configuration Manager 2007 R3</w:t>
      </w:r>
      <w:r w:rsidRPr="00BE51ED">
        <w:tab/>
      </w:r>
      <w:r w:rsidRPr="00BE51ED">
        <w:fldChar w:fldCharType="begin"/>
      </w:r>
      <w:r w:rsidRPr="00BE51ED">
        <w:instrText xml:space="preserve"> PAGEREF _Toc370983192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Enterprise-Server-Management-Lizenz für System Center Data Protection Manager 2010</w:t>
      </w:r>
      <w:r w:rsidRPr="00BE51ED">
        <w:tab/>
      </w:r>
      <w:r w:rsidRPr="00BE51ED">
        <w:fldChar w:fldCharType="begin"/>
      </w:r>
      <w:r w:rsidRPr="00BE51ED">
        <w:instrText xml:space="preserve"> PAGEREF _Toc370983193 \h </w:instrText>
      </w:r>
      <w:r w:rsidRPr="00BE51ED">
        <w:fldChar w:fldCharType="separate"/>
      </w:r>
      <w:r w:rsidRPr="00BE51ED">
        <w:t>23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Standard-Server-Management-Lizenz für System Center Data Protection Manager 2010</w:t>
      </w:r>
      <w:r w:rsidRPr="00BE51ED">
        <w:tab/>
      </w:r>
      <w:r w:rsidRPr="00BE51ED">
        <w:fldChar w:fldCharType="begin"/>
      </w:r>
      <w:r w:rsidRPr="00BE51ED">
        <w:instrText xml:space="preserve"> PAGEREF _Toc370983194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System Center Essentials 2010</w:t>
      </w:r>
      <w:r w:rsidRPr="00BE51ED">
        <w:tab/>
      </w:r>
      <w:r w:rsidRPr="00BE51ED">
        <w:fldChar w:fldCharType="begin"/>
      </w:r>
      <w:r w:rsidRPr="00BE51ED">
        <w:instrText xml:space="preserve"> PAGEREF _Toc370983195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Client-ML für System Center Essentials 2010</w:t>
      </w:r>
      <w:r w:rsidRPr="00BE51ED">
        <w:tab/>
      </w:r>
      <w:r w:rsidRPr="00BE51ED">
        <w:fldChar w:fldCharType="begin"/>
      </w:r>
      <w:r w:rsidRPr="00BE51ED">
        <w:instrText xml:space="preserve"> PAGEREF _Toc370983196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lastRenderedPageBreak/>
        <w:t>Server-ML für System Center  Essentials 2010</w:t>
      </w:r>
      <w:r w:rsidRPr="00BE51ED">
        <w:tab/>
      </w:r>
      <w:r w:rsidRPr="00BE51ED">
        <w:fldChar w:fldCharType="begin"/>
      </w:r>
      <w:r w:rsidRPr="00BE51ED">
        <w:instrText xml:space="preserve"> PAGEREF _Toc370983197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System Center Essentials 2010 mit  SQL Server 2008-Technologie</w:t>
      </w:r>
      <w:r w:rsidRPr="00BE51ED">
        <w:tab/>
      </w:r>
      <w:r w:rsidRPr="00BE51ED">
        <w:fldChar w:fldCharType="begin"/>
      </w:r>
      <w:r w:rsidRPr="00BE51ED">
        <w:instrText xml:space="preserve"> PAGEREF _Toc370983198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Lizenz-Suite für System Center Essentials Plus 2010 Client-Management</w:t>
      </w:r>
      <w:r w:rsidRPr="00BE51ED">
        <w:tab/>
      </w:r>
      <w:r w:rsidRPr="00BE51ED">
        <w:fldChar w:fldCharType="begin"/>
      </w:r>
      <w:r w:rsidRPr="00BE51ED">
        <w:instrText xml:space="preserve"> PAGEREF _Toc370983199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Standard-Server-Management-Lizenz für System Center Operations Manager 2007 R2</w:t>
      </w:r>
      <w:r w:rsidRPr="00BE51ED">
        <w:tab/>
      </w:r>
      <w:r w:rsidRPr="00BE51ED">
        <w:fldChar w:fldCharType="begin"/>
      </w:r>
      <w:r w:rsidRPr="00BE51ED">
        <w:instrText xml:space="preserve"> PAGEREF _Toc370983200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Enterprise-Server-Management-Lizenz für System Center Operations Manager 2007 R2</w:t>
      </w:r>
      <w:r w:rsidRPr="00BE51ED">
        <w:tab/>
      </w:r>
      <w:r w:rsidRPr="00BE51ED">
        <w:fldChar w:fldCharType="begin"/>
      </w:r>
      <w:r w:rsidRPr="00BE51ED">
        <w:instrText xml:space="preserve"> PAGEREF _Toc370983201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Client-Management-Lizenz pro OSE für System Center Operations Manager 2007 R2</w:t>
      </w:r>
      <w:r w:rsidRPr="00BE51ED">
        <w:tab/>
      </w:r>
      <w:r w:rsidRPr="00BE51ED">
        <w:fldChar w:fldCharType="begin"/>
      </w:r>
      <w:r w:rsidRPr="00BE51ED">
        <w:instrText xml:space="preserve"> PAGEREF _Toc370983202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Client-Management-Lizenz pro Nutzer für System Center Operations Manager 2007 R2</w:t>
      </w:r>
      <w:r w:rsidRPr="00BE51ED">
        <w:tab/>
      </w:r>
      <w:r w:rsidRPr="00BE51ED">
        <w:fldChar w:fldCharType="begin"/>
      </w:r>
      <w:r w:rsidRPr="00BE51ED">
        <w:instrText xml:space="preserve"> PAGEREF _Toc370983203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System Center Reporting Manager 2006</w:t>
      </w:r>
      <w:r w:rsidRPr="00BE51ED">
        <w:tab/>
      </w:r>
      <w:r w:rsidRPr="00BE51ED">
        <w:fldChar w:fldCharType="begin"/>
      </w:r>
      <w:r w:rsidRPr="00BE51ED">
        <w:instrText xml:space="preserve"> PAGEREF _Toc370983204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System Center Server Management Suite Enterprise</w:t>
      </w:r>
      <w:r w:rsidRPr="00BE51ED">
        <w:tab/>
      </w:r>
      <w:r w:rsidRPr="00BE51ED">
        <w:fldChar w:fldCharType="begin"/>
      </w:r>
      <w:r w:rsidRPr="00BE51ED">
        <w:instrText xml:space="preserve"> PAGEREF _Toc370983205 \h </w:instrText>
      </w:r>
      <w:r w:rsidRPr="00BE51ED">
        <w:fldChar w:fldCharType="separate"/>
      </w:r>
      <w:r w:rsidRPr="00BE51ED">
        <w:t>24</w:t>
      </w:r>
      <w:r w:rsidRPr="00BE51ED">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rFonts w:cs="Tahoma"/>
          <w:noProof/>
        </w:rPr>
        <w:t>System Center Server Management Suite Datacenter</w:t>
      </w:r>
      <w:r w:rsidRPr="00BE51ED">
        <w:rPr>
          <w:noProof/>
        </w:rPr>
        <w:tab/>
      </w:r>
      <w:r w:rsidRPr="00BE51ED">
        <w:rPr>
          <w:noProof/>
        </w:rPr>
        <w:fldChar w:fldCharType="begin"/>
      </w:r>
      <w:r w:rsidRPr="00BE51ED">
        <w:rPr>
          <w:noProof/>
        </w:rPr>
        <w:instrText xml:space="preserve"> PAGEREF _Toc370983206 \h </w:instrText>
      </w:r>
      <w:r w:rsidRPr="00BE51ED">
        <w:rPr>
          <w:noProof/>
        </w:rPr>
      </w:r>
      <w:r w:rsidRPr="00BE51ED">
        <w:rPr>
          <w:noProof/>
        </w:rPr>
        <w:fldChar w:fldCharType="separate"/>
      </w:r>
      <w:r w:rsidRPr="00BE51ED">
        <w:rPr>
          <w:noProof/>
        </w:rPr>
        <w:t>24</w:t>
      </w:r>
      <w:r w:rsidRPr="00BE51ED">
        <w:rPr>
          <w:noProof/>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Client-Management-Lizenz (Client-ML) für System Center Service Manager 2010 pro Betriebssystemumgebung</w:t>
      </w:r>
      <w:r w:rsidRPr="00BE51ED">
        <w:tab/>
      </w:r>
      <w:r w:rsidRPr="00BE51ED">
        <w:fldChar w:fldCharType="begin"/>
      </w:r>
      <w:r w:rsidRPr="00BE51ED">
        <w:instrText xml:space="preserve"> PAGEREF _Toc370983207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Client-Management-Lizenz (Client-ML) für System Center Service Manager 2010 pro Nutzer</w:t>
      </w:r>
      <w:r w:rsidRPr="00BE51ED">
        <w:tab/>
      </w:r>
      <w:r w:rsidRPr="00BE51ED">
        <w:fldChar w:fldCharType="begin"/>
      </w:r>
      <w:r w:rsidRPr="00BE51ED">
        <w:instrText xml:space="preserve"> PAGEREF _Toc370983208 \h </w:instrText>
      </w:r>
      <w:r w:rsidRPr="00BE51ED">
        <w:fldChar w:fldCharType="separate"/>
      </w:r>
      <w:r w:rsidRPr="00BE51ED">
        <w:t>24</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Server-Management-Lizenz (Server-ML) für System Center Service Manager 2010 pro Betriebssystemumgebung</w:t>
      </w:r>
      <w:r w:rsidRPr="00BE51ED">
        <w:rPr>
          <w:color w:val="auto"/>
        </w:rPr>
        <w:tab/>
      </w:r>
      <w:r w:rsidRPr="00BE51ED">
        <w:rPr>
          <w:color w:val="auto"/>
        </w:rPr>
        <w:fldChar w:fldCharType="begin"/>
      </w:r>
      <w:r w:rsidRPr="00BE51ED">
        <w:rPr>
          <w:color w:val="auto"/>
        </w:rPr>
        <w:instrText xml:space="preserve"> PAGEREF _Toc370983209 \h </w:instrText>
      </w:r>
      <w:r w:rsidRPr="00BE51ED">
        <w:rPr>
          <w:color w:val="auto"/>
        </w:rPr>
      </w:r>
      <w:r w:rsidRPr="00BE51ED">
        <w:rPr>
          <w:color w:val="auto"/>
        </w:rPr>
        <w:fldChar w:fldCharType="separate"/>
      </w:r>
      <w:r w:rsidRPr="00BE51ED">
        <w:rPr>
          <w:color w:val="auto"/>
        </w:rPr>
        <w:t>24</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System Center 2012 R2 Client Management Suite (Client-ML) pro Betriebssystemumgebung</w:t>
      </w:r>
      <w:r w:rsidRPr="00BE51ED">
        <w:tab/>
      </w:r>
      <w:r w:rsidRPr="00BE51ED">
        <w:fldChar w:fldCharType="begin"/>
      </w:r>
      <w:r w:rsidRPr="00BE51ED">
        <w:instrText xml:space="preserve"> PAGEREF _Toc370983210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fr-FR"/>
        </w:rPr>
        <w:t>System Center 2012 R2 Client Management Suite (Client-ML) pro Nutzer</w:t>
      </w:r>
      <w:r w:rsidRPr="00BE51ED">
        <w:tab/>
      </w:r>
      <w:r w:rsidRPr="00BE51ED">
        <w:fldChar w:fldCharType="begin"/>
      </w:r>
      <w:r w:rsidRPr="00BE51ED">
        <w:instrText xml:space="preserve"> PAGEREF _Toc370983211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Client-Management-Lizenz (Client-ML) für System Center 2012 R2 Configuration Manager (nur Studenten)</w:t>
      </w:r>
      <w:r w:rsidRPr="00BE51ED">
        <w:tab/>
      </w:r>
      <w:r w:rsidRPr="00BE51ED">
        <w:fldChar w:fldCharType="begin"/>
      </w:r>
      <w:r w:rsidRPr="00BE51ED">
        <w:instrText xml:space="preserve"> PAGEREF _Toc370983212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Client-Management-Lizenz für System Center 2012 R2 Configuration Manager pro Betriebssystemumgebung</w:t>
      </w:r>
      <w:r w:rsidRPr="00BE51ED">
        <w:tab/>
      </w:r>
      <w:r w:rsidRPr="00BE51ED">
        <w:fldChar w:fldCharType="begin"/>
      </w:r>
      <w:r w:rsidRPr="00BE51ED">
        <w:instrText xml:space="preserve"> PAGEREF _Toc370983213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Client-Management-Lizenz für System Center 2012 R2 Configuration Manager pro Nutzer</w:t>
      </w:r>
      <w:r w:rsidRPr="00BE51ED">
        <w:tab/>
      </w:r>
      <w:r w:rsidRPr="00BE51ED">
        <w:fldChar w:fldCharType="begin"/>
      </w:r>
      <w:r w:rsidRPr="00BE51ED">
        <w:instrText xml:space="preserve"> PAGEREF _Toc370983214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Server-Management-Lizenz für System Center 2012 R2 Datacenter (2 Prozessoren)</w:t>
      </w:r>
      <w:r w:rsidRPr="00BE51ED">
        <w:tab/>
      </w:r>
      <w:r w:rsidRPr="00BE51ED">
        <w:fldChar w:fldCharType="begin"/>
      </w:r>
      <w:r w:rsidRPr="00BE51ED">
        <w:instrText xml:space="preserve"> PAGEREF _Toc370983215 \h </w:instrText>
      </w:r>
      <w:r w:rsidRPr="00BE51ED">
        <w:fldChar w:fldCharType="separate"/>
      </w:r>
      <w:r w:rsidRPr="00BE51ED">
        <w:t>24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System Center 2012 R2 Endpoint Protection</w:t>
      </w:r>
      <w:r w:rsidRPr="00BE51ED">
        <w:tab/>
      </w:r>
      <w:r w:rsidRPr="00BE51ED">
        <w:fldChar w:fldCharType="begin"/>
      </w:r>
      <w:r w:rsidRPr="00BE51ED">
        <w:instrText xml:space="preserve"> PAGEREF _Toc370983216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Standard-Server-Management-Lizenz für System Center 2012 R2 (2 Prozessoren)</w:t>
      </w:r>
      <w:r w:rsidRPr="00BE51ED">
        <w:tab/>
      </w:r>
      <w:r w:rsidRPr="00BE51ED">
        <w:fldChar w:fldCharType="begin"/>
      </w:r>
      <w:r w:rsidRPr="00BE51ED">
        <w:instrText xml:space="preserve"> PAGEREF _Toc370983217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VDI Suite</w:t>
      </w:r>
      <w:r w:rsidRPr="00BE51ED">
        <w:tab/>
      </w:r>
      <w:r w:rsidRPr="00BE51ED">
        <w:fldChar w:fldCharType="begin"/>
      </w:r>
      <w:r w:rsidRPr="00BE51ED">
        <w:instrText xml:space="preserve"> PAGEREF _Toc370983218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VDI Suite mit MDOP</w:t>
      </w:r>
      <w:r w:rsidRPr="00BE51ED">
        <w:tab/>
      </w:r>
      <w:r w:rsidRPr="00BE51ED">
        <w:fldChar w:fldCharType="begin"/>
      </w:r>
      <w:r w:rsidRPr="00BE51ED">
        <w:instrText xml:space="preserve"> PAGEREF _Toc370983219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pt-BR"/>
        </w:rPr>
        <w:t>Virtual Server 2005 R2 Enterprise Edition</w:t>
      </w:r>
      <w:r w:rsidRPr="00BE51ED">
        <w:tab/>
      </w:r>
      <w:r w:rsidRPr="00BE51ED">
        <w:fldChar w:fldCharType="begin"/>
      </w:r>
      <w:r w:rsidRPr="00BE51ED">
        <w:instrText xml:space="preserve"> PAGEREF _Toc370983220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Visual Studio</w:t>
      </w:r>
      <w:r w:rsidRPr="00BE51ED">
        <w:rPr>
          <w:rFonts w:eastAsia="Times New Roman" w:cs="Tahoma"/>
          <w:vertAlign w:val="superscript"/>
        </w:rPr>
        <w:t>®</w:t>
      </w:r>
      <w:r w:rsidRPr="00BE51ED">
        <w:rPr>
          <w:rFonts w:cs="Tahoma"/>
        </w:rPr>
        <w:t xml:space="preserve"> Team Foundation Server 2013 mit SQL Server 2012-Technologie</w:t>
      </w:r>
      <w:r w:rsidRPr="00BE51ED">
        <w:tab/>
      </w:r>
      <w:r w:rsidRPr="00BE51ED">
        <w:fldChar w:fldCharType="begin"/>
      </w:r>
      <w:r w:rsidRPr="00BE51ED">
        <w:instrText xml:space="preserve"> PAGEREF _Toc370983221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Geräte-CAL für Visual Studio</w:t>
      </w:r>
      <w:r w:rsidRPr="00BE51ED">
        <w:rPr>
          <w:rFonts w:cs="Tahoma"/>
          <w:vertAlign w:val="superscript"/>
        </w:rPr>
        <w:t>®</w:t>
      </w:r>
      <w:r w:rsidRPr="00BE51ED">
        <w:rPr>
          <w:rFonts w:cs="Tahoma"/>
        </w:rPr>
        <w:t xml:space="preserve"> Team Foundation Server 2013</w:t>
      </w:r>
      <w:r w:rsidRPr="00BE51ED">
        <w:tab/>
      </w:r>
      <w:r w:rsidRPr="00BE51ED">
        <w:fldChar w:fldCharType="begin"/>
      </w:r>
      <w:r w:rsidRPr="00BE51ED">
        <w:instrText xml:space="preserve"> PAGEREF _Toc370983222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Nutzer-CAL für Visual Studio</w:t>
      </w:r>
      <w:r w:rsidRPr="00BE51ED">
        <w:rPr>
          <w:rFonts w:cs="Tahoma"/>
          <w:vertAlign w:val="superscript"/>
        </w:rPr>
        <w:t>®</w:t>
      </w:r>
      <w:r w:rsidRPr="00BE51ED">
        <w:rPr>
          <w:rFonts w:cs="Tahoma"/>
        </w:rPr>
        <w:t xml:space="preserve"> Team Foundation Server 2013</w:t>
      </w:r>
      <w:r w:rsidRPr="00BE51ED">
        <w:tab/>
      </w:r>
      <w:r w:rsidRPr="00BE51ED">
        <w:fldChar w:fldCharType="begin"/>
      </w:r>
      <w:r w:rsidRPr="00BE51ED">
        <w:instrText xml:space="preserve"> PAGEREF _Toc370983223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Windows Azure Active Directory-Rechteverwaltung (Nutzer-AL)</w:t>
      </w:r>
      <w:r w:rsidRPr="00BE51ED">
        <w:tab/>
      </w:r>
      <w:r w:rsidRPr="00BE51ED">
        <w:fldChar w:fldCharType="begin"/>
      </w:r>
      <w:r w:rsidRPr="00BE51ED">
        <w:instrText xml:space="preserve"> PAGEREF _Toc370983224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Windows Azure Active Directory-Rechteverwaltung für Forschung &amp; Lehre (Nutzer-AL)</w:t>
      </w:r>
      <w:r w:rsidRPr="00BE51ED">
        <w:tab/>
      </w:r>
      <w:r w:rsidRPr="00BE51ED">
        <w:fldChar w:fldCharType="begin"/>
      </w:r>
      <w:r w:rsidRPr="00BE51ED">
        <w:instrText xml:space="preserve"> PAGEREF _Toc370983225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Azure Active Directory-Rechteverwaltungs-Add-On (Nutzer-AL)</w:t>
      </w:r>
      <w:r w:rsidRPr="00BE51ED">
        <w:tab/>
      </w:r>
      <w:r w:rsidRPr="00BE51ED">
        <w:fldChar w:fldCharType="begin"/>
      </w:r>
      <w:r w:rsidRPr="00BE51ED">
        <w:instrText xml:space="preserve"> PAGEREF _Toc370983226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Azure-Dienste</w:t>
      </w:r>
      <w:r w:rsidRPr="00BE51ED">
        <w:tab/>
      </w:r>
      <w:r w:rsidRPr="00BE51ED">
        <w:fldChar w:fldCharType="begin"/>
      </w:r>
      <w:r w:rsidRPr="00BE51ED">
        <w:instrText xml:space="preserve"> PAGEREF _Toc370983227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w:t>
      </w:r>
      <w:r w:rsidRPr="00BE51ED">
        <w:rPr>
          <w:rFonts w:cs="Tahoma"/>
          <w:vertAlign w:val="superscript"/>
        </w:rPr>
        <w:t>®</w:t>
      </w:r>
      <w:r w:rsidRPr="00BE51ED">
        <w:rPr>
          <w:rFonts w:cs="Tahoma"/>
        </w:rPr>
        <w:t xml:space="preserve"> Embedded Device  Manager 2011</w:t>
      </w:r>
      <w:r w:rsidRPr="00BE51ED">
        <w:tab/>
      </w:r>
      <w:r w:rsidRPr="00BE51ED">
        <w:fldChar w:fldCharType="begin"/>
      </w:r>
      <w:r w:rsidRPr="00BE51ED">
        <w:instrText xml:space="preserve"> PAGEREF _Toc370983228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Client-Management-Lizenz pro Betriebssystemumgebung für Windows</w:t>
      </w:r>
      <w:r w:rsidRPr="00BE51ED">
        <w:rPr>
          <w:rFonts w:cs="Tahoma"/>
          <w:vertAlign w:val="superscript"/>
          <w:lang w:val="de-DE"/>
        </w:rPr>
        <w:t>®</w:t>
      </w:r>
      <w:r w:rsidRPr="00BE51ED">
        <w:rPr>
          <w:rFonts w:cs="Tahoma"/>
          <w:lang w:val="de-DE"/>
        </w:rPr>
        <w:t xml:space="preserve"> Embedded Device Manager 2011</w:t>
      </w:r>
      <w:r w:rsidRPr="00BE51ED">
        <w:tab/>
      </w:r>
      <w:r w:rsidRPr="00BE51ED">
        <w:fldChar w:fldCharType="begin"/>
      </w:r>
      <w:r w:rsidRPr="00BE51ED">
        <w:instrText xml:space="preserve"> PAGEREF _Toc370983229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Client-Management-Lizenz pro Nutzer für Windows</w:t>
      </w:r>
      <w:r w:rsidRPr="00BE51ED">
        <w:rPr>
          <w:rFonts w:cs="Tahoma"/>
          <w:vertAlign w:val="superscript"/>
          <w:lang w:val="de-DE"/>
        </w:rPr>
        <w:t>®</w:t>
      </w:r>
      <w:r w:rsidRPr="00BE51ED">
        <w:rPr>
          <w:rFonts w:cs="Tahoma"/>
          <w:lang w:val="de-DE"/>
        </w:rPr>
        <w:t xml:space="preserve"> Embedded Device Manager 2011</w:t>
      </w:r>
      <w:r w:rsidRPr="00BE51ED">
        <w:tab/>
      </w:r>
      <w:r w:rsidRPr="00BE51ED">
        <w:fldChar w:fldCharType="begin"/>
      </w:r>
      <w:r w:rsidRPr="00BE51ED">
        <w:instrText xml:space="preserve"> PAGEREF _Toc370983230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w:t>
      </w:r>
      <w:r w:rsidRPr="00BE51ED">
        <w:rPr>
          <w:rFonts w:cs="Tahoma"/>
          <w:vertAlign w:val="superscript"/>
        </w:rPr>
        <w:t>®</w:t>
      </w:r>
      <w:r w:rsidRPr="00BE51ED">
        <w:rPr>
          <w:rFonts w:cs="Tahoma"/>
        </w:rPr>
        <w:t xml:space="preserve"> Embedded Device  Manager 2011 mit SQL Server</w:t>
      </w:r>
      <w:r w:rsidRPr="00BE51ED">
        <w:rPr>
          <w:rFonts w:cs="Tahoma"/>
          <w:vertAlign w:val="superscript"/>
        </w:rPr>
        <w:t>®</w:t>
      </w:r>
      <w:r w:rsidRPr="00BE51ED">
        <w:rPr>
          <w:rFonts w:cs="Tahoma"/>
        </w:rPr>
        <w:t xml:space="preserve">  2008-Technologie</w:t>
      </w:r>
      <w:r w:rsidRPr="00BE51ED">
        <w:tab/>
      </w:r>
      <w:r w:rsidRPr="00BE51ED">
        <w:fldChar w:fldCharType="begin"/>
      </w:r>
      <w:r w:rsidRPr="00BE51ED">
        <w:instrText xml:space="preserve"> PAGEREF _Toc370983231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Essential Business Server 2008 Standard</w:t>
      </w:r>
      <w:r w:rsidRPr="00BE51ED">
        <w:tab/>
      </w:r>
      <w:r w:rsidRPr="00BE51ED">
        <w:fldChar w:fldCharType="begin"/>
      </w:r>
      <w:r w:rsidRPr="00BE51ED">
        <w:instrText xml:space="preserve"> PAGEREF _Toc370983232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CAL-Suite für Windows Essential Business Server 2008</w:t>
      </w:r>
      <w:r w:rsidRPr="00BE51ED">
        <w:tab/>
      </w:r>
      <w:r w:rsidRPr="00BE51ED">
        <w:fldChar w:fldCharType="begin"/>
      </w:r>
      <w:r w:rsidRPr="00BE51ED">
        <w:instrText xml:space="preserve"> PAGEREF _Toc370983233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CAL-Suite für Windows Essential Business Server 2008 (5 Clients)</w:t>
      </w:r>
      <w:r w:rsidRPr="00BE51ED">
        <w:tab/>
      </w:r>
      <w:r w:rsidRPr="00BE51ED">
        <w:fldChar w:fldCharType="begin"/>
      </w:r>
      <w:r w:rsidRPr="00BE51ED">
        <w:instrText xml:space="preserve"> PAGEREF _Toc370983234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CAL-Suite für Windows Essential Business Server 2008 (20 Clients)</w:t>
      </w:r>
      <w:r w:rsidRPr="00BE51ED">
        <w:tab/>
      </w:r>
      <w:r w:rsidRPr="00BE51ED">
        <w:fldChar w:fldCharType="begin"/>
      </w:r>
      <w:r w:rsidRPr="00BE51ED">
        <w:instrText xml:space="preserve"> PAGEREF _Toc370983235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CAL-Suite für Windows Essential Business Server 2008 (50 Clients)</w:t>
      </w:r>
      <w:r w:rsidRPr="00BE51ED">
        <w:tab/>
      </w:r>
      <w:r w:rsidRPr="00BE51ED">
        <w:fldChar w:fldCharType="begin"/>
      </w:r>
      <w:r w:rsidRPr="00BE51ED">
        <w:instrText xml:space="preserve"> PAGEREF _Toc370983236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Essential Business Server 2008 Premium</w:t>
      </w:r>
      <w:r w:rsidRPr="00BE51ED">
        <w:tab/>
      </w:r>
      <w:r w:rsidRPr="00BE51ED">
        <w:fldChar w:fldCharType="begin"/>
      </w:r>
      <w:r w:rsidRPr="00BE51ED">
        <w:instrText xml:space="preserve"> PAGEREF _Toc370983237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CAL-Suite für Windows Essential Business Server 2008 für Premium-Nutzer oder -Geräte</w:t>
      </w:r>
      <w:r w:rsidRPr="00BE51ED">
        <w:tab/>
      </w:r>
      <w:r w:rsidRPr="00BE51ED">
        <w:fldChar w:fldCharType="begin"/>
      </w:r>
      <w:r w:rsidRPr="00BE51ED">
        <w:instrText xml:space="preserve"> PAGEREF _Toc370983238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Windows Essential Business Server 2008 CAL Suite für Premium-Nutzer oder -Geräte (5 Clients)</w:t>
      </w:r>
      <w:r w:rsidRPr="00BE51ED">
        <w:tab/>
      </w:r>
      <w:r w:rsidRPr="00BE51ED">
        <w:fldChar w:fldCharType="begin"/>
      </w:r>
      <w:r w:rsidRPr="00BE51ED">
        <w:instrText xml:space="preserve"> PAGEREF _Toc370983239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CAL-Suite für Windows Essential Business Server 2008 für Premium-Nutzer oder -Geräte (20 Clients)</w:t>
      </w:r>
      <w:r w:rsidRPr="00BE51ED">
        <w:tab/>
      </w:r>
      <w:r w:rsidRPr="00BE51ED">
        <w:fldChar w:fldCharType="begin"/>
      </w:r>
      <w:r w:rsidRPr="00BE51ED">
        <w:instrText xml:space="preserve"> PAGEREF _Toc370983240 \h </w:instrText>
      </w:r>
      <w:r w:rsidRPr="00BE51ED">
        <w:fldChar w:fldCharType="separate"/>
      </w:r>
      <w:r w:rsidRPr="00BE51ED">
        <w:t>25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CAL-Suite für Windows Essential Business Server 2008 für Premium-Nutzer oder -Geräte (50 Clients)</w:t>
      </w:r>
      <w:r w:rsidRPr="00BE51ED">
        <w:tab/>
      </w:r>
      <w:r w:rsidRPr="00BE51ED">
        <w:fldChar w:fldCharType="begin"/>
      </w:r>
      <w:r w:rsidRPr="00BE51ED">
        <w:instrText xml:space="preserve"> PAGEREF _Toc370983241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HPC Server 2008 R2 Suite</w:t>
      </w:r>
      <w:r w:rsidRPr="00BE51ED">
        <w:tab/>
      </w:r>
      <w:r w:rsidRPr="00BE51ED">
        <w:fldChar w:fldCharType="begin"/>
      </w:r>
      <w:r w:rsidRPr="00BE51ED">
        <w:instrText xml:space="preserve"> PAGEREF _Toc370983242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Intune Add-on für System Center Configuration Manager und System Center Endpoint Protection (pro Nutzer)</w:t>
      </w:r>
      <w:r w:rsidRPr="00BE51ED">
        <w:tab/>
      </w:r>
      <w:r w:rsidRPr="00BE51ED">
        <w:fldChar w:fldCharType="begin"/>
      </w:r>
      <w:r w:rsidRPr="00BE51ED">
        <w:instrText xml:space="preserve"> PAGEREF _Toc370983243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Intune (pro Nutzer)</w:t>
      </w:r>
      <w:r w:rsidRPr="00BE51ED">
        <w:tab/>
      </w:r>
      <w:r w:rsidRPr="00BE51ED">
        <w:fldChar w:fldCharType="begin"/>
      </w:r>
      <w:r w:rsidRPr="00BE51ED">
        <w:instrText xml:space="preserve"> PAGEREF _Toc370983244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Nutzer-AL für Add-On für Windows Intune Extra Storage 1 GB</w:t>
      </w:r>
      <w:r w:rsidRPr="00BE51ED">
        <w:tab/>
      </w:r>
      <w:r w:rsidRPr="00BE51ED">
        <w:fldChar w:fldCharType="begin"/>
      </w:r>
      <w:r w:rsidRPr="00BE51ED">
        <w:instrText xml:space="preserve"> PAGEREF _Toc370983245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MultiPoint Server 2012 Standard</w:t>
      </w:r>
      <w:r w:rsidRPr="00BE51ED">
        <w:tab/>
      </w:r>
      <w:r w:rsidRPr="00BE51ED">
        <w:fldChar w:fldCharType="begin"/>
      </w:r>
      <w:r w:rsidRPr="00BE51ED">
        <w:instrText xml:space="preserve"> PAGEREF _Toc370983246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MultiPoint Server 2012 Premium</w:t>
      </w:r>
      <w:r w:rsidRPr="00BE51ED">
        <w:tab/>
      </w:r>
      <w:r w:rsidRPr="00BE51ED">
        <w:fldChar w:fldCharType="begin"/>
      </w:r>
      <w:r w:rsidRPr="00BE51ED">
        <w:instrText xml:space="preserve"> PAGEREF _Toc370983247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 für Windows MultiPoint Server 2012</w:t>
      </w:r>
      <w:r w:rsidRPr="00BE51ED">
        <w:tab/>
      </w:r>
      <w:r w:rsidRPr="00BE51ED">
        <w:fldChar w:fldCharType="begin"/>
      </w:r>
      <w:r w:rsidRPr="00BE51ED">
        <w:instrText xml:space="preserve"> PAGEREF _Toc370983248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Windows MultiPoint Server 2012 mit CAL für Windows Server 2012</w:t>
      </w:r>
      <w:r w:rsidRPr="00BE51ED">
        <w:tab/>
      </w:r>
      <w:r w:rsidRPr="00BE51ED">
        <w:fldChar w:fldCharType="begin"/>
      </w:r>
      <w:r w:rsidRPr="00BE51ED">
        <w:instrText xml:space="preserve"> PAGEREF _Toc370983249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MultiPoint Server 2012 Premium mit Windows MultiPoint  Server 2012 (CAL) (5 Clients)</w:t>
      </w:r>
      <w:r w:rsidRPr="00BE51ED">
        <w:tab/>
      </w:r>
      <w:r w:rsidRPr="00BE51ED">
        <w:fldChar w:fldCharType="begin"/>
      </w:r>
      <w:r w:rsidRPr="00BE51ED">
        <w:instrText xml:space="preserve"> PAGEREF _Toc370983250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MultiPoint Server 2012 Premium mit Windows MultiPoint Server 2012 (CAL) (5 Clients) mit CAL für Windows Server 2012 (5 Clients)</w:t>
      </w:r>
      <w:r w:rsidRPr="00BE51ED">
        <w:tab/>
      </w:r>
      <w:r w:rsidRPr="00BE51ED">
        <w:fldChar w:fldCharType="begin"/>
      </w:r>
      <w:r w:rsidRPr="00BE51ED">
        <w:instrText xml:space="preserve"> PAGEREF _Toc370983251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Server™ 2008 R2 HPC Edition</w:t>
      </w:r>
      <w:r w:rsidRPr="00BE51ED">
        <w:tab/>
      </w:r>
      <w:r w:rsidRPr="00BE51ED">
        <w:fldChar w:fldCharType="begin"/>
      </w:r>
      <w:r w:rsidRPr="00BE51ED">
        <w:instrText xml:space="preserve"> PAGEREF _Toc370983252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Server™ 2008 R2 Enterprise</w:t>
      </w:r>
      <w:r w:rsidRPr="00BE51ED">
        <w:tab/>
      </w:r>
      <w:r w:rsidRPr="00BE51ED">
        <w:fldChar w:fldCharType="begin"/>
      </w:r>
      <w:r w:rsidRPr="00BE51ED">
        <w:instrText xml:space="preserve"> PAGEREF _Toc370983253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lastRenderedPageBreak/>
        <w:t>Windows Server™ 2008 R2 für Itanium-basierte Systeme</w:t>
      </w:r>
      <w:r w:rsidRPr="00BE51ED">
        <w:tab/>
      </w:r>
      <w:r w:rsidRPr="00BE51ED">
        <w:fldChar w:fldCharType="begin"/>
      </w:r>
      <w:r w:rsidRPr="00BE51ED">
        <w:instrText xml:space="preserve"> PAGEREF _Toc370983254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Windows Server™ 2012  (Gerät &amp; Nutzer)</w:t>
      </w:r>
      <w:r w:rsidRPr="00BE51ED">
        <w:tab/>
      </w:r>
      <w:r w:rsidRPr="00BE51ED">
        <w:fldChar w:fldCharType="begin"/>
      </w:r>
      <w:r w:rsidRPr="00BE51ED">
        <w:instrText xml:space="preserve"> PAGEREF _Toc370983255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Server™ 2012 R2 Datacenter</w:t>
      </w:r>
      <w:r w:rsidRPr="00BE51ED">
        <w:tab/>
      </w:r>
      <w:r w:rsidRPr="00BE51ED">
        <w:fldChar w:fldCharType="begin"/>
      </w:r>
      <w:r w:rsidRPr="00BE51ED">
        <w:instrText xml:space="preserve"> PAGEREF _Toc370983256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Server™ 2012 R2 Standard</w:t>
      </w:r>
      <w:r w:rsidRPr="00BE51ED">
        <w:tab/>
      </w:r>
      <w:r w:rsidRPr="00BE51ED">
        <w:fldChar w:fldCharType="begin"/>
      </w:r>
      <w:r w:rsidRPr="00BE51ED">
        <w:instrText xml:space="preserve"> PAGEREF _Toc370983257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Externer Connector für Windows Server™</w:t>
      </w:r>
      <w:r w:rsidRPr="00BE51ED">
        <w:tab/>
      </w:r>
      <w:r w:rsidRPr="00BE51ED">
        <w:fldChar w:fldCharType="begin"/>
      </w:r>
      <w:r w:rsidRPr="00BE51ED">
        <w:instrText xml:space="preserve"> PAGEREF _Toc370983258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Windows Server™ 2012-Remotedesktopdienste</w:t>
      </w:r>
      <w:r w:rsidRPr="00BE51ED">
        <w:tab/>
      </w:r>
      <w:r w:rsidRPr="00BE51ED">
        <w:fldChar w:fldCharType="begin"/>
      </w:r>
      <w:r w:rsidRPr="00BE51ED">
        <w:instrText xml:space="preserve"> PAGEREF _Toc370983259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Externer Connector für Windows Server™ 2012-Remotedesktopdienste</w:t>
      </w:r>
      <w:r w:rsidRPr="00BE51ED">
        <w:tab/>
      </w:r>
      <w:r w:rsidRPr="00BE51ED">
        <w:fldChar w:fldCharType="begin"/>
      </w:r>
      <w:r w:rsidRPr="00BE51ED">
        <w:instrText xml:space="preserve"> PAGEREF _Toc370983260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CAL für Windows Server™ 2012 Active Directory-Rechteverwaltungsdienste</w:t>
      </w:r>
      <w:r w:rsidRPr="00BE51ED">
        <w:tab/>
      </w:r>
      <w:r w:rsidRPr="00BE51ED">
        <w:fldChar w:fldCharType="begin"/>
      </w:r>
      <w:r w:rsidRPr="00BE51ED">
        <w:instrText xml:space="preserve"> PAGEREF _Toc370983261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Externer Connector für Windows Server™ Active Directory- Rechteverwaltungsdienste</w:t>
      </w:r>
      <w:r w:rsidRPr="00BE51ED">
        <w:tab/>
      </w:r>
      <w:r w:rsidRPr="00BE51ED">
        <w:fldChar w:fldCharType="begin"/>
      </w:r>
      <w:r w:rsidRPr="00BE51ED">
        <w:instrText xml:space="preserve"> PAGEREF _Toc370983262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Small Business Server 2008 Premium</w:t>
      </w:r>
      <w:r w:rsidRPr="00BE51ED">
        <w:tab/>
      </w:r>
      <w:r w:rsidRPr="00BE51ED">
        <w:fldChar w:fldCharType="begin"/>
      </w:r>
      <w:r w:rsidRPr="00BE51ED">
        <w:instrText xml:space="preserve"> PAGEREF _Toc370983263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Small Business Server 2011 Standard</w:t>
      </w:r>
      <w:r w:rsidRPr="00BE51ED">
        <w:tab/>
      </w:r>
      <w:r w:rsidRPr="00BE51ED">
        <w:fldChar w:fldCharType="begin"/>
      </w:r>
      <w:r w:rsidRPr="00BE51ED">
        <w:instrText xml:space="preserve"> PAGEREF _Toc370983264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CAL-Suite für Windows Small Business Server 2011 (1 Client)</w:t>
      </w:r>
      <w:r w:rsidRPr="00BE51ED">
        <w:tab/>
      </w:r>
      <w:r w:rsidRPr="00BE51ED">
        <w:fldChar w:fldCharType="begin"/>
      </w:r>
      <w:r w:rsidRPr="00BE51ED">
        <w:instrText xml:space="preserve"> PAGEREF _Toc370983265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CAL-Suite für Windows Small Business Server 2011 (5 Clients)</w:t>
      </w:r>
      <w:r w:rsidRPr="00BE51ED">
        <w:tab/>
      </w:r>
      <w:r w:rsidRPr="00BE51ED">
        <w:fldChar w:fldCharType="begin"/>
      </w:r>
      <w:r w:rsidRPr="00BE51ED">
        <w:instrText xml:space="preserve"> PAGEREF _Toc370983266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CAL-Suite für Windows Small Business Server 2011 (20 Clients)</w:t>
      </w:r>
      <w:r w:rsidRPr="00BE51ED">
        <w:tab/>
      </w:r>
      <w:r w:rsidRPr="00BE51ED">
        <w:fldChar w:fldCharType="begin"/>
      </w:r>
      <w:r w:rsidRPr="00BE51ED">
        <w:instrText xml:space="preserve"> PAGEREF _Toc370983267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Small Business Server 2011 Premium Add-On</w:t>
      </w:r>
      <w:r w:rsidRPr="00BE51ED">
        <w:tab/>
      </w:r>
      <w:r w:rsidRPr="00BE51ED">
        <w:fldChar w:fldCharType="begin"/>
      </w:r>
      <w:r w:rsidRPr="00BE51ED">
        <w:instrText xml:space="preserve"> PAGEREF _Toc370983268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CAL Suite für Windows Small Business Server 2011 Premium</w:t>
      </w:r>
      <w:r w:rsidRPr="00BE51ED">
        <w:tab/>
      </w:r>
      <w:r w:rsidRPr="00BE51ED">
        <w:fldChar w:fldCharType="begin"/>
      </w:r>
      <w:r w:rsidRPr="00BE51ED">
        <w:instrText xml:space="preserve"> PAGEREF _Toc370983269 \h </w:instrText>
      </w:r>
      <w:r w:rsidRPr="00BE51ED">
        <w:fldChar w:fldCharType="separate"/>
      </w:r>
      <w:r w:rsidRPr="00BE51ED">
        <w:t>26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CAL Suite für Windows Small Business Server 2011 Premium  (5 Clients)</w:t>
      </w:r>
      <w:r w:rsidRPr="00BE51ED">
        <w:tab/>
      </w:r>
      <w:r w:rsidRPr="00BE51ED">
        <w:fldChar w:fldCharType="begin"/>
      </w:r>
      <w:r w:rsidRPr="00BE51ED">
        <w:instrText xml:space="preserve"> PAGEREF _Toc370983270 \h </w:instrText>
      </w:r>
      <w:r w:rsidRPr="00BE51ED">
        <w:fldChar w:fldCharType="separate"/>
      </w:r>
      <w:r w:rsidRPr="00BE51ED">
        <w:t>27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Add-On CAL Suite für Windows Small Business Server 2011 Premium  (20 Clients)</w:t>
      </w:r>
      <w:r w:rsidRPr="00BE51ED">
        <w:tab/>
      </w:r>
      <w:r w:rsidRPr="00BE51ED">
        <w:fldChar w:fldCharType="begin"/>
      </w:r>
      <w:r w:rsidRPr="00BE51ED">
        <w:instrText xml:space="preserve"> PAGEREF _Toc370983271 \h </w:instrText>
      </w:r>
      <w:r w:rsidRPr="00BE51ED">
        <w:fldChar w:fldCharType="separate"/>
      </w:r>
      <w:r w:rsidRPr="00BE51ED">
        <w:t>27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Server 2012 R2 Essentials</w:t>
      </w:r>
      <w:r w:rsidRPr="00BE51ED">
        <w:tab/>
      </w:r>
      <w:r w:rsidRPr="00BE51ED">
        <w:fldChar w:fldCharType="begin"/>
      </w:r>
      <w:r w:rsidRPr="00BE51ED">
        <w:instrText xml:space="preserve"> PAGEREF _Toc370983272 \h </w:instrText>
      </w:r>
      <w:r w:rsidRPr="00BE51ED">
        <w:fldChar w:fldCharType="separate"/>
      </w:r>
      <w:r w:rsidRPr="00BE51ED">
        <w:t>27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Small Business Server 2011 Essentials</w:t>
      </w:r>
      <w:r w:rsidRPr="00BE51ED">
        <w:tab/>
      </w:r>
      <w:r w:rsidRPr="00BE51ED">
        <w:fldChar w:fldCharType="begin"/>
      </w:r>
      <w:r w:rsidRPr="00BE51ED">
        <w:instrText xml:space="preserve"> PAGEREF _Toc370983273 \h </w:instrText>
      </w:r>
      <w:r w:rsidRPr="00BE51ED">
        <w:fldChar w:fldCharType="separate"/>
      </w:r>
      <w:r w:rsidRPr="00BE51ED">
        <w:t>27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Windows Web Server 2008 R2</w:t>
      </w:r>
      <w:r w:rsidRPr="00BE51ED">
        <w:tab/>
      </w:r>
      <w:r w:rsidRPr="00BE51ED">
        <w:fldChar w:fldCharType="begin"/>
      </w:r>
      <w:r w:rsidRPr="00BE51ED">
        <w:instrText xml:space="preserve"> PAGEREF _Toc370983274 \h </w:instrText>
      </w:r>
      <w:r w:rsidRPr="00BE51ED">
        <w:fldChar w:fldCharType="separate"/>
      </w:r>
      <w:r w:rsidRPr="00BE51ED">
        <w:t>27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Yammer Enterprise</w:t>
      </w:r>
      <w:r w:rsidRPr="00BE51ED">
        <w:tab/>
      </w:r>
      <w:r w:rsidRPr="00BE51ED">
        <w:fldChar w:fldCharType="begin"/>
      </w:r>
      <w:r w:rsidRPr="00BE51ED">
        <w:instrText xml:space="preserve"> PAGEREF _Toc370983275 \h </w:instrText>
      </w:r>
      <w:r w:rsidRPr="00BE51ED">
        <w:fldChar w:fldCharType="separate"/>
      </w:r>
      <w:r w:rsidRPr="00BE51ED">
        <w:t>27</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ABSCHNITT 1 – ÄNDERUNGEN AN DER PRODUKTLISTE WÄHREND DER LETZTEN 12 MONATE</w:t>
      </w:r>
      <w:r w:rsidRPr="00BE51ED">
        <w:rPr>
          <w:color w:val="auto"/>
        </w:rPr>
        <w:tab/>
      </w:r>
      <w:r w:rsidRPr="00BE51ED">
        <w:rPr>
          <w:color w:val="auto"/>
        </w:rPr>
        <w:fldChar w:fldCharType="begin"/>
      </w:r>
      <w:r w:rsidRPr="00BE51ED">
        <w:rPr>
          <w:color w:val="auto"/>
        </w:rPr>
        <w:instrText xml:space="preserve"> PAGEREF _Toc370983276 \h </w:instrText>
      </w:r>
      <w:r w:rsidRPr="00BE51ED">
        <w:rPr>
          <w:color w:val="auto"/>
        </w:rPr>
      </w:r>
      <w:r w:rsidRPr="00BE51ED">
        <w:rPr>
          <w:color w:val="auto"/>
        </w:rPr>
        <w:fldChar w:fldCharType="separate"/>
      </w:r>
      <w:r w:rsidRPr="00BE51ED">
        <w:rPr>
          <w:color w:val="auto"/>
        </w:rPr>
        <w:t>28</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NOVEMBER 2013</w:t>
      </w:r>
      <w:r w:rsidRPr="00BE51ED">
        <w:tab/>
      </w:r>
      <w:r w:rsidRPr="00BE51ED">
        <w:fldChar w:fldCharType="begin"/>
      </w:r>
      <w:r w:rsidRPr="00BE51ED">
        <w:instrText xml:space="preserve"> PAGEREF _Toc370983277 \h </w:instrText>
      </w:r>
      <w:r w:rsidRPr="00BE51ED">
        <w:fldChar w:fldCharType="separate"/>
      </w:r>
      <w:r w:rsidRPr="00BE51ED">
        <w:t>28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OKTOBER 2013</w:t>
      </w:r>
      <w:r w:rsidRPr="00BE51ED">
        <w:tab/>
      </w:r>
      <w:r w:rsidRPr="00BE51ED">
        <w:fldChar w:fldCharType="begin"/>
      </w:r>
      <w:r w:rsidRPr="00BE51ED">
        <w:instrText xml:space="preserve"> PAGEREF _Toc370983278 \h </w:instrText>
      </w:r>
      <w:r w:rsidRPr="00BE51ED">
        <w:fldChar w:fldCharType="separate"/>
      </w:r>
      <w:r w:rsidRPr="00BE51ED">
        <w:t>29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SEPTEMBER 2013</w:t>
      </w:r>
      <w:r w:rsidRPr="00BE51ED">
        <w:tab/>
      </w:r>
      <w:r w:rsidRPr="00BE51ED">
        <w:fldChar w:fldCharType="begin"/>
      </w:r>
      <w:r w:rsidRPr="00BE51ED">
        <w:instrText xml:space="preserve"> PAGEREF _Toc370983279 \h </w:instrText>
      </w:r>
      <w:r w:rsidRPr="00BE51ED">
        <w:fldChar w:fldCharType="separate"/>
      </w:r>
      <w:r w:rsidRPr="00BE51ED">
        <w:t>29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AUGUST 2013</w:t>
      </w:r>
      <w:r w:rsidRPr="00BE51ED">
        <w:tab/>
      </w:r>
      <w:r w:rsidRPr="00BE51ED">
        <w:fldChar w:fldCharType="begin"/>
      </w:r>
      <w:r w:rsidRPr="00BE51ED">
        <w:instrText xml:space="preserve"> PAGEREF _Toc370983280 \h </w:instrText>
      </w:r>
      <w:r w:rsidRPr="00BE51ED">
        <w:fldChar w:fldCharType="separate"/>
      </w:r>
      <w:r w:rsidRPr="00BE51ED">
        <w:t>30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JULI 2013</w:t>
      </w:r>
      <w:r w:rsidRPr="00BE51ED">
        <w:tab/>
      </w:r>
      <w:r w:rsidRPr="00BE51ED">
        <w:fldChar w:fldCharType="begin"/>
      </w:r>
      <w:r w:rsidRPr="00BE51ED">
        <w:instrText xml:space="preserve"> PAGEREF _Toc370983281 \h </w:instrText>
      </w:r>
      <w:r w:rsidRPr="00BE51ED">
        <w:fldChar w:fldCharType="separate"/>
      </w:r>
      <w:r w:rsidRPr="00BE51ED">
        <w:t>31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JUNI 2013</w:t>
      </w:r>
      <w:r w:rsidRPr="00BE51ED">
        <w:tab/>
      </w:r>
      <w:r w:rsidRPr="00BE51ED">
        <w:fldChar w:fldCharType="begin"/>
      </w:r>
      <w:r w:rsidRPr="00BE51ED">
        <w:instrText xml:space="preserve"> PAGEREF _Toc370983282 \h </w:instrText>
      </w:r>
      <w:r w:rsidRPr="00BE51ED">
        <w:fldChar w:fldCharType="separate"/>
      </w:r>
      <w:r w:rsidRPr="00BE51ED">
        <w:t>31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MAI 2013</w:t>
      </w:r>
      <w:r w:rsidRPr="00BE51ED">
        <w:tab/>
      </w:r>
      <w:r w:rsidRPr="00BE51ED">
        <w:fldChar w:fldCharType="begin"/>
      </w:r>
      <w:r w:rsidRPr="00BE51ED">
        <w:instrText xml:space="preserve"> PAGEREF _Toc370983283 \h </w:instrText>
      </w:r>
      <w:r w:rsidRPr="00BE51ED">
        <w:fldChar w:fldCharType="separate"/>
      </w:r>
      <w:r w:rsidRPr="00BE51ED">
        <w:t>31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ÄNDERUNGEN IM APRIL 2013</w:t>
      </w:r>
      <w:r w:rsidRPr="00BE51ED">
        <w:tab/>
      </w:r>
      <w:r w:rsidRPr="00BE51ED">
        <w:fldChar w:fldCharType="begin"/>
      </w:r>
      <w:r w:rsidRPr="00BE51ED">
        <w:instrText xml:space="preserve"> PAGEREF _Toc370983284 \h </w:instrText>
      </w:r>
      <w:r w:rsidRPr="00BE51ED">
        <w:fldChar w:fldCharType="separate"/>
      </w:r>
      <w:r w:rsidRPr="00BE51ED">
        <w:t>32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MÄRZ 2013</w:t>
      </w:r>
      <w:r w:rsidRPr="00BE51ED">
        <w:tab/>
      </w:r>
      <w:r w:rsidRPr="00BE51ED">
        <w:fldChar w:fldCharType="begin"/>
      </w:r>
      <w:r w:rsidRPr="00BE51ED">
        <w:instrText xml:space="preserve"> PAGEREF _Toc370983285 \h </w:instrText>
      </w:r>
      <w:r w:rsidRPr="00BE51ED">
        <w:fldChar w:fldCharType="separate"/>
      </w:r>
      <w:r w:rsidRPr="00BE51ED">
        <w:t>34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FEBRUAR 2013</w:t>
      </w:r>
      <w:r w:rsidRPr="00BE51ED">
        <w:tab/>
      </w:r>
      <w:r w:rsidRPr="00BE51ED">
        <w:fldChar w:fldCharType="begin"/>
      </w:r>
      <w:r w:rsidRPr="00BE51ED">
        <w:instrText xml:space="preserve"> PAGEREF _Toc370983286 \h </w:instrText>
      </w:r>
      <w:r w:rsidRPr="00BE51ED">
        <w:fldChar w:fldCharType="separate"/>
      </w:r>
      <w:r w:rsidRPr="00BE51ED">
        <w:t>35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JANUAR 2013</w:t>
      </w:r>
      <w:r w:rsidRPr="00BE51ED">
        <w:tab/>
      </w:r>
      <w:r w:rsidRPr="00BE51ED">
        <w:fldChar w:fldCharType="begin"/>
      </w:r>
      <w:r w:rsidRPr="00BE51ED">
        <w:instrText xml:space="preserve"> PAGEREF _Toc370983287 \h </w:instrText>
      </w:r>
      <w:r w:rsidRPr="00BE51ED">
        <w:fldChar w:fldCharType="separate"/>
      </w:r>
      <w:r w:rsidRPr="00BE51ED">
        <w:t>35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ÄNDERUNGEN IM DEZEMBER 2012</w:t>
      </w:r>
      <w:r w:rsidRPr="00BE51ED">
        <w:tab/>
      </w:r>
      <w:r w:rsidRPr="00BE51ED">
        <w:fldChar w:fldCharType="begin"/>
      </w:r>
      <w:r w:rsidRPr="00BE51ED">
        <w:instrText xml:space="preserve"> PAGEREF _Toc370983288 \h </w:instrText>
      </w:r>
      <w:r w:rsidRPr="00BE51ED">
        <w:fldChar w:fldCharType="separate"/>
      </w:r>
      <w:r w:rsidRPr="00BE51ED">
        <w:t>36</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aps w:val="0"/>
          <w:color w:val="auto"/>
        </w:rPr>
        <w:t>ABSCHNITT 2 – PRODUKTPROMOTIONS</w:t>
      </w:r>
      <w:r w:rsidRPr="00BE51ED">
        <w:rPr>
          <w:color w:val="auto"/>
        </w:rPr>
        <w:tab/>
      </w:r>
      <w:r w:rsidRPr="00BE51ED">
        <w:rPr>
          <w:color w:val="auto"/>
        </w:rPr>
        <w:fldChar w:fldCharType="begin"/>
      </w:r>
      <w:r w:rsidRPr="00BE51ED">
        <w:rPr>
          <w:color w:val="auto"/>
        </w:rPr>
        <w:instrText xml:space="preserve"> PAGEREF _Toc370983289 \h </w:instrText>
      </w:r>
      <w:r w:rsidRPr="00BE51ED">
        <w:rPr>
          <w:color w:val="auto"/>
        </w:rPr>
      </w:r>
      <w:r w:rsidRPr="00BE51ED">
        <w:rPr>
          <w:color w:val="auto"/>
        </w:rPr>
        <w:fldChar w:fldCharType="separate"/>
      </w:r>
      <w:r w:rsidRPr="00BE51ED">
        <w:rPr>
          <w:color w:val="auto"/>
        </w:rPr>
        <w:t>39</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Microsoft Dynamics AX 2012 R2 – EA Starter-Promotion</w:t>
      </w:r>
      <w:r w:rsidRPr="00BE51ED">
        <w:tab/>
      </w:r>
      <w:r w:rsidRPr="00BE51ED">
        <w:fldChar w:fldCharType="begin"/>
      </w:r>
      <w:r w:rsidRPr="00BE51ED">
        <w:instrText xml:space="preserve"> PAGEREF _Toc370983290 \h </w:instrText>
      </w:r>
      <w:r w:rsidRPr="00BE51ED">
        <w:fldChar w:fldCharType="separate"/>
      </w:r>
      <w:r w:rsidRPr="00BE51ED">
        <w:t>39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eastAsia="Times New Roman" w:cs="Tahoma"/>
          <w:lang w:val="de-DE"/>
        </w:rPr>
        <w:t>Promotion für Windows Intune und das Add-On für Intune</w:t>
      </w:r>
      <w:r w:rsidRPr="00BE51ED">
        <w:tab/>
      </w:r>
      <w:r w:rsidRPr="00BE51ED">
        <w:fldChar w:fldCharType="begin"/>
      </w:r>
      <w:r w:rsidRPr="00BE51ED">
        <w:instrText xml:space="preserve"> PAGEREF _Toc370983291 \h </w:instrText>
      </w:r>
      <w:r w:rsidRPr="00BE51ED">
        <w:fldChar w:fldCharType="separate"/>
      </w:r>
      <w:r w:rsidRPr="00BE51ED">
        <w:t>39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eastAsia="Times New Roman" w:cs="Tahoma"/>
          <w:lang w:val="de-DE"/>
        </w:rPr>
        <w:t>Schnellere Einführung von Windows Azure</w:t>
      </w:r>
      <w:r w:rsidRPr="00BE51ED">
        <w:tab/>
      </w:r>
      <w:r w:rsidRPr="00BE51ED">
        <w:fldChar w:fldCharType="begin"/>
      </w:r>
      <w:r w:rsidRPr="00BE51ED">
        <w:instrText xml:space="preserve"> PAGEREF _Toc370983292 \h </w:instrText>
      </w:r>
      <w:r w:rsidRPr="00BE51ED">
        <w:fldChar w:fldCharType="separate"/>
      </w:r>
      <w:r w:rsidRPr="00BE51ED">
        <w:t>39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eastAsia="Times New Roman" w:cs="Tahoma"/>
          <w:lang w:val="de-DE"/>
        </w:rPr>
        <w:t>Promotion für Visual Studio Test Pro mit MSDN</w:t>
      </w:r>
      <w:r w:rsidRPr="00BE51ED">
        <w:tab/>
      </w:r>
      <w:r w:rsidRPr="00BE51ED">
        <w:fldChar w:fldCharType="begin"/>
      </w:r>
      <w:r w:rsidRPr="00BE51ED">
        <w:instrText xml:space="preserve"> PAGEREF _Toc370983293 \h </w:instrText>
      </w:r>
      <w:r w:rsidRPr="00BE51ED">
        <w:fldChar w:fldCharType="separate"/>
      </w:r>
      <w:r w:rsidRPr="00BE51ED">
        <w:t>40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eastAsia="Times New Roman" w:cs="Tahoma"/>
          <w:lang w:val="de-DE"/>
        </w:rPr>
        <w:t>Starthilfe für Server- und Cloud-Beitritt GJ 2014</w:t>
      </w:r>
      <w:r w:rsidRPr="00BE51ED">
        <w:tab/>
      </w:r>
      <w:r w:rsidRPr="00BE51ED">
        <w:fldChar w:fldCharType="begin"/>
      </w:r>
      <w:r w:rsidRPr="00BE51ED">
        <w:instrText xml:space="preserve"> PAGEREF _Toc370983294 \h </w:instrText>
      </w:r>
      <w:r w:rsidRPr="00BE51ED">
        <w:fldChar w:fldCharType="separate"/>
      </w:r>
      <w:r w:rsidRPr="00BE51ED">
        <w:t>40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eastAsia="Times New Roman" w:cs="Tahoma"/>
          <w:lang w:val="de-DE"/>
        </w:rPr>
        <w:t>Projekt- und Portfoliomanagement im Rahmen der Cloud-Promotion</w:t>
      </w:r>
      <w:r w:rsidRPr="00BE51ED">
        <w:tab/>
      </w:r>
      <w:r w:rsidRPr="00BE51ED">
        <w:fldChar w:fldCharType="begin"/>
      </w:r>
      <w:r w:rsidRPr="00BE51ED">
        <w:instrText xml:space="preserve"> PAGEREF _Toc370983295 \h </w:instrText>
      </w:r>
      <w:r w:rsidRPr="00BE51ED">
        <w:fldChar w:fldCharType="separate"/>
      </w:r>
      <w:r w:rsidRPr="00BE51ED">
        <w:t>40</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Abschnitt 3 – Bestimmungen des Volumenlizenzprogramms</w:t>
      </w:r>
      <w:r w:rsidRPr="00BE51ED">
        <w:rPr>
          <w:color w:val="auto"/>
        </w:rPr>
        <w:tab/>
      </w:r>
      <w:r w:rsidRPr="00BE51ED">
        <w:rPr>
          <w:color w:val="auto"/>
        </w:rPr>
        <w:fldChar w:fldCharType="begin"/>
      </w:r>
      <w:r w:rsidRPr="00BE51ED">
        <w:rPr>
          <w:color w:val="auto"/>
        </w:rPr>
        <w:instrText xml:space="preserve"> PAGEREF _Toc370983296 \h </w:instrText>
      </w:r>
      <w:r w:rsidRPr="00BE51ED">
        <w:rPr>
          <w:color w:val="auto"/>
        </w:rPr>
      </w:r>
      <w:r w:rsidRPr="00BE51ED">
        <w:rPr>
          <w:color w:val="auto"/>
        </w:rPr>
        <w:fldChar w:fldCharType="separate"/>
      </w:r>
      <w:r w:rsidRPr="00BE51ED">
        <w:rPr>
          <w:color w:val="auto"/>
        </w:rPr>
        <w:t>41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Anwendbare Volumenlizenzprogramme</w:t>
      </w:r>
      <w:r w:rsidRPr="00BE51ED">
        <w:rPr>
          <w:color w:val="auto"/>
        </w:rPr>
        <w:tab/>
      </w:r>
      <w:r w:rsidRPr="00BE51ED">
        <w:rPr>
          <w:color w:val="auto"/>
        </w:rPr>
        <w:fldChar w:fldCharType="begin"/>
      </w:r>
      <w:r w:rsidRPr="00BE51ED">
        <w:rPr>
          <w:color w:val="auto"/>
        </w:rPr>
        <w:instrText xml:space="preserve"> PAGEREF _Toc370983297 \h </w:instrText>
      </w:r>
      <w:r w:rsidRPr="00BE51ED">
        <w:rPr>
          <w:color w:val="auto"/>
        </w:rPr>
      </w:r>
      <w:r w:rsidRPr="00BE51ED">
        <w:rPr>
          <w:color w:val="auto"/>
        </w:rPr>
        <w:fldChar w:fldCharType="separate"/>
      </w:r>
      <w:r w:rsidRPr="00BE51ED">
        <w:rPr>
          <w:color w:val="auto"/>
        </w:rPr>
        <w:t>41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Punkte und Mindestbestellmengen</w:t>
      </w:r>
      <w:r w:rsidRPr="00BE51ED">
        <w:rPr>
          <w:color w:val="auto"/>
        </w:rPr>
        <w:tab/>
      </w:r>
      <w:r w:rsidRPr="00BE51ED">
        <w:rPr>
          <w:color w:val="auto"/>
        </w:rPr>
        <w:fldChar w:fldCharType="begin"/>
      </w:r>
      <w:r w:rsidRPr="00BE51ED">
        <w:rPr>
          <w:color w:val="auto"/>
        </w:rPr>
        <w:instrText xml:space="preserve"> PAGEREF _Toc370983298 \h </w:instrText>
      </w:r>
      <w:r w:rsidRPr="00BE51ED">
        <w:rPr>
          <w:color w:val="auto"/>
        </w:rPr>
      </w:r>
      <w:r w:rsidRPr="00BE51ED">
        <w:rPr>
          <w:color w:val="auto"/>
        </w:rPr>
        <w:fldChar w:fldCharType="separate"/>
      </w:r>
      <w:r w:rsidRPr="00BE51ED">
        <w:rPr>
          <w:color w:val="auto"/>
        </w:rPr>
        <w:t>41</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Mindestbestellanforderungen</w:t>
      </w:r>
      <w:r w:rsidRPr="00BE51ED">
        <w:tab/>
      </w:r>
      <w:r w:rsidRPr="00BE51ED">
        <w:fldChar w:fldCharType="begin"/>
      </w:r>
      <w:r w:rsidRPr="00BE51ED">
        <w:instrText xml:space="preserve"> PAGEREF _Toc370983299 \h </w:instrText>
      </w:r>
      <w:r w:rsidRPr="00BE51ED">
        <w:fldChar w:fldCharType="separate"/>
      </w:r>
      <w:r w:rsidRPr="00BE51ED">
        <w:t>42</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Plattformen</w:t>
      </w:r>
      <w:r w:rsidRPr="00BE51ED">
        <w:rPr>
          <w:color w:val="auto"/>
        </w:rPr>
        <w:tab/>
      </w:r>
      <w:r w:rsidRPr="00BE51ED">
        <w:rPr>
          <w:color w:val="auto"/>
        </w:rPr>
        <w:fldChar w:fldCharType="begin"/>
      </w:r>
      <w:r w:rsidRPr="00BE51ED">
        <w:rPr>
          <w:color w:val="auto"/>
        </w:rPr>
        <w:instrText xml:space="preserve"> PAGEREF _Toc370983300 \h </w:instrText>
      </w:r>
      <w:r w:rsidRPr="00BE51ED">
        <w:rPr>
          <w:color w:val="auto"/>
        </w:rPr>
      </w:r>
      <w:r w:rsidRPr="00BE51ED">
        <w:rPr>
          <w:color w:val="auto"/>
        </w:rPr>
        <w:fldChar w:fldCharType="separate"/>
      </w:r>
      <w:r w:rsidRPr="00BE51ED">
        <w:rPr>
          <w:color w:val="auto"/>
        </w:rPr>
        <w:t>45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Definition von Verwaltung für Qualifizierende Geräte</w:t>
      </w:r>
      <w:r w:rsidRPr="00BE51ED">
        <w:rPr>
          <w:color w:val="auto"/>
        </w:rPr>
        <w:tab/>
      </w:r>
      <w:r w:rsidRPr="00BE51ED">
        <w:rPr>
          <w:color w:val="auto"/>
        </w:rPr>
        <w:fldChar w:fldCharType="begin"/>
      </w:r>
      <w:r w:rsidRPr="00BE51ED">
        <w:rPr>
          <w:color w:val="auto"/>
        </w:rPr>
        <w:instrText xml:space="preserve"> PAGEREF _Toc370983301 \h </w:instrText>
      </w:r>
      <w:r w:rsidRPr="00BE51ED">
        <w:rPr>
          <w:color w:val="auto"/>
        </w:rPr>
      </w:r>
      <w:r w:rsidRPr="00BE51ED">
        <w:rPr>
          <w:color w:val="auto"/>
        </w:rPr>
        <w:fldChar w:fldCharType="separate"/>
      </w:r>
      <w:r w:rsidRPr="00BE51ED">
        <w:rPr>
          <w:color w:val="auto"/>
        </w:rPr>
        <w:t>46</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Für Up-to-Date-Nachlass (UTD) qualifizierte Produkte</w:t>
      </w:r>
      <w:r w:rsidRPr="00BE51ED">
        <w:rPr>
          <w:color w:val="auto"/>
        </w:rPr>
        <w:tab/>
      </w:r>
      <w:r w:rsidRPr="00BE51ED">
        <w:rPr>
          <w:color w:val="auto"/>
        </w:rPr>
        <w:fldChar w:fldCharType="begin"/>
      </w:r>
      <w:r w:rsidRPr="00BE51ED">
        <w:rPr>
          <w:color w:val="auto"/>
        </w:rPr>
        <w:instrText xml:space="preserve"> PAGEREF _Toc370983302 \h </w:instrText>
      </w:r>
      <w:r w:rsidRPr="00BE51ED">
        <w:rPr>
          <w:color w:val="auto"/>
        </w:rPr>
      </w:r>
      <w:r w:rsidRPr="00BE51ED">
        <w:rPr>
          <w:color w:val="auto"/>
        </w:rPr>
        <w:fldChar w:fldCharType="separate"/>
      </w:r>
      <w:r w:rsidRPr="00BE51ED">
        <w:rPr>
          <w:color w:val="auto"/>
        </w:rPr>
        <w:t>47</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Aktualisierte Bestimmungen für das Konzernvertragsprogramm und das Abonnement-Vertragsprogramm</w:t>
      </w:r>
      <w:r w:rsidRPr="00BE51ED">
        <w:tab/>
      </w:r>
      <w:r w:rsidRPr="00BE51ED">
        <w:fldChar w:fldCharType="begin"/>
      </w:r>
      <w:r w:rsidRPr="00BE51ED">
        <w:instrText xml:space="preserve"> PAGEREF _Toc370983303 \h </w:instrText>
      </w:r>
      <w:r w:rsidRPr="00BE51ED">
        <w:fldChar w:fldCharType="separate"/>
      </w:r>
      <w:r w:rsidRPr="00BE51ED">
        <w:t>48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Dienstkontinuität mittels Verlängerter Laufzeit</w:t>
      </w:r>
      <w:r w:rsidRPr="00BE51ED">
        <w:tab/>
      </w:r>
      <w:r w:rsidRPr="00BE51ED">
        <w:fldChar w:fldCharType="begin"/>
      </w:r>
      <w:r w:rsidRPr="00BE51ED">
        <w:instrText xml:space="preserve"> PAGEREF _Toc370983304 \h </w:instrText>
      </w:r>
      <w:r w:rsidRPr="00BE51ED">
        <w:fldChar w:fldCharType="separate"/>
      </w:r>
      <w:r w:rsidRPr="00BE51ED">
        <w:t>52</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rPr>
        <w:t>ABSCHNITT 4 – Lizenztypen und Gebühren</w:t>
      </w:r>
      <w:r w:rsidRPr="00BE51ED">
        <w:rPr>
          <w:color w:val="auto"/>
        </w:rPr>
        <w:tab/>
      </w:r>
      <w:r w:rsidRPr="00BE51ED">
        <w:rPr>
          <w:color w:val="auto"/>
        </w:rPr>
        <w:fldChar w:fldCharType="begin"/>
      </w:r>
      <w:r w:rsidRPr="00BE51ED">
        <w:rPr>
          <w:color w:val="auto"/>
        </w:rPr>
        <w:instrText xml:space="preserve"> PAGEREF _Toc370983305 \h </w:instrText>
      </w:r>
      <w:r w:rsidRPr="00BE51ED">
        <w:rPr>
          <w:color w:val="auto"/>
        </w:rPr>
      </w:r>
      <w:r w:rsidRPr="00BE51ED">
        <w:rPr>
          <w:color w:val="auto"/>
        </w:rPr>
        <w:fldChar w:fldCharType="separate"/>
      </w:r>
      <w:r w:rsidRPr="00BE51ED">
        <w:rPr>
          <w:color w:val="auto"/>
        </w:rPr>
        <w:t>53</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Gebühren</w:t>
      </w:r>
      <w:r w:rsidRPr="00BE51ED">
        <w:tab/>
      </w:r>
      <w:r w:rsidRPr="00BE51ED">
        <w:fldChar w:fldCharType="begin"/>
      </w:r>
      <w:r w:rsidRPr="00BE51ED">
        <w:instrText xml:space="preserve"> PAGEREF _Toc370983306 \h </w:instrText>
      </w:r>
      <w:r w:rsidRPr="00BE51ED">
        <w:fldChar w:fldCharType="separate"/>
      </w:r>
      <w:r w:rsidRPr="00BE51ED">
        <w:t>53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Lizenz</w:t>
      </w:r>
      <w:r w:rsidRPr="00BE51ED">
        <w:tab/>
      </w:r>
      <w:r w:rsidRPr="00BE51ED">
        <w:fldChar w:fldCharType="begin"/>
      </w:r>
      <w:r w:rsidRPr="00BE51ED">
        <w:instrText xml:space="preserve"> PAGEREF _Toc370983307 \h </w:instrText>
      </w:r>
      <w:r w:rsidRPr="00BE51ED">
        <w:fldChar w:fldCharType="separate"/>
      </w:r>
      <w:r w:rsidRPr="00BE51ED">
        <w:t>53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Lizenz und Software Assurance</w:t>
      </w:r>
      <w:r w:rsidRPr="00BE51ED">
        <w:tab/>
      </w:r>
      <w:r w:rsidRPr="00BE51ED">
        <w:fldChar w:fldCharType="begin"/>
      </w:r>
      <w:r w:rsidRPr="00BE51ED">
        <w:instrText xml:space="preserve"> PAGEREF _Toc370983308 \h </w:instrText>
      </w:r>
      <w:r w:rsidRPr="00BE51ED">
        <w:fldChar w:fldCharType="separate"/>
      </w:r>
      <w:r w:rsidRPr="00BE51ED">
        <w:t>53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lastRenderedPageBreak/>
        <w:t>Software Assurance</w:t>
      </w:r>
      <w:r w:rsidRPr="00BE51ED">
        <w:tab/>
      </w:r>
      <w:r w:rsidRPr="00BE51ED">
        <w:fldChar w:fldCharType="begin"/>
      </w:r>
      <w:r w:rsidRPr="00BE51ED">
        <w:instrText xml:space="preserve"> PAGEREF _Toc370983309 \h </w:instrText>
      </w:r>
      <w:r w:rsidRPr="00BE51ED">
        <w:fldChar w:fldCharType="separate"/>
      </w:r>
      <w:r w:rsidRPr="00BE51ED">
        <w:t>54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Step Up-Lizenzen</w:t>
      </w:r>
      <w:r w:rsidRPr="00BE51ED">
        <w:tab/>
      </w:r>
      <w:r w:rsidRPr="00BE51ED">
        <w:fldChar w:fldCharType="begin"/>
      </w:r>
      <w:r w:rsidRPr="00BE51ED">
        <w:instrText xml:space="preserve"> PAGEREF _Toc370983310 \h </w:instrText>
      </w:r>
      <w:r w:rsidRPr="00BE51ED">
        <w:fldChar w:fldCharType="separate"/>
      </w:r>
      <w:r w:rsidRPr="00BE51ED">
        <w:t>55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Abonnementlizenzen</w:t>
      </w:r>
      <w:r w:rsidRPr="00BE51ED">
        <w:tab/>
      </w:r>
      <w:r w:rsidRPr="00BE51ED">
        <w:fldChar w:fldCharType="begin"/>
      </w:r>
      <w:r w:rsidRPr="00BE51ED">
        <w:instrText xml:space="preserve"> PAGEREF _Toc370983311 \h </w:instrText>
      </w:r>
      <w:r w:rsidRPr="00BE51ED">
        <w:fldChar w:fldCharType="separate"/>
      </w:r>
      <w:r w:rsidRPr="00BE51ED">
        <w:t>55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rPr>
        <w:t>Upgrade</w:t>
      </w:r>
      <w:r w:rsidRPr="00BE51ED">
        <w:tab/>
      </w:r>
      <w:r w:rsidRPr="00BE51ED">
        <w:fldChar w:fldCharType="begin"/>
      </w:r>
      <w:r w:rsidRPr="00BE51ED">
        <w:instrText xml:space="preserve"> PAGEREF _Toc370983312 \h </w:instrText>
      </w:r>
      <w:r w:rsidRPr="00BE51ED">
        <w:fldChar w:fldCharType="separate"/>
      </w:r>
      <w:r w:rsidRPr="00BE51ED">
        <w:t>56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Upgrade und Software Assurance</w:t>
      </w:r>
      <w:r w:rsidRPr="00BE51ED">
        <w:tab/>
      </w:r>
      <w:r w:rsidRPr="00BE51ED">
        <w:fldChar w:fldCharType="begin"/>
      </w:r>
      <w:r w:rsidRPr="00BE51ED">
        <w:instrText xml:space="preserve"> PAGEREF _Toc370983313 \h </w:instrText>
      </w:r>
      <w:r w:rsidRPr="00BE51ED">
        <w:fldChar w:fldCharType="separate"/>
      </w:r>
      <w:r w:rsidRPr="00BE51ED">
        <w:t>56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Work-at-Home-Lizenzen</w:t>
      </w:r>
      <w:r w:rsidRPr="00BE51ED">
        <w:tab/>
      </w:r>
      <w:r w:rsidRPr="00BE51ED">
        <w:fldChar w:fldCharType="begin"/>
      </w:r>
      <w:r w:rsidRPr="00BE51ED">
        <w:instrText xml:space="preserve"> PAGEREF _Toc370983314 \h </w:instrText>
      </w:r>
      <w:r w:rsidRPr="00BE51ED">
        <w:fldChar w:fldCharType="separate"/>
      </w:r>
      <w:r w:rsidRPr="00BE51ED">
        <w:t>56</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Abschnitt 5 – PREISE und ZAHLUNGSBESTIMMUNGEN FÜR ONLINEDIENSTE</w:t>
      </w:r>
      <w:r w:rsidRPr="00BE51ED">
        <w:rPr>
          <w:color w:val="auto"/>
        </w:rPr>
        <w:tab/>
      </w:r>
      <w:r w:rsidRPr="00BE51ED">
        <w:rPr>
          <w:color w:val="auto"/>
        </w:rPr>
        <w:fldChar w:fldCharType="begin"/>
      </w:r>
      <w:r w:rsidRPr="00BE51ED">
        <w:rPr>
          <w:color w:val="auto"/>
        </w:rPr>
        <w:instrText xml:space="preserve"> PAGEREF _Toc370983315 \h </w:instrText>
      </w:r>
      <w:r w:rsidRPr="00BE51ED">
        <w:rPr>
          <w:color w:val="auto"/>
        </w:rPr>
      </w:r>
      <w:r w:rsidRPr="00BE51ED">
        <w:rPr>
          <w:color w:val="auto"/>
        </w:rPr>
        <w:fldChar w:fldCharType="separate"/>
      </w:r>
      <w:r w:rsidRPr="00BE51ED">
        <w:rPr>
          <w:color w:val="auto"/>
        </w:rPr>
        <w:t>57</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Preise und Zahlungsbestimmungen für Onlinedienste</w:t>
      </w:r>
      <w:r w:rsidRPr="00BE51ED">
        <w:tab/>
      </w:r>
      <w:r w:rsidRPr="00BE51ED">
        <w:fldChar w:fldCharType="begin"/>
      </w:r>
      <w:r w:rsidRPr="00BE51ED">
        <w:instrText xml:space="preserve"> PAGEREF _Toc370983316 \h </w:instrText>
      </w:r>
      <w:r w:rsidRPr="00BE51ED">
        <w:fldChar w:fldCharType="separate"/>
      </w:r>
      <w:r w:rsidRPr="00BE51ED">
        <w:t>57</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Laufzeit eines Onlinedienste-Abonnements</w:t>
      </w:r>
      <w:r w:rsidRPr="00BE51ED">
        <w:tab/>
      </w:r>
      <w:r w:rsidRPr="00BE51ED">
        <w:fldChar w:fldCharType="begin"/>
      </w:r>
      <w:r w:rsidRPr="00BE51ED">
        <w:instrText xml:space="preserve"> PAGEREF _Toc370983317 \h </w:instrText>
      </w:r>
      <w:r w:rsidRPr="00BE51ED">
        <w:fldChar w:fldCharType="separate"/>
      </w:r>
      <w:r w:rsidRPr="00BE51ED">
        <w:t>58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Erwerb und automatische Verlängerung von Onlinediensten</w:t>
      </w:r>
      <w:r w:rsidRPr="00BE51ED">
        <w:tab/>
      </w:r>
      <w:r w:rsidRPr="00BE51ED">
        <w:fldChar w:fldCharType="begin"/>
      </w:r>
      <w:r w:rsidRPr="00BE51ED">
        <w:instrText xml:space="preserve"> PAGEREF _Toc370983318 \h </w:instrText>
      </w:r>
      <w:r w:rsidRPr="00BE51ED">
        <w:fldChar w:fldCharType="separate"/>
      </w:r>
      <w:r w:rsidRPr="00BE51ED">
        <w:t>59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Verwalten des Verlängerungs- und automatischen Verlängerungsstatus</w:t>
      </w:r>
      <w:r w:rsidRPr="00BE51ED">
        <w:tab/>
      </w:r>
      <w:r w:rsidRPr="00BE51ED">
        <w:fldChar w:fldCharType="begin"/>
      </w:r>
      <w:r w:rsidRPr="00BE51ED">
        <w:instrText xml:space="preserve"> PAGEREF _Toc370983319 \h </w:instrText>
      </w:r>
      <w:r w:rsidRPr="00BE51ED">
        <w:fldChar w:fldCharType="separate"/>
      </w:r>
      <w:r w:rsidRPr="00BE51ED">
        <w:t>59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Kündigung von Onlinediensten</w:t>
      </w:r>
      <w:r w:rsidRPr="00BE51ED">
        <w:tab/>
      </w:r>
      <w:r w:rsidRPr="00BE51ED">
        <w:fldChar w:fldCharType="begin"/>
      </w:r>
      <w:r w:rsidRPr="00BE51ED">
        <w:instrText xml:space="preserve"> PAGEREF _Toc370983320 \h </w:instrText>
      </w:r>
      <w:r w:rsidRPr="00BE51ED">
        <w:fldChar w:fldCharType="separate"/>
      </w:r>
      <w:r w:rsidRPr="00BE51ED">
        <w:t>59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Zahlungsbestimmungsoptionen für Onlinedienste</w:t>
      </w:r>
      <w:r w:rsidRPr="00BE51ED">
        <w:tab/>
      </w:r>
      <w:r w:rsidRPr="00BE51ED">
        <w:fldChar w:fldCharType="begin"/>
      </w:r>
      <w:r w:rsidRPr="00BE51ED">
        <w:instrText xml:space="preserve"> PAGEREF _Toc370983321 \h </w:instrText>
      </w:r>
      <w:r w:rsidRPr="00BE51ED">
        <w:fldChar w:fldCharType="separate"/>
      </w:r>
      <w:r w:rsidRPr="00BE51ED">
        <w:t>59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Mindesterwerbsanforderungen für Onlinedienste im Rahmen der Volumenlizenzierung</w:t>
      </w:r>
      <w:r w:rsidRPr="00BE51ED">
        <w:tab/>
      </w:r>
      <w:r w:rsidRPr="00BE51ED">
        <w:fldChar w:fldCharType="begin"/>
      </w:r>
      <w:r w:rsidRPr="00BE51ED">
        <w:instrText xml:space="preserve"> PAGEREF _Toc370983322 \h </w:instrText>
      </w:r>
      <w:r w:rsidRPr="00BE51ED">
        <w:fldChar w:fldCharType="separate"/>
      </w:r>
      <w:r w:rsidRPr="00BE51ED">
        <w:t>60</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Windows Azure-Dienste</w:t>
      </w:r>
      <w:r w:rsidRPr="00BE51ED">
        <w:rPr>
          <w:color w:val="auto"/>
        </w:rPr>
        <w:tab/>
      </w:r>
      <w:r w:rsidRPr="00BE51ED">
        <w:rPr>
          <w:color w:val="auto"/>
        </w:rPr>
        <w:fldChar w:fldCharType="begin"/>
      </w:r>
      <w:r w:rsidRPr="00BE51ED">
        <w:rPr>
          <w:color w:val="auto"/>
        </w:rPr>
        <w:instrText xml:space="preserve"> PAGEREF _Toc370983323 \h </w:instrText>
      </w:r>
      <w:r w:rsidRPr="00BE51ED">
        <w:rPr>
          <w:color w:val="auto"/>
        </w:rPr>
      </w:r>
      <w:r w:rsidRPr="00BE51ED">
        <w:rPr>
          <w:color w:val="auto"/>
        </w:rPr>
        <w:fldChar w:fldCharType="separate"/>
      </w:r>
      <w:r w:rsidRPr="00BE51ED">
        <w:rPr>
          <w:color w:val="auto"/>
        </w:rPr>
        <w:t>60</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Regionale Verfügbarkeit von Onlinediensten</w:t>
      </w:r>
      <w:r w:rsidRPr="00BE51ED">
        <w:tab/>
      </w:r>
      <w:r w:rsidRPr="00BE51ED">
        <w:fldChar w:fldCharType="begin"/>
      </w:r>
      <w:r w:rsidRPr="00BE51ED">
        <w:instrText xml:space="preserve"> PAGEREF _Toc370983324 \h </w:instrText>
      </w:r>
      <w:r w:rsidRPr="00BE51ED">
        <w:fldChar w:fldCharType="separate"/>
      </w:r>
      <w:r w:rsidRPr="00BE51ED">
        <w:t>62</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Zusätzliche Bestimmungen für Onlinedienste</w:t>
      </w:r>
      <w:r w:rsidRPr="00BE51ED">
        <w:tab/>
      </w:r>
      <w:r w:rsidRPr="00BE51ED">
        <w:fldChar w:fldCharType="begin"/>
      </w:r>
      <w:r w:rsidRPr="00BE51ED">
        <w:instrText xml:space="preserve"> PAGEREF _Toc370983325 \h </w:instrText>
      </w:r>
      <w:r w:rsidRPr="00BE51ED">
        <w:fldChar w:fldCharType="separate"/>
      </w:r>
      <w:r w:rsidRPr="00BE51ED">
        <w:t>62</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ABSCHNITT 6 – Regeln zur Verlängerung von Software Assurance</w:t>
      </w:r>
      <w:r w:rsidRPr="00BE51ED">
        <w:rPr>
          <w:color w:val="auto"/>
        </w:rPr>
        <w:tab/>
      </w:r>
      <w:r w:rsidRPr="00BE51ED">
        <w:rPr>
          <w:color w:val="auto"/>
        </w:rPr>
        <w:fldChar w:fldCharType="begin"/>
      </w:r>
      <w:r w:rsidRPr="00BE51ED">
        <w:rPr>
          <w:color w:val="auto"/>
        </w:rPr>
        <w:instrText xml:space="preserve"> PAGEREF _Toc370983326 \h </w:instrText>
      </w:r>
      <w:r w:rsidRPr="00BE51ED">
        <w:rPr>
          <w:color w:val="auto"/>
        </w:rPr>
      </w:r>
      <w:r w:rsidRPr="00BE51ED">
        <w:rPr>
          <w:color w:val="auto"/>
        </w:rPr>
        <w:fldChar w:fldCharType="separate"/>
      </w:r>
      <w:r w:rsidRPr="00BE51ED">
        <w:rPr>
          <w:color w:val="auto"/>
        </w:rPr>
        <w:t>63</w:t>
      </w:r>
      <w:r w:rsidRPr="00BE51ED">
        <w:rPr>
          <w:color w:val="auto"/>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rFonts w:cs="Tahoma"/>
          <w:noProof/>
          <w:lang w:val="de-DE"/>
        </w:rPr>
        <w:t>Open-Lizenz</w:t>
      </w:r>
      <w:r w:rsidRPr="00BE51ED">
        <w:rPr>
          <w:noProof/>
        </w:rPr>
        <w:tab/>
      </w:r>
      <w:r w:rsidRPr="00BE51ED">
        <w:rPr>
          <w:noProof/>
        </w:rPr>
        <w:fldChar w:fldCharType="begin"/>
      </w:r>
      <w:r w:rsidRPr="00BE51ED">
        <w:rPr>
          <w:noProof/>
        </w:rPr>
        <w:instrText xml:space="preserve"> PAGEREF _Toc370983327 \h </w:instrText>
      </w:r>
      <w:r w:rsidRPr="00BE51ED">
        <w:rPr>
          <w:noProof/>
        </w:rPr>
      </w:r>
      <w:r w:rsidRPr="00BE51ED">
        <w:rPr>
          <w:noProof/>
        </w:rPr>
        <w:fldChar w:fldCharType="separate"/>
      </w:r>
      <w:r w:rsidRPr="00BE51ED">
        <w:rPr>
          <w:noProof/>
        </w:rPr>
        <w:t>63</w:t>
      </w:r>
      <w:r w:rsidRPr="00BE51ED">
        <w:rPr>
          <w:noProof/>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rFonts w:cs="Tahoma"/>
          <w:noProof/>
          <w:lang w:val="de-DE"/>
        </w:rPr>
        <w:t>Open Value 20xx</w:t>
      </w:r>
      <w:r w:rsidRPr="00BE51ED">
        <w:rPr>
          <w:noProof/>
        </w:rPr>
        <w:tab/>
      </w:r>
      <w:r w:rsidRPr="00BE51ED">
        <w:rPr>
          <w:noProof/>
        </w:rPr>
        <w:fldChar w:fldCharType="begin"/>
      </w:r>
      <w:r w:rsidRPr="00BE51ED">
        <w:rPr>
          <w:noProof/>
        </w:rPr>
        <w:instrText xml:space="preserve"> PAGEREF _Toc370983328 \h </w:instrText>
      </w:r>
      <w:r w:rsidRPr="00BE51ED">
        <w:rPr>
          <w:noProof/>
        </w:rPr>
      </w:r>
      <w:r w:rsidRPr="00BE51ED">
        <w:rPr>
          <w:noProof/>
        </w:rPr>
        <w:fldChar w:fldCharType="separate"/>
      </w:r>
      <w:r w:rsidRPr="00BE51ED">
        <w:rPr>
          <w:noProof/>
        </w:rPr>
        <w:t>63</w:t>
      </w:r>
      <w:r w:rsidRPr="00BE51ED">
        <w:rPr>
          <w:noProof/>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rFonts w:cs="Tahoma"/>
          <w:noProof/>
          <w:lang w:val="de-DE"/>
        </w:rPr>
        <w:t>Select 20xx</w:t>
      </w:r>
      <w:r w:rsidRPr="00BE51ED">
        <w:rPr>
          <w:noProof/>
        </w:rPr>
        <w:tab/>
      </w:r>
      <w:r w:rsidRPr="00BE51ED">
        <w:rPr>
          <w:noProof/>
        </w:rPr>
        <w:fldChar w:fldCharType="begin"/>
      </w:r>
      <w:r w:rsidRPr="00BE51ED">
        <w:rPr>
          <w:noProof/>
        </w:rPr>
        <w:instrText xml:space="preserve"> PAGEREF _Toc370983329 \h </w:instrText>
      </w:r>
      <w:r w:rsidRPr="00BE51ED">
        <w:rPr>
          <w:noProof/>
        </w:rPr>
      </w:r>
      <w:r w:rsidRPr="00BE51ED">
        <w:rPr>
          <w:noProof/>
        </w:rPr>
        <w:fldChar w:fldCharType="separate"/>
      </w:r>
      <w:r w:rsidRPr="00BE51ED">
        <w:rPr>
          <w:noProof/>
        </w:rPr>
        <w:t>63</w:t>
      </w:r>
      <w:r w:rsidRPr="00BE51ED">
        <w:rPr>
          <w:noProof/>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noProof/>
          <w:lang w:val="de-DE"/>
        </w:rPr>
        <w:t>Verlängerung im Rahmen des Gleichen Vertrages</w:t>
      </w:r>
      <w:r w:rsidRPr="00BE51ED">
        <w:rPr>
          <w:noProof/>
        </w:rPr>
        <w:tab/>
      </w:r>
      <w:r w:rsidRPr="00BE51ED">
        <w:rPr>
          <w:noProof/>
        </w:rPr>
        <w:fldChar w:fldCharType="begin"/>
      </w:r>
      <w:r w:rsidRPr="00BE51ED">
        <w:rPr>
          <w:noProof/>
        </w:rPr>
        <w:instrText xml:space="preserve"> PAGEREF _Toc370983330 \h </w:instrText>
      </w:r>
      <w:r w:rsidRPr="00BE51ED">
        <w:rPr>
          <w:noProof/>
        </w:rPr>
      </w:r>
      <w:r w:rsidRPr="00BE51ED">
        <w:rPr>
          <w:noProof/>
        </w:rPr>
        <w:fldChar w:fldCharType="separate"/>
      </w:r>
      <w:r w:rsidRPr="00BE51ED">
        <w:rPr>
          <w:noProof/>
        </w:rPr>
        <w:t>63</w:t>
      </w:r>
      <w:r w:rsidRPr="00BE51ED">
        <w:rPr>
          <w:noProof/>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noProof/>
          <w:lang w:val="de-DE"/>
        </w:rPr>
        <w:t>Verlängerung im Rahmen eines separaten Vertrages</w:t>
      </w:r>
      <w:r w:rsidRPr="00BE51ED">
        <w:rPr>
          <w:noProof/>
        </w:rPr>
        <w:tab/>
      </w:r>
      <w:r w:rsidRPr="00BE51ED">
        <w:rPr>
          <w:noProof/>
        </w:rPr>
        <w:fldChar w:fldCharType="begin"/>
      </w:r>
      <w:r w:rsidRPr="00BE51ED">
        <w:rPr>
          <w:noProof/>
        </w:rPr>
        <w:instrText xml:space="preserve"> PAGEREF _Toc370983331 \h </w:instrText>
      </w:r>
      <w:r w:rsidRPr="00BE51ED">
        <w:rPr>
          <w:noProof/>
        </w:rPr>
      </w:r>
      <w:r w:rsidRPr="00BE51ED">
        <w:rPr>
          <w:noProof/>
        </w:rPr>
        <w:fldChar w:fldCharType="separate"/>
      </w:r>
      <w:r w:rsidRPr="00BE51ED">
        <w:rPr>
          <w:noProof/>
        </w:rPr>
        <w:t>64</w:t>
      </w:r>
      <w:r w:rsidRPr="00BE51ED">
        <w:rPr>
          <w:noProof/>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rFonts w:cs="Tahoma"/>
          <w:noProof/>
          <w:lang w:val="de-DE"/>
        </w:rPr>
        <w:t>Select Plus 20xx</w:t>
      </w:r>
      <w:r w:rsidRPr="00BE51ED">
        <w:rPr>
          <w:noProof/>
        </w:rPr>
        <w:tab/>
      </w:r>
      <w:r w:rsidRPr="00BE51ED">
        <w:rPr>
          <w:noProof/>
        </w:rPr>
        <w:fldChar w:fldCharType="begin"/>
      </w:r>
      <w:r w:rsidRPr="00BE51ED">
        <w:rPr>
          <w:noProof/>
        </w:rPr>
        <w:instrText xml:space="preserve"> PAGEREF _Toc370983332 \h </w:instrText>
      </w:r>
      <w:r w:rsidRPr="00BE51ED">
        <w:rPr>
          <w:noProof/>
        </w:rPr>
      </w:r>
      <w:r w:rsidRPr="00BE51ED">
        <w:rPr>
          <w:noProof/>
        </w:rPr>
        <w:fldChar w:fldCharType="separate"/>
      </w:r>
      <w:r w:rsidRPr="00BE51ED">
        <w:rPr>
          <w:noProof/>
        </w:rPr>
        <w:t>64</w:t>
      </w:r>
      <w:r w:rsidRPr="00BE51ED">
        <w:rPr>
          <w:noProof/>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rFonts w:cs="Tahoma"/>
          <w:noProof/>
          <w:lang w:val="de-DE"/>
        </w:rPr>
        <w:t>Konzernvertrag 2011 und spätere Versionen</w:t>
      </w:r>
      <w:r w:rsidRPr="00BE51ED">
        <w:rPr>
          <w:noProof/>
        </w:rPr>
        <w:tab/>
      </w:r>
      <w:r w:rsidRPr="00BE51ED">
        <w:rPr>
          <w:noProof/>
        </w:rPr>
        <w:fldChar w:fldCharType="begin"/>
      </w:r>
      <w:r w:rsidRPr="00BE51ED">
        <w:rPr>
          <w:noProof/>
        </w:rPr>
        <w:instrText xml:space="preserve"> PAGEREF _Toc370983333 \h </w:instrText>
      </w:r>
      <w:r w:rsidRPr="00BE51ED">
        <w:rPr>
          <w:noProof/>
        </w:rPr>
      </w:r>
      <w:r w:rsidRPr="00BE51ED">
        <w:rPr>
          <w:noProof/>
        </w:rPr>
        <w:fldChar w:fldCharType="separate"/>
      </w:r>
      <w:r w:rsidRPr="00BE51ED">
        <w:rPr>
          <w:noProof/>
        </w:rPr>
        <w:t>64</w:t>
      </w:r>
      <w:r w:rsidRPr="00BE51ED">
        <w:rPr>
          <w:noProof/>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rFonts w:cs="Tahoma"/>
          <w:noProof/>
          <w:lang w:val="de-DE"/>
        </w:rPr>
        <w:t>Konzernvertrag vor 2011</w:t>
      </w:r>
      <w:r w:rsidRPr="00BE51ED">
        <w:rPr>
          <w:noProof/>
        </w:rPr>
        <w:tab/>
      </w:r>
      <w:r w:rsidRPr="00BE51ED">
        <w:rPr>
          <w:noProof/>
        </w:rPr>
        <w:fldChar w:fldCharType="begin"/>
      </w:r>
      <w:r w:rsidRPr="00BE51ED">
        <w:rPr>
          <w:noProof/>
        </w:rPr>
        <w:instrText xml:space="preserve"> PAGEREF _Toc370983334 \h </w:instrText>
      </w:r>
      <w:r w:rsidRPr="00BE51ED">
        <w:rPr>
          <w:noProof/>
        </w:rPr>
      </w:r>
      <w:r w:rsidRPr="00BE51ED">
        <w:rPr>
          <w:noProof/>
        </w:rPr>
        <w:fldChar w:fldCharType="separate"/>
      </w:r>
      <w:r w:rsidRPr="00BE51ED">
        <w:rPr>
          <w:noProof/>
        </w:rPr>
        <w:t>65</w:t>
      </w:r>
      <w:r w:rsidRPr="00BE51ED">
        <w:rPr>
          <w:noProof/>
        </w:rPr>
        <w:fldChar w:fldCharType="end"/>
      </w:r>
    </w:p>
    <w:p w:rsidR="00BE51ED" w:rsidRPr="00BE51ED" w:rsidRDefault="00BE51ED">
      <w:pPr>
        <w:pStyle w:val="TOC4"/>
        <w:rPr>
          <w:rFonts w:asciiTheme="minorHAnsi" w:eastAsiaTheme="minorEastAsia" w:hAnsiTheme="minorHAnsi" w:cstheme="minorBidi"/>
          <w:noProof/>
          <w:sz w:val="22"/>
          <w:szCs w:val="22"/>
        </w:rPr>
      </w:pPr>
      <w:r w:rsidRPr="00BE51ED">
        <w:rPr>
          <w:rFonts w:cs="Tahoma"/>
          <w:noProof/>
          <w:lang w:val="de-DE"/>
        </w:rPr>
        <w:t>Programmübergreifende Verlängerung</w:t>
      </w:r>
      <w:r w:rsidRPr="00BE51ED">
        <w:rPr>
          <w:noProof/>
        </w:rPr>
        <w:tab/>
      </w:r>
      <w:r w:rsidRPr="00BE51ED">
        <w:rPr>
          <w:noProof/>
        </w:rPr>
        <w:fldChar w:fldCharType="begin"/>
      </w:r>
      <w:r w:rsidRPr="00BE51ED">
        <w:rPr>
          <w:noProof/>
        </w:rPr>
        <w:instrText xml:space="preserve"> PAGEREF _Toc370983335 \h </w:instrText>
      </w:r>
      <w:r w:rsidRPr="00BE51ED">
        <w:rPr>
          <w:noProof/>
        </w:rPr>
      </w:r>
      <w:r w:rsidRPr="00BE51ED">
        <w:rPr>
          <w:noProof/>
        </w:rPr>
        <w:fldChar w:fldCharType="separate"/>
      </w:r>
      <w:r w:rsidRPr="00BE51ED">
        <w:rPr>
          <w:noProof/>
        </w:rPr>
        <w:t>65</w:t>
      </w:r>
      <w:r w:rsidRPr="00BE51ED">
        <w:rPr>
          <w:noProof/>
        </w:rPr>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ABSCHNITT 7 – Programmvorteile, Software Assurance(SA)-VERGÜNSTIGUNGEN und Onlinedienste(OLS)-Vergünstigungen</w:t>
      </w:r>
      <w:r w:rsidRPr="00BE51ED">
        <w:rPr>
          <w:color w:val="auto"/>
        </w:rPr>
        <w:tab/>
      </w:r>
      <w:r w:rsidRPr="00BE51ED">
        <w:rPr>
          <w:color w:val="auto"/>
        </w:rPr>
        <w:fldChar w:fldCharType="begin"/>
      </w:r>
      <w:r w:rsidRPr="00BE51ED">
        <w:rPr>
          <w:color w:val="auto"/>
        </w:rPr>
        <w:instrText xml:space="preserve"> PAGEREF _Toc370983336 \h </w:instrText>
      </w:r>
      <w:r w:rsidRPr="00BE51ED">
        <w:rPr>
          <w:color w:val="auto"/>
        </w:rPr>
      </w:r>
      <w:r w:rsidRPr="00BE51ED">
        <w:rPr>
          <w:color w:val="auto"/>
        </w:rPr>
        <w:fldChar w:fldCharType="separate"/>
      </w:r>
      <w:r w:rsidRPr="00BE51ED">
        <w:rPr>
          <w:color w:val="auto"/>
        </w:rPr>
        <w:t>66</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lang w:val="de-DE"/>
        </w:rPr>
        <w:t>Rechte für neue Versionen</w:t>
      </w:r>
      <w:r w:rsidRPr="00BE51ED">
        <w:tab/>
      </w:r>
      <w:r w:rsidRPr="00BE51ED">
        <w:fldChar w:fldCharType="begin"/>
      </w:r>
      <w:r w:rsidRPr="00BE51ED">
        <w:instrText xml:space="preserve"> PAGEREF _Toc370983337 \h </w:instrText>
      </w:r>
      <w:r w:rsidRPr="00BE51ED">
        <w:fldChar w:fldCharType="separate"/>
      </w:r>
      <w:r w:rsidRPr="00BE51ED">
        <w:t>69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t>Office Multi Language Pack</w:t>
      </w:r>
      <w:r w:rsidRPr="00BE51ED">
        <w:tab/>
      </w:r>
      <w:r w:rsidRPr="00BE51ED">
        <w:fldChar w:fldCharType="begin"/>
      </w:r>
      <w:r w:rsidRPr="00BE51ED">
        <w:instrText xml:space="preserve"> PAGEREF _Toc370983338 \h </w:instrText>
      </w:r>
      <w:r w:rsidRPr="00BE51ED">
        <w:fldChar w:fldCharType="separate"/>
      </w:r>
      <w:r w:rsidRPr="00BE51ED">
        <w:t>69</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Windows 8 Enterprise</w:t>
      </w:r>
      <w:r w:rsidRPr="00BE51ED">
        <w:rPr>
          <w:color w:val="auto"/>
        </w:rPr>
        <w:tab/>
      </w:r>
      <w:r w:rsidRPr="00BE51ED">
        <w:rPr>
          <w:color w:val="auto"/>
        </w:rPr>
        <w:fldChar w:fldCharType="begin"/>
      </w:r>
      <w:r w:rsidRPr="00BE51ED">
        <w:rPr>
          <w:color w:val="auto"/>
        </w:rPr>
        <w:instrText xml:space="preserve"> PAGEREF _Toc370983339 \h </w:instrText>
      </w:r>
      <w:r w:rsidRPr="00BE51ED">
        <w:rPr>
          <w:color w:val="auto"/>
        </w:rPr>
      </w:r>
      <w:r w:rsidRPr="00BE51ED">
        <w:rPr>
          <w:color w:val="auto"/>
        </w:rPr>
        <w:fldChar w:fldCharType="separate"/>
      </w:r>
      <w:r w:rsidRPr="00BE51ED">
        <w:rPr>
          <w:color w:val="auto"/>
        </w:rPr>
        <w:t>74</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Windows 8 Enterprise Sideloading</w:t>
      </w:r>
      <w:r w:rsidRPr="00BE51ED">
        <w:rPr>
          <w:color w:val="auto"/>
        </w:rPr>
        <w:tab/>
      </w:r>
      <w:r w:rsidRPr="00BE51ED">
        <w:rPr>
          <w:color w:val="auto"/>
        </w:rPr>
        <w:fldChar w:fldCharType="begin"/>
      </w:r>
      <w:r w:rsidRPr="00BE51ED">
        <w:rPr>
          <w:color w:val="auto"/>
        </w:rPr>
        <w:instrText xml:space="preserve"> PAGEREF _Toc370983340 \h </w:instrText>
      </w:r>
      <w:r w:rsidRPr="00BE51ED">
        <w:rPr>
          <w:color w:val="auto"/>
        </w:rPr>
      </w:r>
      <w:r w:rsidRPr="00BE51ED">
        <w:rPr>
          <w:color w:val="auto"/>
        </w:rPr>
        <w:fldChar w:fldCharType="separate"/>
      </w:r>
      <w:r w:rsidRPr="00BE51ED">
        <w:rPr>
          <w:color w:val="auto"/>
        </w:rPr>
        <w:t>74</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Windows Companion-Abonnementlizenz</w:t>
      </w:r>
      <w:r w:rsidRPr="00BE51ED">
        <w:rPr>
          <w:color w:val="auto"/>
        </w:rPr>
        <w:tab/>
      </w:r>
      <w:r w:rsidRPr="00BE51ED">
        <w:rPr>
          <w:color w:val="auto"/>
        </w:rPr>
        <w:fldChar w:fldCharType="begin"/>
      </w:r>
      <w:r w:rsidRPr="00BE51ED">
        <w:rPr>
          <w:color w:val="auto"/>
        </w:rPr>
        <w:instrText xml:space="preserve"> PAGEREF _Toc370983341 \h </w:instrText>
      </w:r>
      <w:r w:rsidRPr="00BE51ED">
        <w:rPr>
          <w:color w:val="auto"/>
        </w:rPr>
      </w:r>
      <w:r w:rsidRPr="00BE51ED">
        <w:rPr>
          <w:color w:val="auto"/>
        </w:rPr>
        <w:fldChar w:fldCharType="separate"/>
      </w:r>
      <w:r w:rsidRPr="00BE51ED">
        <w:rPr>
          <w:color w:val="auto"/>
        </w:rPr>
        <w:t>74</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Trainingsgutscheine</w:t>
      </w:r>
      <w:r w:rsidRPr="00BE51ED">
        <w:rPr>
          <w:color w:val="auto"/>
        </w:rPr>
        <w:tab/>
      </w:r>
      <w:r w:rsidRPr="00BE51ED">
        <w:rPr>
          <w:color w:val="auto"/>
        </w:rPr>
        <w:fldChar w:fldCharType="begin"/>
      </w:r>
      <w:r w:rsidRPr="00BE51ED">
        <w:rPr>
          <w:color w:val="auto"/>
        </w:rPr>
        <w:instrText xml:space="preserve"> PAGEREF _Toc370983342 \h </w:instrText>
      </w:r>
      <w:r w:rsidRPr="00BE51ED">
        <w:rPr>
          <w:color w:val="auto"/>
        </w:rPr>
      </w:r>
      <w:r w:rsidRPr="00BE51ED">
        <w:rPr>
          <w:color w:val="auto"/>
        </w:rPr>
        <w:fldChar w:fldCharType="separate"/>
      </w:r>
      <w:r w:rsidRPr="00BE51ED">
        <w:rPr>
          <w:color w:val="auto"/>
        </w:rPr>
        <w:t>74</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E-Learning</w:t>
      </w:r>
      <w:r w:rsidRPr="00BE51ED">
        <w:rPr>
          <w:color w:val="auto"/>
        </w:rPr>
        <w:tab/>
      </w:r>
      <w:r w:rsidRPr="00BE51ED">
        <w:rPr>
          <w:color w:val="auto"/>
        </w:rPr>
        <w:fldChar w:fldCharType="begin"/>
      </w:r>
      <w:r w:rsidRPr="00BE51ED">
        <w:rPr>
          <w:color w:val="auto"/>
        </w:rPr>
        <w:instrText xml:space="preserve"> PAGEREF _Toc370983343 \h </w:instrText>
      </w:r>
      <w:r w:rsidRPr="00BE51ED">
        <w:rPr>
          <w:color w:val="auto"/>
        </w:rPr>
      </w:r>
      <w:r w:rsidRPr="00BE51ED">
        <w:rPr>
          <w:color w:val="auto"/>
        </w:rPr>
        <w:fldChar w:fldCharType="separate"/>
      </w:r>
      <w:r w:rsidRPr="00BE51ED">
        <w:rPr>
          <w:color w:val="auto"/>
        </w:rPr>
        <w:t>76</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Home Use Program</w:t>
      </w:r>
      <w:r w:rsidRPr="00BE51ED">
        <w:rPr>
          <w:color w:val="auto"/>
        </w:rPr>
        <w:tab/>
      </w:r>
      <w:r w:rsidRPr="00BE51ED">
        <w:rPr>
          <w:color w:val="auto"/>
        </w:rPr>
        <w:fldChar w:fldCharType="begin"/>
      </w:r>
      <w:r w:rsidRPr="00BE51ED">
        <w:rPr>
          <w:color w:val="auto"/>
        </w:rPr>
        <w:instrText xml:space="preserve"> PAGEREF _Toc370983344 \h </w:instrText>
      </w:r>
      <w:r w:rsidRPr="00BE51ED">
        <w:rPr>
          <w:color w:val="auto"/>
        </w:rPr>
      </w:r>
      <w:r w:rsidRPr="00BE51ED">
        <w:rPr>
          <w:color w:val="auto"/>
        </w:rPr>
        <w:fldChar w:fldCharType="separate"/>
      </w:r>
      <w:r w:rsidRPr="00BE51ED">
        <w:rPr>
          <w:color w:val="auto"/>
        </w:rPr>
        <w:t>77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24x7 Problembehebungssupport</w:t>
      </w:r>
      <w:r w:rsidRPr="00BE51ED">
        <w:rPr>
          <w:color w:val="auto"/>
        </w:rPr>
        <w:tab/>
      </w:r>
      <w:r w:rsidRPr="00BE51ED">
        <w:rPr>
          <w:color w:val="auto"/>
        </w:rPr>
        <w:fldChar w:fldCharType="begin"/>
      </w:r>
      <w:r w:rsidRPr="00BE51ED">
        <w:rPr>
          <w:color w:val="auto"/>
        </w:rPr>
        <w:instrText xml:space="preserve"> PAGEREF _Toc370983345 \h </w:instrText>
      </w:r>
      <w:r w:rsidRPr="00BE51ED">
        <w:rPr>
          <w:color w:val="auto"/>
        </w:rPr>
      </w:r>
      <w:r w:rsidRPr="00BE51ED">
        <w:rPr>
          <w:color w:val="auto"/>
        </w:rPr>
        <w:fldChar w:fldCharType="separate"/>
      </w:r>
      <w:r w:rsidRPr="00BE51ED">
        <w:rPr>
          <w:color w:val="auto"/>
        </w:rPr>
        <w:t>79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Unbegrenzter 24x7-Problembehebungssupport</w:t>
      </w:r>
      <w:r w:rsidRPr="00BE51ED">
        <w:rPr>
          <w:color w:val="auto"/>
        </w:rPr>
        <w:tab/>
      </w:r>
      <w:r w:rsidRPr="00BE51ED">
        <w:rPr>
          <w:color w:val="auto"/>
        </w:rPr>
        <w:fldChar w:fldCharType="begin"/>
      </w:r>
      <w:r w:rsidRPr="00BE51ED">
        <w:rPr>
          <w:color w:val="auto"/>
        </w:rPr>
        <w:instrText xml:space="preserve"> PAGEREF _Toc370983346 \h </w:instrText>
      </w:r>
      <w:r w:rsidRPr="00BE51ED">
        <w:rPr>
          <w:color w:val="auto"/>
        </w:rPr>
      </w:r>
      <w:r w:rsidRPr="00BE51ED">
        <w:rPr>
          <w:color w:val="auto"/>
        </w:rPr>
        <w:fldChar w:fldCharType="separate"/>
      </w:r>
      <w:r w:rsidRPr="00BE51ED">
        <w:rPr>
          <w:color w:val="auto"/>
        </w:rPr>
        <w:t>84</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System Center Advisor</w:t>
      </w:r>
      <w:r w:rsidRPr="00BE51ED">
        <w:rPr>
          <w:color w:val="auto"/>
        </w:rPr>
        <w:tab/>
      </w:r>
      <w:r w:rsidRPr="00BE51ED">
        <w:rPr>
          <w:color w:val="auto"/>
        </w:rPr>
        <w:fldChar w:fldCharType="begin"/>
      </w:r>
      <w:r w:rsidRPr="00BE51ED">
        <w:rPr>
          <w:color w:val="auto"/>
        </w:rPr>
        <w:instrText xml:space="preserve"> PAGEREF _Toc370983347 \h </w:instrText>
      </w:r>
      <w:r w:rsidRPr="00BE51ED">
        <w:rPr>
          <w:color w:val="auto"/>
        </w:rPr>
      </w:r>
      <w:r w:rsidRPr="00BE51ED">
        <w:rPr>
          <w:color w:val="auto"/>
        </w:rPr>
        <w:fldChar w:fldCharType="separate"/>
      </w:r>
      <w:r w:rsidRPr="00BE51ED">
        <w:rPr>
          <w:color w:val="auto"/>
        </w:rPr>
        <w:t>86</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„Cold Backup“ für die Wiederherstellung im Notfall</w:t>
      </w:r>
      <w:r w:rsidRPr="00BE51ED">
        <w:rPr>
          <w:color w:val="auto"/>
        </w:rPr>
        <w:tab/>
      </w:r>
      <w:r w:rsidRPr="00BE51ED">
        <w:rPr>
          <w:color w:val="auto"/>
        </w:rPr>
        <w:fldChar w:fldCharType="begin"/>
      </w:r>
      <w:r w:rsidRPr="00BE51ED">
        <w:rPr>
          <w:color w:val="auto"/>
        </w:rPr>
        <w:instrText xml:space="preserve"> PAGEREF _Toc370983348 \h </w:instrText>
      </w:r>
      <w:r w:rsidRPr="00BE51ED">
        <w:rPr>
          <w:color w:val="auto"/>
        </w:rPr>
      </w:r>
      <w:r w:rsidRPr="00BE51ED">
        <w:rPr>
          <w:color w:val="auto"/>
        </w:rPr>
        <w:fldChar w:fldCharType="separate"/>
      </w:r>
      <w:r w:rsidRPr="00BE51ED">
        <w:rPr>
          <w:color w:val="auto"/>
        </w:rPr>
        <w:t>88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TechNet SA-Abonnementservices</w:t>
      </w:r>
      <w:r w:rsidRPr="00BE51ED">
        <w:rPr>
          <w:color w:val="auto"/>
        </w:rPr>
        <w:tab/>
      </w:r>
      <w:r w:rsidRPr="00BE51ED">
        <w:rPr>
          <w:color w:val="auto"/>
        </w:rPr>
        <w:fldChar w:fldCharType="begin"/>
      </w:r>
      <w:r w:rsidRPr="00BE51ED">
        <w:rPr>
          <w:color w:val="auto"/>
        </w:rPr>
        <w:instrText xml:space="preserve"> PAGEREF _Toc370983349 \h </w:instrText>
      </w:r>
      <w:r w:rsidRPr="00BE51ED">
        <w:rPr>
          <w:color w:val="auto"/>
        </w:rPr>
      </w:r>
      <w:r w:rsidRPr="00BE51ED">
        <w:rPr>
          <w:color w:val="auto"/>
        </w:rPr>
        <w:fldChar w:fldCharType="separate"/>
      </w:r>
      <w:r w:rsidRPr="00BE51ED">
        <w:rPr>
          <w:color w:val="auto"/>
        </w:rPr>
        <w:t>88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TechNet Plus Direct</w:t>
      </w:r>
      <w:r w:rsidRPr="00BE51ED">
        <w:rPr>
          <w:color w:val="auto"/>
        </w:rPr>
        <w:tab/>
      </w:r>
      <w:r w:rsidRPr="00BE51ED">
        <w:rPr>
          <w:color w:val="auto"/>
        </w:rPr>
        <w:fldChar w:fldCharType="begin"/>
      </w:r>
      <w:r w:rsidRPr="00BE51ED">
        <w:rPr>
          <w:color w:val="auto"/>
        </w:rPr>
        <w:instrText xml:space="preserve"> PAGEREF _Toc370983350 \h </w:instrText>
      </w:r>
      <w:r w:rsidRPr="00BE51ED">
        <w:rPr>
          <w:color w:val="auto"/>
        </w:rPr>
      </w:r>
      <w:r w:rsidRPr="00BE51ED">
        <w:rPr>
          <w:color w:val="auto"/>
        </w:rPr>
        <w:fldChar w:fldCharType="separate"/>
      </w:r>
      <w:r w:rsidRPr="00BE51ED">
        <w:rPr>
          <w:color w:val="auto"/>
        </w:rPr>
        <w:t>89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Lizenzmobilität durch Software Assurance</w:t>
      </w:r>
      <w:r w:rsidRPr="00BE51ED">
        <w:rPr>
          <w:color w:val="auto"/>
        </w:rPr>
        <w:tab/>
      </w:r>
      <w:r w:rsidRPr="00BE51ED">
        <w:rPr>
          <w:color w:val="auto"/>
        </w:rPr>
        <w:fldChar w:fldCharType="begin"/>
      </w:r>
      <w:r w:rsidRPr="00BE51ED">
        <w:rPr>
          <w:color w:val="auto"/>
        </w:rPr>
        <w:instrText xml:space="preserve"> PAGEREF _Toc370983351 \h </w:instrText>
      </w:r>
      <w:r w:rsidRPr="00BE51ED">
        <w:rPr>
          <w:color w:val="auto"/>
        </w:rPr>
      </w:r>
      <w:r w:rsidRPr="00BE51ED">
        <w:rPr>
          <w:color w:val="auto"/>
        </w:rPr>
        <w:fldChar w:fldCharType="separate"/>
      </w:r>
      <w:r w:rsidRPr="00BE51ED">
        <w:rPr>
          <w:color w:val="auto"/>
        </w:rPr>
        <w:t>90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Windows Thin PC</w:t>
      </w:r>
      <w:r w:rsidRPr="00BE51ED">
        <w:rPr>
          <w:color w:val="auto"/>
        </w:rPr>
        <w:tab/>
      </w:r>
      <w:r w:rsidRPr="00BE51ED">
        <w:rPr>
          <w:color w:val="auto"/>
        </w:rPr>
        <w:fldChar w:fldCharType="begin"/>
      </w:r>
      <w:r w:rsidRPr="00BE51ED">
        <w:rPr>
          <w:color w:val="auto"/>
        </w:rPr>
        <w:instrText xml:space="preserve"> PAGEREF _Toc370983352 \h </w:instrText>
      </w:r>
      <w:r w:rsidRPr="00BE51ED">
        <w:rPr>
          <w:color w:val="auto"/>
        </w:rPr>
      </w:r>
      <w:r w:rsidRPr="00BE51ED">
        <w:rPr>
          <w:color w:val="auto"/>
        </w:rPr>
        <w:fldChar w:fldCharType="separate"/>
      </w:r>
      <w:r w:rsidRPr="00BE51ED">
        <w:rPr>
          <w:color w:val="auto"/>
        </w:rPr>
        <w:t>91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Microsoft Desktop Optimization Pack für Software Assurance</w:t>
      </w:r>
      <w:r w:rsidRPr="00BE51ED">
        <w:rPr>
          <w:color w:val="auto"/>
        </w:rPr>
        <w:tab/>
      </w:r>
      <w:r w:rsidRPr="00BE51ED">
        <w:rPr>
          <w:color w:val="auto"/>
        </w:rPr>
        <w:fldChar w:fldCharType="begin"/>
      </w:r>
      <w:r w:rsidRPr="00BE51ED">
        <w:rPr>
          <w:color w:val="auto"/>
        </w:rPr>
        <w:instrText xml:space="preserve"> PAGEREF _Toc370983353 \h </w:instrText>
      </w:r>
      <w:r w:rsidRPr="00BE51ED">
        <w:rPr>
          <w:color w:val="auto"/>
        </w:rPr>
      </w:r>
      <w:r w:rsidRPr="00BE51ED">
        <w:rPr>
          <w:color w:val="auto"/>
        </w:rPr>
        <w:fldChar w:fldCharType="separate"/>
      </w:r>
      <w:r w:rsidRPr="00BE51ED">
        <w:rPr>
          <w:color w:val="auto"/>
        </w:rPr>
        <w:t>91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rPr>
        <w:t>Windows Virtual Desktop Access (VDA)-Rechte</w:t>
      </w:r>
      <w:r w:rsidRPr="00BE51ED">
        <w:rPr>
          <w:color w:val="auto"/>
        </w:rPr>
        <w:tab/>
      </w:r>
      <w:r w:rsidRPr="00BE51ED">
        <w:rPr>
          <w:color w:val="auto"/>
        </w:rPr>
        <w:fldChar w:fldCharType="begin"/>
      </w:r>
      <w:r w:rsidRPr="00BE51ED">
        <w:rPr>
          <w:color w:val="auto"/>
        </w:rPr>
        <w:instrText xml:space="preserve"> PAGEREF _Toc370983354 \h </w:instrText>
      </w:r>
      <w:r w:rsidRPr="00BE51ED">
        <w:rPr>
          <w:color w:val="auto"/>
        </w:rPr>
      </w:r>
      <w:r w:rsidRPr="00BE51ED">
        <w:rPr>
          <w:color w:val="auto"/>
        </w:rPr>
        <w:fldChar w:fldCharType="separate"/>
      </w:r>
      <w:r w:rsidRPr="00BE51ED">
        <w:rPr>
          <w:color w:val="auto"/>
        </w:rPr>
        <w:t>92</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Step Up-Lizenzverfügbarkeit</w:t>
      </w:r>
      <w:r w:rsidRPr="00BE51ED">
        <w:rPr>
          <w:color w:val="auto"/>
        </w:rPr>
        <w:tab/>
      </w:r>
      <w:r w:rsidRPr="00BE51ED">
        <w:rPr>
          <w:color w:val="auto"/>
        </w:rPr>
        <w:fldChar w:fldCharType="begin"/>
      </w:r>
      <w:r w:rsidRPr="00BE51ED">
        <w:rPr>
          <w:color w:val="auto"/>
        </w:rPr>
        <w:instrText xml:space="preserve"> PAGEREF _Toc370983355 \h </w:instrText>
      </w:r>
      <w:r w:rsidRPr="00BE51ED">
        <w:rPr>
          <w:color w:val="auto"/>
        </w:rPr>
      </w:r>
      <w:r w:rsidRPr="00BE51ED">
        <w:rPr>
          <w:color w:val="auto"/>
        </w:rPr>
        <w:fldChar w:fldCharType="separate"/>
      </w:r>
      <w:r w:rsidRPr="00BE51ED">
        <w:rPr>
          <w:color w:val="auto"/>
        </w:rPr>
        <w:t>92</w:t>
      </w:r>
      <w:r w:rsidRPr="00BE51ED">
        <w:rPr>
          <w:color w:val="auto"/>
        </w:rPr>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ABSCHNITT 8 – SERVICES</w:t>
      </w:r>
      <w:r w:rsidRPr="00BE51ED">
        <w:rPr>
          <w:color w:val="auto"/>
        </w:rPr>
        <w:tab/>
      </w:r>
      <w:r w:rsidRPr="00BE51ED">
        <w:rPr>
          <w:color w:val="auto"/>
        </w:rPr>
        <w:fldChar w:fldCharType="begin"/>
      </w:r>
      <w:r w:rsidRPr="00BE51ED">
        <w:rPr>
          <w:color w:val="auto"/>
        </w:rPr>
        <w:instrText xml:space="preserve"> PAGEREF _Toc370983356 \h </w:instrText>
      </w:r>
      <w:r w:rsidRPr="00BE51ED">
        <w:rPr>
          <w:color w:val="auto"/>
        </w:rPr>
      </w:r>
      <w:r w:rsidRPr="00BE51ED">
        <w:rPr>
          <w:color w:val="auto"/>
        </w:rPr>
        <w:fldChar w:fldCharType="separate"/>
      </w:r>
      <w:r w:rsidRPr="00BE51ED">
        <w:rPr>
          <w:color w:val="auto"/>
        </w:rPr>
        <w:t>94</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lang w:val="de-DE"/>
        </w:rPr>
        <w:t>Nutzungsrechte, Eigentum und Lizenzrechte</w:t>
      </w:r>
      <w:r w:rsidRPr="00BE51ED">
        <w:tab/>
      </w:r>
      <w:r w:rsidRPr="00BE51ED">
        <w:fldChar w:fldCharType="begin"/>
      </w:r>
      <w:r w:rsidRPr="00BE51ED">
        <w:instrText xml:space="preserve"> PAGEREF _Toc370983357 \h </w:instrText>
      </w:r>
      <w:r w:rsidRPr="00BE51ED">
        <w:fldChar w:fldCharType="separate"/>
      </w:r>
      <w:r w:rsidRPr="00BE51ED">
        <w:t>102</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ABSCHNITT 9 – Zusätzliche Bestimmungen</w:t>
      </w:r>
      <w:r w:rsidRPr="00BE51ED">
        <w:rPr>
          <w:color w:val="auto"/>
        </w:rPr>
        <w:tab/>
      </w:r>
      <w:r w:rsidRPr="00BE51ED">
        <w:rPr>
          <w:color w:val="auto"/>
        </w:rPr>
        <w:fldChar w:fldCharType="begin"/>
      </w:r>
      <w:r w:rsidRPr="00BE51ED">
        <w:rPr>
          <w:color w:val="auto"/>
        </w:rPr>
        <w:instrText xml:space="preserve"> PAGEREF _Toc370983358 \h </w:instrText>
      </w:r>
      <w:r w:rsidRPr="00BE51ED">
        <w:rPr>
          <w:color w:val="auto"/>
        </w:rPr>
      </w:r>
      <w:r w:rsidRPr="00BE51ED">
        <w:rPr>
          <w:color w:val="auto"/>
        </w:rPr>
        <w:fldChar w:fldCharType="separate"/>
      </w:r>
      <w:r w:rsidRPr="00BE51ED">
        <w:rPr>
          <w:color w:val="auto"/>
        </w:rPr>
        <w:t>107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rFonts w:eastAsia="Times New Roman"/>
          <w:color w:val="auto"/>
          <w:lang w:val="de-DE"/>
        </w:rPr>
        <w:t>Client-Zugriffslizenzen (Client Access Licenses, CALs) und  Client-Management-Lizenzen (MLs)</w:t>
      </w:r>
      <w:r w:rsidRPr="00BE51ED">
        <w:rPr>
          <w:color w:val="auto"/>
        </w:rPr>
        <w:tab/>
      </w:r>
      <w:r w:rsidRPr="00BE51ED">
        <w:rPr>
          <w:color w:val="auto"/>
        </w:rPr>
        <w:fldChar w:fldCharType="begin"/>
      </w:r>
      <w:r w:rsidRPr="00BE51ED">
        <w:rPr>
          <w:color w:val="auto"/>
        </w:rPr>
        <w:instrText xml:space="preserve"> PAGEREF _Toc370983359 \h </w:instrText>
      </w:r>
      <w:r w:rsidRPr="00BE51ED">
        <w:rPr>
          <w:color w:val="auto"/>
        </w:rPr>
      </w:r>
      <w:r w:rsidRPr="00BE51ED">
        <w:rPr>
          <w:color w:val="auto"/>
        </w:rPr>
        <w:fldChar w:fldCharType="separate"/>
      </w:r>
      <w:r w:rsidRPr="00BE51ED">
        <w:rPr>
          <w:color w:val="auto"/>
        </w:rPr>
        <w:t>107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Beschränkungen durch „EI Controls“</w:t>
      </w:r>
      <w:r w:rsidRPr="00BE51ED">
        <w:rPr>
          <w:color w:val="auto"/>
        </w:rPr>
        <w:tab/>
      </w:r>
      <w:r w:rsidRPr="00BE51ED">
        <w:rPr>
          <w:color w:val="auto"/>
        </w:rPr>
        <w:fldChar w:fldCharType="begin"/>
      </w:r>
      <w:r w:rsidRPr="00BE51ED">
        <w:rPr>
          <w:color w:val="auto"/>
        </w:rPr>
        <w:instrText xml:space="preserve"> PAGEREF _Toc370983360 \h </w:instrText>
      </w:r>
      <w:r w:rsidRPr="00BE51ED">
        <w:rPr>
          <w:color w:val="auto"/>
        </w:rPr>
      </w:r>
      <w:r w:rsidRPr="00BE51ED">
        <w:rPr>
          <w:color w:val="auto"/>
        </w:rPr>
        <w:fldChar w:fldCharType="separate"/>
      </w:r>
      <w:r w:rsidRPr="00BE51ED">
        <w:rPr>
          <w:color w:val="auto"/>
        </w:rPr>
        <w:t>107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lang w:val="de-DE"/>
        </w:rPr>
        <w:t>Multi Language Packs (MLPs), mehrsprachige Benutzeroberflächen (Multilanguage User Interface, MUIs) und neue Sprachrechte</w:t>
      </w:r>
      <w:r w:rsidRPr="00BE51ED">
        <w:rPr>
          <w:color w:val="auto"/>
        </w:rPr>
        <w:tab/>
      </w:r>
      <w:r w:rsidRPr="00BE51ED">
        <w:rPr>
          <w:color w:val="auto"/>
        </w:rPr>
        <w:fldChar w:fldCharType="begin"/>
      </w:r>
      <w:r w:rsidRPr="00BE51ED">
        <w:rPr>
          <w:color w:val="auto"/>
        </w:rPr>
        <w:instrText xml:space="preserve"> PAGEREF _Toc370983361 \h </w:instrText>
      </w:r>
      <w:r w:rsidRPr="00BE51ED">
        <w:rPr>
          <w:color w:val="auto"/>
        </w:rPr>
      </w:r>
      <w:r w:rsidRPr="00BE51ED">
        <w:rPr>
          <w:color w:val="auto"/>
        </w:rPr>
        <w:fldChar w:fldCharType="separate"/>
      </w:r>
      <w:r w:rsidRPr="00BE51ED">
        <w:rPr>
          <w:color w:val="auto"/>
        </w:rPr>
        <w:t>108</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lastRenderedPageBreak/>
        <w:t>Plattformunabhängige Lizenzen</w:t>
      </w:r>
      <w:r w:rsidRPr="00BE51ED">
        <w:tab/>
      </w:r>
      <w:r w:rsidRPr="00BE51ED">
        <w:fldChar w:fldCharType="begin"/>
      </w:r>
      <w:r w:rsidRPr="00BE51ED">
        <w:instrText xml:space="preserve"> PAGEREF _Toc370983362 \h </w:instrText>
      </w:r>
      <w:r w:rsidRPr="00BE51ED">
        <w:fldChar w:fldCharType="separate"/>
      </w:r>
      <w:r w:rsidRPr="00BE51ED">
        <w:t>108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Volumenlizenz-Product Keys</w:t>
      </w:r>
      <w:r w:rsidRPr="00BE51ED">
        <w:tab/>
      </w:r>
      <w:r w:rsidRPr="00BE51ED">
        <w:fldChar w:fldCharType="begin"/>
      </w:r>
      <w:r w:rsidRPr="00BE51ED">
        <w:instrText xml:space="preserve"> PAGEREF _Toc370983363 \h </w:instrText>
      </w:r>
      <w:r w:rsidRPr="00BE51ED">
        <w:fldChar w:fldCharType="separate"/>
      </w:r>
      <w:r w:rsidRPr="00BE51ED">
        <w:t>109</w:t>
      </w:r>
      <w:r w:rsidRPr="00BE51ED">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Abschnitt 10 – Ergänzende Bestimmungen für Onlinedienste, die mit Vor-Ort-Software VERWENDET werden</w:t>
      </w:r>
      <w:r w:rsidRPr="00BE51ED">
        <w:rPr>
          <w:color w:val="auto"/>
        </w:rPr>
        <w:tab/>
      </w:r>
      <w:r w:rsidRPr="00BE51ED">
        <w:rPr>
          <w:color w:val="auto"/>
        </w:rPr>
        <w:fldChar w:fldCharType="begin"/>
      </w:r>
      <w:r w:rsidRPr="00BE51ED">
        <w:rPr>
          <w:color w:val="auto"/>
        </w:rPr>
        <w:instrText xml:space="preserve"> PAGEREF _Toc370983364 \h </w:instrText>
      </w:r>
      <w:r w:rsidRPr="00BE51ED">
        <w:rPr>
          <w:color w:val="auto"/>
        </w:rPr>
      </w:r>
      <w:r w:rsidRPr="00BE51ED">
        <w:rPr>
          <w:color w:val="auto"/>
        </w:rPr>
        <w:fldChar w:fldCharType="separate"/>
      </w:r>
      <w:r w:rsidRPr="00BE51ED">
        <w:rPr>
          <w:color w:val="auto"/>
        </w:rPr>
        <w:t>110</w:t>
      </w:r>
      <w:r w:rsidRPr="00BE51ED">
        <w:rPr>
          <w:color w:val="auto"/>
        </w:rPr>
        <w:fldChar w:fldCharType="end"/>
      </w:r>
    </w:p>
    <w:p w:rsidR="00BE51ED" w:rsidRPr="00BE51ED" w:rsidRDefault="00BE51ED">
      <w:pPr>
        <w:pStyle w:val="TOC1"/>
        <w:rPr>
          <w:rFonts w:asciiTheme="minorHAnsi" w:eastAsiaTheme="minorEastAsia" w:hAnsiTheme="minorHAnsi" w:cstheme="minorBidi"/>
          <w:b w:val="0"/>
          <w:caps w:val="0"/>
          <w:color w:val="auto"/>
          <w:szCs w:val="22"/>
        </w:rPr>
      </w:pPr>
      <w:r w:rsidRPr="00BE51ED">
        <w:rPr>
          <w:color w:val="auto"/>
          <w:lang w:val="de-DE"/>
        </w:rPr>
        <w:t>ProduktHINWEISE</w:t>
      </w:r>
      <w:r w:rsidRPr="00BE51ED">
        <w:rPr>
          <w:color w:val="auto"/>
        </w:rPr>
        <w:tab/>
      </w:r>
      <w:r w:rsidRPr="00BE51ED">
        <w:rPr>
          <w:color w:val="auto"/>
        </w:rPr>
        <w:fldChar w:fldCharType="begin"/>
      </w:r>
      <w:r w:rsidRPr="00BE51ED">
        <w:rPr>
          <w:color w:val="auto"/>
        </w:rPr>
        <w:instrText xml:space="preserve"> PAGEREF _Toc370983365 \h </w:instrText>
      </w:r>
      <w:r w:rsidRPr="00BE51ED">
        <w:rPr>
          <w:color w:val="auto"/>
        </w:rPr>
      </w:r>
      <w:r w:rsidRPr="00BE51ED">
        <w:rPr>
          <w:color w:val="auto"/>
        </w:rPr>
        <w:fldChar w:fldCharType="separate"/>
      </w:r>
      <w:r w:rsidRPr="00BE51ED">
        <w:rPr>
          <w:color w:val="auto"/>
        </w:rPr>
        <w:t>113</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Anwendungs-Pool</w:t>
      </w:r>
      <w:r w:rsidRPr="00BE51ED">
        <w:tab/>
      </w:r>
      <w:r w:rsidRPr="00BE51ED">
        <w:fldChar w:fldCharType="begin"/>
      </w:r>
      <w:r w:rsidRPr="00BE51ED">
        <w:instrText xml:space="preserve"> PAGEREF _Toc370983366 \h </w:instrText>
      </w:r>
      <w:r w:rsidRPr="00BE51ED">
        <w:fldChar w:fldCharType="separate"/>
      </w:r>
      <w:r w:rsidRPr="00BE51ED">
        <w:t>113</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w:t>
      </w:r>
      <w:r w:rsidRPr="00BE51ED">
        <w:rPr>
          <w:color w:val="auto"/>
          <w:lang w:val="de-DE"/>
        </w:rPr>
        <w:t xml:space="preserve"> Expression Encoder Pro 4</w:t>
      </w:r>
      <w:r w:rsidRPr="00BE51ED">
        <w:rPr>
          <w:color w:val="auto"/>
        </w:rPr>
        <w:tab/>
      </w:r>
      <w:r w:rsidRPr="00BE51ED">
        <w:rPr>
          <w:color w:val="auto"/>
        </w:rPr>
        <w:fldChar w:fldCharType="begin"/>
      </w:r>
      <w:r w:rsidRPr="00BE51ED">
        <w:rPr>
          <w:color w:val="auto"/>
        </w:rPr>
        <w:instrText xml:space="preserve"> PAGEREF _Toc370983367 \h </w:instrText>
      </w:r>
      <w:r w:rsidRPr="00BE51ED">
        <w:rPr>
          <w:color w:val="auto"/>
        </w:rPr>
      </w:r>
      <w:r w:rsidRPr="00BE51ED">
        <w:rPr>
          <w:color w:val="auto"/>
        </w:rPr>
        <w:fldChar w:fldCharType="separate"/>
      </w:r>
      <w:r w:rsidRPr="00BE51ED">
        <w:rPr>
          <w:color w:val="auto"/>
        </w:rPr>
        <w:t>113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2</w:t>
      </w:r>
      <w:r w:rsidRPr="00BE51ED">
        <w:rPr>
          <w:color w:val="auto"/>
          <w:lang w:val="de-DE"/>
        </w:rPr>
        <w:t xml:space="preserve"> Lync für Mac 2011</w:t>
      </w:r>
      <w:r w:rsidRPr="00BE51ED">
        <w:rPr>
          <w:color w:val="auto"/>
        </w:rPr>
        <w:tab/>
      </w:r>
      <w:r w:rsidRPr="00BE51ED">
        <w:rPr>
          <w:color w:val="auto"/>
        </w:rPr>
        <w:fldChar w:fldCharType="begin"/>
      </w:r>
      <w:r w:rsidRPr="00BE51ED">
        <w:rPr>
          <w:color w:val="auto"/>
        </w:rPr>
        <w:instrText xml:space="preserve"> PAGEREF _Toc370983368 \h </w:instrText>
      </w:r>
      <w:r w:rsidRPr="00BE51ED">
        <w:rPr>
          <w:color w:val="auto"/>
        </w:rPr>
      </w:r>
      <w:r w:rsidRPr="00BE51ED">
        <w:rPr>
          <w:color w:val="auto"/>
        </w:rPr>
        <w:fldChar w:fldCharType="separate"/>
      </w:r>
      <w:r w:rsidRPr="00BE51ED">
        <w:rPr>
          <w:color w:val="auto"/>
        </w:rPr>
        <w:t>113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3</w:t>
      </w:r>
      <w:r w:rsidRPr="00BE51ED">
        <w:rPr>
          <w:color w:val="auto"/>
          <w:lang w:val="de-DE"/>
        </w:rPr>
        <w:t xml:space="preserve"> MSDN-Betriebssysteme</w:t>
      </w:r>
      <w:r w:rsidRPr="00BE51ED">
        <w:rPr>
          <w:color w:val="auto"/>
        </w:rPr>
        <w:tab/>
      </w:r>
      <w:r w:rsidRPr="00BE51ED">
        <w:rPr>
          <w:color w:val="auto"/>
        </w:rPr>
        <w:fldChar w:fldCharType="begin"/>
      </w:r>
      <w:r w:rsidRPr="00BE51ED">
        <w:rPr>
          <w:color w:val="auto"/>
        </w:rPr>
        <w:instrText xml:space="preserve"> PAGEREF _Toc370983369 \h </w:instrText>
      </w:r>
      <w:r w:rsidRPr="00BE51ED">
        <w:rPr>
          <w:color w:val="auto"/>
        </w:rPr>
      </w:r>
      <w:r w:rsidRPr="00BE51ED">
        <w:rPr>
          <w:color w:val="auto"/>
        </w:rPr>
        <w:fldChar w:fldCharType="separate"/>
      </w:r>
      <w:r w:rsidRPr="00BE51ED">
        <w:rPr>
          <w:color w:val="auto"/>
        </w:rPr>
        <w:t>113</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4</w:t>
      </w:r>
      <w:r w:rsidRPr="00BE51ED">
        <w:rPr>
          <w:lang w:val="de-DE"/>
        </w:rPr>
        <w:t xml:space="preserve"> </w:t>
      </w:r>
      <w:r w:rsidRPr="00BE51ED">
        <w:rPr>
          <w:rFonts w:cs="Tahoma"/>
          <w:lang w:val="de-DE"/>
        </w:rPr>
        <w:t>MSDN-Plattformen</w:t>
      </w:r>
      <w:r w:rsidRPr="00BE51ED">
        <w:tab/>
      </w:r>
      <w:r w:rsidRPr="00BE51ED">
        <w:fldChar w:fldCharType="begin"/>
      </w:r>
      <w:r w:rsidRPr="00BE51ED">
        <w:instrText xml:space="preserve"> PAGEREF _Toc370983370 \h </w:instrText>
      </w:r>
      <w:r w:rsidRPr="00BE51ED">
        <w:fldChar w:fldCharType="separate"/>
      </w:r>
      <w:r w:rsidRPr="00BE51ED">
        <w:t>114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5</w:t>
      </w:r>
      <w:r w:rsidRPr="00BE51ED">
        <w:rPr>
          <w:rFonts w:cs="Tahoma"/>
        </w:rPr>
        <w:t xml:space="preserve"> Office 365 Education A2-A4 (Nutzer-AL)</w:t>
      </w:r>
      <w:r w:rsidRPr="00BE51ED">
        <w:tab/>
      </w:r>
      <w:r w:rsidRPr="00BE51ED">
        <w:fldChar w:fldCharType="begin"/>
      </w:r>
      <w:r w:rsidRPr="00BE51ED">
        <w:instrText xml:space="preserve"> PAGEREF _Toc370983371 \h </w:instrText>
      </w:r>
      <w:r w:rsidRPr="00BE51ED">
        <w:fldChar w:fldCharType="separate"/>
      </w:r>
      <w:r w:rsidRPr="00BE51ED">
        <w:t>114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6</w:t>
      </w:r>
      <w:r w:rsidRPr="00BE51ED">
        <w:rPr>
          <w:rFonts w:cs="Tahoma"/>
          <w:lang w:val="de-DE"/>
        </w:rPr>
        <w:t xml:space="preserve"> Office 365 Midsize Business</w:t>
      </w:r>
      <w:r w:rsidRPr="00BE51ED">
        <w:tab/>
      </w:r>
      <w:r w:rsidRPr="00BE51ED">
        <w:fldChar w:fldCharType="begin"/>
      </w:r>
      <w:r w:rsidRPr="00BE51ED">
        <w:instrText xml:space="preserve"> PAGEREF _Toc370983372 \h </w:instrText>
      </w:r>
      <w:r w:rsidRPr="00BE51ED">
        <w:fldChar w:fldCharType="separate"/>
      </w:r>
      <w:r w:rsidRPr="00BE51ED">
        <w:t>115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7</w:t>
      </w:r>
      <w:r w:rsidRPr="00BE51ED">
        <w:rPr>
          <w:rFonts w:cs="Tahoma"/>
          <w:caps/>
          <w:lang w:val="de-DE"/>
        </w:rPr>
        <w:t xml:space="preserve"> </w:t>
      </w:r>
      <w:r w:rsidRPr="00BE51ED">
        <w:rPr>
          <w:rFonts w:cs="Tahoma"/>
          <w:lang w:val="de-DE"/>
        </w:rPr>
        <w:t>Add-On-Nutzer-Abonnementlizenzen für Office 365 und Enterprise Workloads</w:t>
      </w:r>
      <w:r w:rsidRPr="00BE51ED">
        <w:tab/>
      </w:r>
      <w:r w:rsidRPr="00BE51ED">
        <w:fldChar w:fldCharType="begin"/>
      </w:r>
      <w:r w:rsidRPr="00BE51ED">
        <w:instrText xml:space="preserve"> PAGEREF _Toc370983373 \h </w:instrText>
      </w:r>
      <w:r w:rsidRPr="00BE51ED">
        <w:fldChar w:fldCharType="separate"/>
      </w:r>
      <w:r w:rsidRPr="00BE51ED">
        <w:t>116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8</w:t>
      </w:r>
      <w:r w:rsidRPr="00BE51ED">
        <w:rPr>
          <w:rFonts w:cs="Tahoma"/>
          <w:caps/>
          <w:lang w:val="de-DE"/>
        </w:rPr>
        <w:t xml:space="preserve"> </w:t>
      </w:r>
      <w:r w:rsidRPr="00BE51ED">
        <w:rPr>
          <w:rFonts w:cs="Tahoma"/>
          <w:lang w:val="de-DE"/>
        </w:rPr>
        <w:t>Office 365 Enterprise E3-E4</w:t>
      </w:r>
      <w:r w:rsidRPr="00BE51ED">
        <w:tab/>
      </w:r>
      <w:r w:rsidRPr="00BE51ED">
        <w:fldChar w:fldCharType="begin"/>
      </w:r>
      <w:r w:rsidRPr="00BE51ED">
        <w:instrText xml:space="preserve"> PAGEREF _Toc370983374 \h </w:instrText>
      </w:r>
      <w:r w:rsidRPr="00BE51ED">
        <w:fldChar w:fldCharType="separate"/>
      </w:r>
      <w:r w:rsidRPr="00BE51ED">
        <w:t>118</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9</w:t>
      </w:r>
      <w:r w:rsidRPr="00BE51ED">
        <w:rPr>
          <w:caps/>
          <w:color w:val="auto"/>
        </w:rPr>
        <w:t xml:space="preserve"> </w:t>
      </w:r>
      <w:r w:rsidRPr="00BE51ED">
        <w:rPr>
          <w:color w:val="auto"/>
        </w:rPr>
        <w:t>Office für Mac Standard 2011</w:t>
      </w:r>
      <w:r w:rsidRPr="00BE51ED">
        <w:rPr>
          <w:color w:val="auto"/>
        </w:rPr>
        <w:tab/>
      </w:r>
      <w:r w:rsidRPr="00BE51ED">
        <w:rPr>
          <w:color w:val="auto"/>
        </w:rPr>
        <w:fldChar w:fldCharType="begin"/>
      </w:r>
      <w:r w:rsidRPr="00BE51ED">
        <w:rPr>
          <w:color w:val="auto"/>
        </w:rPr>
        <w:instrText xml:space="preserve"> PAGEREF _Toc370983375 \h </w:instrText>
      </w:r>
      <w:r w:rsidRPr="00BE51ED">
        <w:rPr>
          <w:color w:val="auto"/>
        </w:rPr>
      </w:r>
      <w:r w:rsidRPr="00BE51ED">
        <w:rPr>
          <w:color w:val="auto"/>
        </w:rPr>
        <w:fldChar w:fldCharType="separate"/>
      </w:r>
      <w:r w:rsidRPr="00BE51ED">
        <w:rPr>
          <w:color w:val="auto"/>
        </w:rPr>
        <w:t>118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10</w:t>
      </w:r>
      <w:r w:rsidRPr="00BE51ED">
        <w:rPr>
          <w:color w:val="auto"/>
          <w:lang w:val="de-DE"/>
        </w:rPr>
        <w:t xml:space="preserve"> Office Multi-Language Pack 2013</w:t>
      </w:r>
      <w:r w:rsidRPr="00BE51ED">
        <w:rPr>
          <w:color w:val="auto"/>
        </w:rPr>
        <w:tab/>
      </w:r>
      <w:r w:rsidRPr="00BE51ED">
        <w:rPr>
          <w:color w:val="auto"/>
        </w:rPr>
        <w:fldChar w:fldCharType="begin"/>
      </w:r>
      <w:r w:rsidRPr="00BE51ED">
        <w:rPr>
          <w:color w:val="auto"/>
        </w:rPr>
        <w:instrText xml:space="preserve"> PAGEREF _Toc370983376 \h </w:instrText>
      </w:r>
      <w:r w:rsidRPr="00BE51ED">
        <w:rPr>
          <w:color w:val="auto"/>
        </w:rPr>
      </w:r>
      <w:r w:rsidRPr="00BE51ED">
        <w:rPr>
          <w:color w:val="auto"/>
        </w:rPr>
        <w:fldChar w:fldCharType="separate"/>
      </w:r>
      <w:r w:rsidRPr="00BE51ED">
        <w:rPr>
          <w:color w:val="auto"/>
        </w:rPr>
        <w:t>118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11</w:t>
      </w:r>
      <w:r w:rsidRPr="00BE51ED">
        <w:rPr>
          <w:color w:val="auto"/>
        </w:rPr>
        <w:t xml:space="preserve"> Office Professional Plus 2013</w:t>
      </w:r>
      <w:r w:rsidRPr="00BE51ED">
        <w:rPr>
          <w:color w:val="auto"/>
        </w:rPr>
        <w:tab/>
      </w:r>
      <w:r w:rsidRPr="00BE51ED">
        <w:rPr>
          <w:color w:val="auto"/>
        </w:rPr>
        <w:fldChar w:fldCharType="begin"/>
      </w:r>
      <w:r w:rsidRPr="00BE51ED">
        <w:rPr>
          <w:color w:val="auto"/>
        </w:rPr>
        <w:instrText xml:space="preserve"> PAGEREF _Toc370983377 \h </w:instrText>
      </w:r>
      <w:r w:rsidRPr="00BE51ED">
        <w:rPr>
          <w:color w:val="auto"/>
        </w:rPr>
      </w:r>
      <w:r w:rsidRPr="00BE51ED">
        <w:rPr>
          <w:color w:val="auto"/>
        </w:rPr>
        <w:fldChar w:fldCharType="separate"/>
      </w:r>
      <w:r w:rsidRPr="00BE51ED">
        <w:rPr>
          <w:color w:val="auto"/>
        </w:rPr>
        <w:t>119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12</w:t>
      </w:r>
      <w:r w:rsidRPr="00BE51ED">
        <w:rPr>
          <w:color w:val="auto"/>
        </w:rPr>
        <w:t xml:space="preserve"> Office Standard 2013</w:t>
      </w:r>
      <w:r w:rsidRPr="00BE51ED">
        <w:rPr>
          <w:color w:val="auto"/>
        </w:rPr>
        <w:tab/>
      </w:r>
      <w:r w:rsidRPr="00BE51ED">
        <w:rPr>
          <w:color w:val="auto"/>
        </w:rPr>
        <w:fldChar w:fldCharType="begin"/>
      </w:r>
      <w:r w:rsidRPr="00BE51ED">
        <w:rPr>
          <w:color w:val="auto"/>
        </w:rPr>
        <w:instrText xml:space="preserve"> PAGEREF _Toc370983378 \h </w:instrText>
      </w:r>
      <w:r w:rsidRPr="00BE51ED">
        <w:rPr>
          <w:color w:val="auto"/>
        </w:rPr>
      </w:r>
      <w:r w:rsidRPr="00BE51ED">
        <w:rPr>
          <w:color w:val="auto"/>
        </w:rPr>
        <w:fldChar w:fldCharType="separate"/>
      </w:r>
      <w:r w:rsidRPr="00BE51ED">
        <w:rPr>
          <w:color w:val="auto"/>
        </w:rPr>
        <w:t>119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13</w:t>
      </w:r>
      <w:r w:rsidRPr="00BE51ED">
        <w:rPr>
          <w:color w:val="auto"/>
          <w:lang w:val="de-DE"/>
        </w:rPr>
        <w:t xml:space="preserve"> Office 365 ProPlus (Nutzer-AL)</w:t>
      </w:r>
      <w:r w:rsidRPr="00BE51ED">
        <w:rPr>
          <w:color w:val="auto"/>
        </w:rPr>
        <w:tab/>
      </w:r>
      <w:r w:rsidRPr="00BE51ED">
        <w:rPr>
          <w:color w:val="auto"/>
        </w:rPr>
        <w:fldChar w:fldCharType="begin"/>
      </w:r>
      <w:r w:rsidRPr="00BE51ED">
        <w:rPr>
          <w:color w:val="auto"/>
        </w:rPr>
        <w:instrText xml:space="preserve"> PAGEREF _Toc370983379 \h </w:instrText>
      </w:r>
      <w:r w:rsidRPr="00BE51ED">
        <w:rPr>
          <w:color w:val="auto"/>
        </w:rPr>
      </w:r>
      <w:r w:rsidRPr="00BE51ED">
        <w:rPr>
          <w:color w:val="auto"/>
        </w:rPr>
        <w:fldChar w:fldCharType="separate"/>
      </w:r>
      <w:r w:rsidRPr="00BE51ED">
        <w:rPr>
          <w:color w:val="auto"/>
        </w:rPr>
        <w:t>119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14</w:t>
      </w:r>
      <w:r w:rsidRPr="00BE51ED">
        <w:rPr>
          <w:color w:val="auto"/>
          <w:lang w:val="de-DE"/>
        </w:rPr>
        <w:t xml:space="preserve"> Outlook für Mac 2011</w:t>
      </w:r>
      <w:r w:rsidRPr="00BE51ED">
        <w:rPr>
          <w:color w:val="auto"/>
        </w:rPr>
        <w:tab/>
      </w:r>
      <w:r w:rsidRPr="00BE51ED">
        <w:rPr>
          <w:color w:val="auto"/>
        </w:rPr>
        <w:fldChar w:fldCharType="begin"/>
      </w:r>
      <w:r w:rsidRPr="00BE51ED">
        <w:rPr>
          <w:color w:val="auto"/>
        </w:rPr>
        <w:instrText xml:space="preserve"> PAGEREF _Toc370983380 \h </w:instrText>
      </w:r>
      <w:r w:rsidRPr="00BE51ED">
        <w:rPr>
          <w:color w:val="auto"/>
        </w:rPr>
      </w:r>
      <w:r w:rsidRPr="00BE51ED">
        <w:rPr>
          <w:color w:val="auto"/>
        </w:rPr>
        <w:fldChar w:fldCharType="separate"/>
      </w:r>
      <w:r w:rsidRPr="00BE51ED">
        <w:rPr>
          <w:color w:val="auto"/>
        </w:rPr>
        <w:t>120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15</w:t>
      </w:r>
      <w:r w:rsidRPr="00BE51ED">
        <w:rPr>
          <w:color w:val="auto"/>
          <w:lang w:val="de-DE"/>
        </w:rPr>
        <w:t xml:space="preserve"> Project Professional 2013</w:t>
      </w:r>
      <w:r w:rsidRPr="00BE51ED">
        <w:rPr>
          <w:color w:val="auto"/>
        </w:rPr>
        <w:tab/>
      </w:r>
      <w:r w:rsidRPr="00BE51ED">
        <w:rPr>
          <w:color w:val="auto"/>
        </w:rPr>
        <w:fldChar w:fldCharType="begin"/>
      </w:r>
      <w:r w:rsidRPr="00BE51ED">
        <w:rPr>
          <w:color w:val="auto"/>
        </w:rPr>
        <w:instrText xml:space="preserve"> PAGEREF _Toc370983381 \h </w:instrText>
      </w:r>
      <w:r w:rsidRPr="00BE51ED">
        <w:rPr>
          <w:color w:val="auto"/>
        </w:rPr>
      </w:r>
      <w:r w:rsidRPr="00BE51ED">
        <w:rPr>
          <w:color w:val="auto"/>
        </w:rPr>
        <w:fldChar w:fldCharType="separate"/>
      </w:r>
      <w:r w:rsidRPr="00BE51ED">
        <w:rPr>
          <w:color w:val="auto"/>
        </w:rPr>
        <w:t>120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16</w:t>
      </w:r>
      <w:r w:rsidRPr="00BE51ED">
        <w:rPr>
          <w:caps/>
          <w:color w:val="auto"/>
          <w:lang w:val="de-DE"/>
        </w:rPr>
        <w:t xml:space="preserve"> </w:t>
      </w:r>
      <w:r w:rsidRPr="00BE51ED">
        <w:rPr>
          <w:color w:val="auto"/>
          <w:lang w:val="de-DE"/>
        </w:rPr>
        <w:t>Project Pro für Office 365</w:t>
      </w:r>
      <w:r w:rsidRPr="00BE51ED">
        <w:rPr>
          <w:color w:val="auto"/>
        </w:rPr>
        <w:tab/>
      </w:r>
      <w:r w:rsidRPr="00BE51ED">
        <w:rPr>
          <w:color w:val="auto"/>
        </w:rPr>
        <w:fldChar w:fldCharType="begin"/>
      </w:r>
      <w:r w:rsidRPr="00BE51ED">
        <w:rPr>
          <w:color w:val="auto"/>
        </w:rPr>
        <w:instrText xml:space="preserve"> PAGEREF _Toc370983382 \h </w:instrText>
      </w:r>
      <w:r w:rsidRPr="00BE51ED">
        <w:rPr>
          <w:color w:val="auto"/>
        </w:rPr>
      </w:r>
      <w:r w:rsidRPr="00BE51ED">
        <w:rPr>
          <w:color w:val="auto"/>
        </w:rPr>
        <w:fldChar w:fldCharType="separate"/>
      </w:r>
      <w:r w:rsidRPr="00BE51ED">
        <w:rPr>
          <w:color w:val="auto"/>
        </w:rPr>
        <w:t>121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17</w:t>
      </w:r>
      <w:r w:rsidRPr="00BE51ED">
        <w:rPr>
          <w:color w:val="auto"/>
          <w:lang w:val="de-DE"/>
        </w:rPr>
        <w:t xml:space="preserve"> Vermietungsrechte für Office</w:t>
      </w:r>
      <w:r w:rsidRPr="00BE51ED">
        <w:rPr>
          <w:color w:val="auto"/>
        </w:rPr>
        <w:tab/>
      </w:r>
      <w:r w:rsidRPr="00BE51ED">
        <w:rPr>
          <w:color w:val="auto"/>
        </w:rPr>
        <w:fldChar w:fldCharType="begin"/>
      </w:r>
      <w:r w:rsidRPr="00BE51ED">
        <w:rPr>
          <w:color w:val="auto"/>
        </w:rPr>
        <w:instrText xml:space="preserve"> PAGEREF _Toc370983383 \h </w:instrText>
      </w:r>
      <w:r w:rsidRPr="00BE51ED">
        <w:rPr>
          <w:color w:val="auto"/>
        </w:rPr>
      </w:r>
      <w:r w:rsidRPr="00BE51ED">
        <w:rPr>
          <w:color w:val="auto"/>
        </w:rPr>
        <w:fldChar w:fldCharType="separate"/>
      </w:r>
      <w:r w:rsidRPr="00BE51ED">
        <w:rPr>
          <w:color w:val="auto"/>
        </w:rPr>
        <w:t>121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18</w:t>
      </w:r>
      <w:r w:rsidRPr="00BE51ED">
        <w:rPr>
          <w:color w:val="auto"/>
          <w:lang w:val="de-DE"/>
        </w:rPr>
        <w:t xml:space="preserve"> Visio Professional 2013</w:t>
      </w:r>
      <w:r w:rsidRPr="00BE51ED">
        <w:rPr>
          <w:color w:val="auto"/>
        </w:rPr>
        <w:tab/>
      </w:r>
      <w:r w:rsidRPr="00BE51ED">
        <w:rPr>
          <w:color w:val="auto"/>
        </w:rPr>
        <w:fldChar w:fldCharType="begin"/>
      </w:r>
      <w:r w:rsidRPr="00BE51ED">
        <w:rPr>
          <w:color w:val="auto"/>
        </w:rPr>
        <w:instrText xml:space="preserve"> PAGEREF _Toc370983384 \h </w:instrText>
      </w:r>
      <w:r w:rsidRPr="00BE51ED">
        <w:rPr>
          <w:color w:val="auto"/>
        </w:rPr>
      </w:r>
      <w:r w:rsidRPr="00BE51ED">
        <w:rPr>
          <w:color w:val="auto"/>
        </w:rPr>
        <w:fldChar w:fldCharType="separate"/>
      </w:r>
      <w:r w:rsidRPr="00BE51ED">
        <w:rPr>
          <w:color w:val="auto"/>
        </w:rPr>
        <w:t>122</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19</w:t>
      </w:r>
      <w:r w:rsidRPr="00BE51ED">
        <w:rPr>
          <w:color w:val="auto"/>
          <w:lang w:val="de-DE"/>
        </w:rPr>
        <w:t xml:space="preserve"> Visio Pro für Office 365</w:t>
      </w:r>
      <w:r w:rsidRPr="00BE51ED">
        <w:rPr>
          <w:color w:val="auto"/>
        </w:rPr>
        <w:tab/>
      </w:r>
      <w:r w:rsidRPr="00BE51ED">
        <w:rPr>
          <w:color w:val="auto"/>
        </w:rPr>
        <w:fldChar w:fldCharType="begin"/>
      </w:r>
      <w:r w:rsidRPr="00BE51ED">
        <w:rPr>
          <w:color w:val="auto"/>
        </w:rPr>
        <w:instrText xml:space="preserve"> PAGEREF _Toc370983385 \h </w:instrText>
      </w:r>
      <w:r w:rsidRPr="00BE51ED">
        <w:rPr>
          <w:color w:val="auto"/>
        </w:rPr>
      </w:r>
      <w:r w:rsidRPr="00BE51ED">
        <w:rPr>
          <w:color w:val="auto"/>
        </w:rPr>
        <w:fldChar w:fldCharType="separate"/>
      </w:r>
      <w:r w:rsidRPr="00BE51ED">
        <w:rPr>
          <w:color w:val="auto"/>
        </w:rPr>
        <w:t>122</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20</w:t>
      </w:r>
      <w:r w:rsidRPr="00BE51ED">
        <w:rPr>
          <w:color w:val="auto"/>
          <w:lang w:val="de-DE"/>
        </w:rPr>
        <w:t xml:space="preserve"> Visual Studio Professional 2012</w:t>
      </w:r>
      <w:r w:rsidRPr="00BE51ED">
        <w:rPr>
          <w:color w:val="auto"/>
        </w:rPr>
        <w:tab/>
      </w:r>
      <w:r w:rsidRPr="00BE51ED">
        <w:rPr>
          <w:color w:val="auto"/>
        </w:rPr>
        <w:fldChar w:fldCharType="begin"/>
      </w:r>
      <w:r w:rsidRPr="00BE51ED">
        <w:rPr>
          <w:color w:val="auto"/>
        </w:rPr>
        <w:instrText xml:space="preserve"> PAGEREF _Toc370983386 \h </w:instrText>
      </w:r>
      <w:r w:rsidRPr="00BE51ED">
        <w:rPr>
          <w:color w:val="auto"/>
        </w:rPr>
      </w:r>
      <w:r w:rsidRPr="00BE51ED">
        <w:rPr>
          <w:color w:val="auto"/>
        </w:rPr>
        <w:fldChar w:fldCharType="separate"/>
      </w:r>
      <w:r w:rsidRPr="00BE51ED">
        <w:rPr>
          <w:color w:val="auto"/>
        </w:rPr>
        <w:t>123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21</w:t>
      </w:r>
      <w:r w:rsidRPr="00BE51ED">
        <w:rPr>
          <w:color w:val="auto"/>
        </w:rPr>
        <w:t xml:space="preserve"> Visual Studio Professional 2013 mit MSDN</w:t>
      </w:r>
      <w:r w:rsidRPr="00BE51ED">
        <w:rPr>
          <w:color w:val="auto"/>
        </w:rPr>
        <w:tab/>
      </w:r>
      <w:r w:rsidRPr="00BE51ED">
        <w:rPr>
          <w:color w:val="auto"/>
        </w:rPr>
        <w:fldChar w:fldCharType="begin"/>
      </w:r>
      <w:r w:rsidRPr="00BE51ED">
        <w:rPr>
          <w:color w:val="auto"/>
        </w:rPr>
        <w:instrText xml:space="preserve"> PAGEREF _Toc370983387 \h </w:instrText>
      </w:r>
      <w:r w:rsidRPr="00BE51ED">
        <w:rPr>
          <w:color w:val="auto"/>
        </w:rPr>
      </w:r>
      <w:r w:rsidRPr="00BE51ED">
        <w:rPr>
          <w:color w:val="auto"/>
        </w:rPr>
        <w:fldChar w:fldCharType="separate"/>
      </w:r>
      <w:r w:rsidRPr="00BE51ED">
        <w:rPr>
          <w:color w:val="auto"/>
        </w:rPr>
        <w:t>123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22</w:t>
      </w:r>
      <w:r w:rsidRPr="00BE51ED">
        <w:rPr>
          <w:color w:val="auto"/>
        </w:rPr>
        <w:t xml:space="preserve"> Visual Studio Premium 2013 mit MSDN</w:t>
      </w:r>
      <w:r w:rsidRPr="00BE51ED">
        <w:rPr>
          <w:color w:val="auto"/>
        </w:rPr>
        <w:tab/>
      </w:r>
      <w:r w:rsidRPr="00BE51ED">
        <w:rPr>
          <w:color w:val="auto"/>
        </w:rPr>
        <w:fldChar w:fldCharType="begin"/>
      </w:r>
      <w:r w:rsidRPr="00BE51ED">
        <w:rPr>
          <w:color w:val="auto"/>
        </w:rPr>
        <w:instrText xml:space="preserve"> PAGEREF _Toc370983388 \h </w:instrText>
      </w:r>
      <w:r w:rsidRPr="00BE51ED">
        <w:rPr>
          <w:color w:val="auto"/>
        </w:rPr>
      </w:r>
      <w:r w:rsidRPr="00BE51ED">
        <w:rPr>
          <w:color w:val="auto"/>
        </w:rPr>
        <w:fldChar w:fldCharType="separate"/>
      </w:r>
      <w:r w:rsidRPr="00BE51ED">
        <w:rPr>
          <w:color w:val="auto"/>
        </w:rPr>
        <w:t>124</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23</w:t>
      </w:r>
      <w:r w:rsidRPr="00BE51ED">
        <w:rPr>
          <w:color w:val="auto"/>
          <w:lang w:val="de-DE"/>
        </w:rPr>
        <w:t xml:space="preserve"> Visual Studio Ultimate 2013 mit MSDN</w:t>
      </w:r>
      <w:r w:rsidRPr="00BE51ED">
        <w:rPr>
          <w:color w:val="auto"/>
        </w:rPr>
        <w:tab/>
      </w:r>
      <w:r w:rsidRPr="00BE51ED">
        <w:rPr>
          <w:color w:val="auto"/>
        </w:rPr>
        <w:fldChar w:fldCharType="begin"/>
      </w:r>
      <w:r w:rsidRPr="00BE51ED">
        <w:rPr>
          <w:color w:val="auto"/>
        </w:rPr>
        <w:instrText xml:space="preserve"> PAGEREF _Toc370983389 \h </w:instrText>
      </w:r>
      <w:r w:rsidRPr="00BE51ED">
        <w:rPr>
          <w:color w:val="auto"/>
        </w:rPr>
      </w:r>
      <w:r w:rsidRPr="00BE51ED">
        <w:rPr>
          <w:color w:val="auto"/>
        </w:rPr>
        <w:fldChar w:fldCharType="separate"/>
      </w:r>
      <w:r w:rsidRPr="00BE51ED">
        <w:rPr>
          <w:color w:val="auto"/>
        </w:rPr>
        <w:t>125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24</w:t>
      </w:r>
      <w:r w:rsidRPr="00BE51ED">
        <w:rPr>
          <w:color w:val="auto"/>
        </w:rPr>
        <w:t xml:space="preserve"> Visual Studio Test Professional 2013 mit MSDN</w:t>
      </w:r>
      <w:r w:rsidRPr="00BE51ED">
        <w:rPr>
          <w:color w:val="auto"/>
        </w:rPr>
        <w:tab/>
      </w:r>
      <w:r w:rsidRPr="00BE51ED">
        <w:rPr>
          <w:color w:val="auto"/>
        </w:rPr>
        <w:fldChar w:fldCharType="begin"/>
      </w:r>
      <w:r w:rsidRPr="00BE51ED">
        <w:rPr>
          <w:color w:val="auto"/>
        </w:rPr>
        <w:instrText xml:space="preserve"> PAGEREF _Toc370983390 \h </w:instrText>
      </w:r>
      <w:r w:rsidRPr="00BE51ED">
        <w:rPr>
          <w:color w:val="auto"/>
        </w:rPr>
      </w:r>
      <w:r w:rsidRPr="00BE51ED">
        <w:rPr>
          <w:color w:val="auto"/>
        </w:rPr>
        <w:fldChar w:fldCharType="separate"/>
      </w:r>
      <w:r w:rsidRPr="00BE51ED">
        <w:rPr>
          <w:color w:val="auto"/>
        </w:rPr>
        <w:t>126</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System-Pool</w:t>
      </w:r>
      <w:r w:rsidRPr="00BE51ED">
        <w:tab/>
      </w:r>
      <w:r w:rsidRPr="00BE51ED">
        <w:fldChar w:fldCharType="begin"/>
      </w:r>
      <w:r w:rsidRPr="00BE51ED">
        <w:instrText xml:space="preserve"> PAGEREF _Toc370983391 \h </w:instrText>
      </w:r>
      <w:r w:rsidRPr="00BE51ED">
        <w:fldChar w:fldCharType="separate"/>
      </w:r>
      <w:r w:rsidRPr="00BE51ED">
        <w:t>127</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25</w:t>
      </w:r>
      <w:r w:rsidRPr="00BE51ED">
        <w:rPr>
          <w:color w:val="auto"/>
          <w:lang w:val="de-DE"/>
        </w:rPr>
        <w:t xml:space="preserve"> Microsoft Desktop Optimization Pack für Software Assurance</w:t>
      </w:r>
      <w:r w:rsidRPr="00BE51ED">
        <w:rPr>
          <w:color w:val="auto"/>
        </w:rPr>
        <w:tab/>
      </w:r>
      <w:r w:rsidRPr="00BE51ED">
        <w:rPr>
          <w:color w:val="auto"/>
        </w:rPr>
        <w:fldChar w:fldCharType="begin"/>
      </w:r>
      <w:r w:rsidRPr="00BE51ED">
        <w:rPr>
          <w:color w:val="auto"/>
        </w:rPr>
        <w:instrText xml:space="preserve"> PAGEREF _Toc370983392 \h </w:instrText>
      </w:r>
      <w:r w:rsidRPr="00BE51ED">
        <w:rPr>
          <w:color w:val="auto"/>
        </w:rPr>
      </w:r>
      <w:r w:rsidRPr="00BE51ED">
        <w:rPr>
          <w:color w:val="auto"/>
        </w:rPr>
        <w:fldChar w:fldCharType="separate"/>
      </w:r>
      <w:r w:rsidRPr="00BE51ED">
        <w:rPr>
          <w:color w:val="auto"/>
        </w:rPr>
        <w:t>127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26</w:t>
      </w:r>
      <w:r w:rsidRPr="00BE51ED">
        <w:rPr>
          <w:caps/>
          <w:color w:val="auto"/>
          <w:lang w:val="de-DE"/>
        </w:rPr>
        <w:t xml:space="preserve"> </w:t>
      </w:r>
      <w:r w:rsidRPr="00BE51ED">
        <w:rPr>
          <w:color w:val="auto"/>
          <w:lang w:val="de-DE"/>
        </w:rPr>
        <w:t>Windows Embedded 8 Standard Enterprise Kit</w:t>
      </w:r>
      <w:r w:rsidRPr="00BE51ED">
        <w:rPr>
          <w:color w:val="auto"/>
        </w:rPr>
        <w:tab/>
      </w:r>
      <w:r w:rsidRPr="00BE51ED">
        <w:rPr>
          <w:color w:val="auto"/>
        </w:rPr>
        <w:fldChar w:fldCharType="begin"/>
      </w:r>
      <w:r w:rsidRPr="00BE51ED">
        <w:rPr>
          <w:color w:val="auto"/>
        </w:rPr>
        <w:instrText xml:space="preserve"> PAGEREF _Toc370983393 \h </w:instrText>
      </w:r>
      <w:r w:rsidRPr="00BE51ED">
        <w:rPr>
          <w:color w:val="auto"/>
        </w:rPr>
      </w:r>
      <w:r w:rsidRPr="00BE51ED">
        <w:rPr>
          <w:color w:val="auto"/>
        </w:rPr>
        <w:fldChar w:fldCharType="separate"/>
      </w:r>
      <w:r w:rsidRPr="00BE51ED">
        <w:rPr>
          <w:color w:val="auto"/>
        </w:rPr>
        <w:t>127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27</w:t>
      </w:r>
      <w:r w:rsidRPr="00BE51ED">
        <w:rPr>
          <w:caps/>
          <w:color w:val="auto"/>
          <w:lang w:val="de-DE"/>
        </w:rPr>
        <w:t xml:space="preserve"> </w:t>
      </w:r>
      <w:r w:rsidRPr="00BE51ED">
        <w:rPr>
          <w:color w:val="auto"/>
          <w:lang w:val="de-DE"/>
        </w:rPr>
        <w:t>Enterprise Sideloading für Windows Embedded 8.1</w:t>
      </w:r>
      <w:r w:rsidRPr="00BE51ED">
        <w:rPr>
          <w:color w:val="auto"/>
        </w:rPr>
        <w:tab/>
      </w:r>
      <w:r w:rsidRPr="00BE51ED">
        <w:rPr>
          <w:color w:val="auto"/>
        </w:rPr>
        <w:fldChar w:fldCharType="begin"/>
      </w:r>
      <w:r w:rsidRPr="00BE51ED">
        <w:rPr>
          <w:color w:val="auto"/>
        </w:rPr>
        <w:instrText xml:space="preserve"> PAGEREF _Toc370983394 \h </w:instrText>
      </w:r>
      <w:r w:rsidRPr="00BE51ED">
        <w:rPr>
          <w:color w:val="auto"/>
        </w:rPr>
      </w:r>
      <w:r w:rsidRPr="00BE51ED">
        <w:rPr>
          <w:color w:val="auto"/>
        </w:rPr>
        <w:fldChar w:fldCharType="separate"/>
      </w:r>
      <w:r w:rsidRPr="00BE51ED">
        <w:rPr>
          <w:color w:val="auto"/>
        </w:rPr>
        <w:t>128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28</w:t>
      </w:r>
      <w:r w:rsidRPr="00BE51ED">
        <w:rPr>
          <w:caps/>
          <w:color w:val="auto"/>
        </w:rPr>
        <w:t xml:space="preserve"> </w:t>
      </w:r>
      <w:r w:rsidRPr="00BE51ED">
        <w:rPr>
          <w:color w:val="auto"/>
        </w:rPr>
        <w:t>Windows</w:t>
      </w:r>
      <w:r w:rsidRPr="00BE51ED">
        <w:rPr>
          <w:color w:val="auto"/>
          <w:vertAlign w:val="superscript"/>
        </w:rPr>
        <w:t>®</w:t>
      </w:r>
      <w:r w:rsidRPr="00BE51ED">
        <w:rPr>
          <w:color w:val="auto"/>
        </w:rPr>
        <w:t xml:space="preserve"> Embedded 8.1 Industry Pro-Upgrade</w:t>
      </w:r>
      <w:r w:rsidRPr="00BE51ED">
        <w:rPr>
          <w:color w:val="auto"/>
        </w:rPr>
        <w:tab/>
      </w:r>
      <w:r w:rsidRPr="00BE51ED">
        <w:rPr>
          <w:color w:val="auto"/>
        </w:rPr>
        <w:fldChar w:fldCharType="begin"/>
      </w:r>
      <w:r w:rsidRPr="00BE51ED">
        <w:rPr>
          <w:color w:val="auto"/>
        </w:rPr>
        <w:instrText xml:space="preserve"> PAGEREF _Toc370983395 \h </w:instrText>
      </w:r>
      <w:r w:rsidRPr="00BE51ED">
        <w:rPr>
          <w:color w:val="auto"/>
        </w:rPr>
      </w:r>
      <w:r w:rsidRPr="00BE51ED">
        <w:rPr>
          <w:color w:val="auto"/>
        </w:rPr>
        <w:fldChar w:fldCharType="separate"/>
      </w:r>
      <w:r w:rsidRPr="00BE51ED">
        <w:rPr>
          <w:color w:val="auto"/>
        </w:rPr>
        <w:t>128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29</w:t>
      </w:r>
      <w:r w:rsidRPr="00BE51ED">
        <w:rPr>
          <w:caps/>
          <w:color w:val="auto"/>
          <w:lang w:val="de-DE"/>
        </w:rPr>
        <w:t xml:space="preserve"> </w:t>
      </w:r>
      <w:r w:rsidRPr="00BE51ED">
        <w:rPr>
          <w:color w:val="auto"/>
          <w:lang w:val="de-DE"/>
        </w:rPr>
        <w:t>Windows</w:t>
      </w:r>
      <w:r w:rsidRPr="00BE51ED">
        <w:rPr>
          <w:color w:val="auto"/>
          <w:vertAlign w:val="superscript"/>
          <w:lang w:val="de-DE"/>
        </w:rPr>
        <w:t>®</w:t>
      </w:r>
      <w:r w:rsidRPr="00BE51ED">
        <w:rPr>
          <w:color w:val="auto"/>
          <w:lang w:val="de-DE"/>
        </w:rPr>
        <w:t xml:space="preserve"> Companion-Abonnementlizenz</w:t>
      </w:r>
      <w:r w:rsidRPr="00BE51ED">
        <w:rPr>
          <w:color w:val="auto"/>
        </w:rPr>
        <w:tab/>
      </w:r>
      <w:r w:rsidRPr="00BE51ED">
        <w:rPr>
          <w:color w:val="auto"/>
        </w:rPr>
        <w:fldChar w:fldCharType="begin"/>
      </w:r>
      <w:r w:rsidRPr="00BE51ED">
        <w:rPr>
          <w:color w:val="auto"/>
        </w:rPr>
        <w:instrText xml:space="preserve"> PAGEREF _Toc370983396 \h </w:instrText>
      </w:r>
      <w:r w:rsidRPr="00BE51ED">
        <w:rPr>
          <w:color w:val="auto"/>
        </w:rPr>
      </w:r>
      <w:r w:rsidRPr="00BE51ED">
        <w:rPr>
          <w:color w:val="auto"/>
        </w:rPr>
        <w:fldChar w:fldCharType="separate"/>
      </w:r>
      <w:r w:rsidRPr="00BE51ED">
        <w:rPr>
          <w:color w:val="auto"/>
        </w:rPr>
        <w:t>130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30</w:t>
      </w:r>
      <w:r w:rsidRPr="00BE51ED">
        <w:rPr>
          <w:rFonts w:eastAsia="Times New Roman"/>
          <w:color w:val="auto"/>
          <w:lang w:val="de-DE"/>
        </w:rPr>
        <w:t xml:space="preserve"> </w:t>
      </w:r>
      <w:r w:rsidRPr="00BE51ED">
        <w:rPr>
          <w:color w:val="auto"/>
          <w:lang w:val="de-DE"/>
        </w:rPr>
        <w:t>Windows</w:t>
      </w:r>
      <w:r w:rsidRPr="00BE51ED">
        <w:rPr>
          <w:color w:val="auto"/>
          <w:vertAlign w:val="superscript"/>
          <w:lang w:val="de-DE"/>
        </w:rPr>
        <w:t>®</w:t>
      </w:r>
      <w:r w:rsidRPr="00BE51ED">
        <w:rPr>
          <w:color w:val="auto"/>
          <w:lang w:val="de-DE"/>
        </w:rPr>
        <w:t xml:space="preserve"> 7 Partners in Learning</w:t>
      </w:r>
      <w:r w:rsidRPr="00BE51ED">
        <w:rPr>
          <w:color w:val="auto"/>
        </w:rPr>
        <w:tab/>
      </w:r>
      <w:r w:rsidRPr="00BE51ED">
        <w:rPr>
          <w:color w:val="auto"/>
        </w:rPr>
        <w:fldChar w:fldCharType="begin"/>
      </w:r>
      <w:r w:rsidRPr="00BE51ED">
        <w:rPr>
          <w:color w:val="auto"/>
        </w:rPr>
        <w:instrText xml:space="preserve"> PAGEREF _Toc370983397 \h </w:instrText>
      </w:r>
      <w:r w:rsidRPr="00BE51ED">
        <w:rPr>
          <w:color w:val="auto"/>
        </w:rPr>
      </w:r>
      <w:r w:rsidRPr="00BE51ED">
        <w:rPr>
          <w:color w:val="auto"/>
        </w:rPr>
        <w:fldChar w:fldCharType="separate"/>
      </w:r>
      <w:r w:rsidRPr="00BE51ED">
        <w:rPr>
          <w:color w:val="auto"/>
        </w:rPr>
        <w:t>130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31</w:t>
      </w:r>
      <w:r w:rsidRPr="00BE51ED">
        <w:rPr>
          <w:color w:val="auto"/>
        </w:rPr>
        <w:t xml:space="preserve"> Windows</w:t>
      </w:r>
      <w:r w:rsidRPr="00BE51ED">
        <w:rPr>
          <w:color w:val="auto"/>
          <w:vertAlign w:val="superscript"/>
        </w:rPr>
        <w:t>®</w:t>
      </w:r>
      <w:r w:rsidRPr="00BE51ED">
        <w:rPr>
          <w:color w:val="auto"/>
        </w:rPr>
        <w:t xml:space="preserve"> 8.1 Enterprise Sideloading</w:t>
      </w:r>
      <w:r w:rsidRPr="00BE51ED">
        <w:rPr>
          <w:color w:val="auto"/>
        </w:rPr>
        <w:tab/>
      </w:r>
      <w:r w:rsidRPr="00BE51ED">
        <w:rPr>
          <w:color w:val="auto"/>
        </w:rPr>
        <w:fldChar w:fldCharType="begin"/>
      </w:r>
      <w:r w:rsidRPr="00BE51ED">
        <w:rPr>
          <w:color w:val="auto"/>
        </w:rPr>
        <w:instrText xml:space="preserve"> PAGEREF _Toc370983398 \h </w:instrText>
      </w:r>
      <w:r w:rsidRPr="00BE51ED">
        <w:rPr>
          <w:color w:val="auto"/>
        </w:rPr>
      </w:r>
      <w:r w:rsidRPr="00BE51ED">
        <w:rPr>
          <w:color w:val="auto"/>
        </w:rPr>
        <w:fldChar w:fldCharType="separate"/>
      </w:r>
      <w:r w:rsidRPr="00BE51ED">
        <w:rPr>
          <w:color w:val="auto"/>
        </w:rPr>
        <w:t>130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32</w:t>
      </w:r>
      <w:r w:rsidRPr="00BE51ED">
        <w:rPr>
          <w:color w:val="auto"/>
        </w:rPr>
        <w:t xml:space="preserve"> Windows</w:t>
      </w:r>
      <w:r w:rsidRPr="00BE51ED">
        <w:rPr>
          <w:color w:val="auto"/>
          <w:vertAlign w:val="superscript"/>
        </w:rPr>
        <w:t>®</w:t>
      </w:r>
      <w:r w:rsidRPr="00BE51ED">
        <w:rPr>
          <w:color w:val="auto"/>
        </w:rPr>
        <w:t xml:space="preserve"> 8.1 Pro-Upgrade</w:t>
      </w:r>
      <w:r w:rsidRPr="00BE51ED">
        <w:rPr>
          <w:color w:val="auto"/>
        </w:rPr>
        <w:tab/>
      </w:r>
      <w:r w:rsidRPr="00BE51ED">
        <w:rPr>
          <w:color w:val="auto"/>
        </w:rPr>
        <w:fldChar w:fldCharType="begin"/>
      </w:r>
      <w:r w:rsidRPr="00BE51ED">
        <w:rPr>
          <w:color w:val="auto"/>
        </w:rPr>
        <w:instrText xml:space="preserve"> PAGEREF _Toc370983399 \h </w:instrText>
      </w:r>
      <w:r w:rsidRPr="00BE51ED">
        <w:rPr>
          <w:color w:val="auto"/>
        </w:rPr>
      </w:r>
      <w:r w:rsidRPr="00BE51ED">
        <w:rPr>
          <w:color w:val="auto"/>
        </w:rPr>
        <w:fldChar w:fldCharType="separate"/>
      </w:r>
      <w:r w:rsidRPr="00BE51ED">
        <w:rPr>
          <w:color w:val="auto"/>
        </w:rPr>
        <w:t>131</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33</w:t>
      </w:r>
      <w:r w:rsidRPr="00BE51ED">
        <w:rPr>
          <w:rFonts w:cs="Tahoma"/>
          <w:caps/>
          <w:lang w:val="de-DE"/>
        </w:rPr>
        <w:t xml:space="preserve"> </w:t>
      </w:r>
      <w:r w:rsidRPr="00BE51ED">
        <w:rPr>
          <w:rFonts w:cs="Tahoma"/>
          <w:lang w:val="de-DE"/>
        </w:rPr>
        <w:t>Add-on für Windows Intune (pro Gerät)</w:t>
      </w:r>
      <w:r w:rsidRPr="00BE51ED">
        <w:tab/>
      </w:r>
      <w:r w:rsidRPr="00BE51ED">
        <w:fldChar w:fldCharType="begin"/>
      </w:r>
      <w:r w:rsidRPr="00BE51ED">
        <w:instrText xml:space="preserve"> PAGEREF _Toc370983400 \h </w:instrText>
      </w:r>
      <w:r w:rsidRPr="00BE51ED">
        <w:fldChar w:fldCharType="separate"/>
      </w:r>
      <w:r w:rsidRPr="00BE51ED">
        <w:t>138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lang w:val="de-DE"/>
        </w:rPr>
        <w:t>Server-Pool</w:t>
      </w:r>
      <w:r w:rsidRPr="00BE51ED">
        <w:tab/>
      </w:r>
      <w:r w:rsidRPr="00BE51ED">
        <w:fldChar w:fldCharType="begin"/>
      </w:r>
      <w:r w:rsidRPr="00BE51ED">
        <w:instrText xml:space="preserve"> PAGEREF _Toc370983401 \h </w:instrText>
      </w:r>
      <w:r w:rsidRPr="00BE51ED">
        <w:fldChar w:fldCharType="separate"/>
      </w:r>
      <w:r w:rsidRPr="00BE51ED">
        <w:t>139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34</w:t>
      </w:r>
      <w:r w:rsidRPr="00BE51ED">
        <w:rPr>
          <w:rFonts w:cs="Tahoma"/>
          <w:lang w:val="de-DE"/>
        </w:rPr>
        <w:t xml:space="preserve"> Add-On für Bing Maps Öffentliche Website-Nutzung und Add-On-AL für Bing Maps Interne Website-Nutzung</w:t>
      </w:r>
      <w:r w:rsidRPr="00BE51ED">
        <w:tab/>
      </w:r>
      <w:r w:rsidRPr="00BE51ED">
        <w:fldChar w:fldCharType="begin"/>
      </w:r>
      <w:r w:rsidRPr="00BE51ED">
        <w:instrText xml:space="preserve"> PAGEREF _Toc370983402 \h </w:instrText>
      </w:r>
      <w:r w:rsidRPr="00BE51ED">
        <w:fldChar w:fldCharType="separate"/>
      </w:r>
      <w:r w:rsidRPr="00BE51ED">
        <w:t>139</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35</w:t>
      </w:r>
      <w:r w:rsidRPr="00BE51ED">
        <w:rPr>
          <w:caps/>
          <w:color w:val="auto"/>
          <w:lang w:val="de-DE"/>
        </w:rPr>
        <w:t xml:space="preserve"> </w:t>
      </w:r>
      <w:r w:rsidRPr="00BE51ED">
        <w:rPr>
          <w:color w:val="auto"/>
          <w:lang w:val="de-DE"/>
        </w:rPr>
        <w:t>BizTalk Server</w:t>
      </w:r>
      <w:r w:rsidRPr="00BE51ED">
        <w:rPr>
          <w:color w:val="auto"/>
          <w:vertAlign w:val="superscript"/>
          <w:lang w:val="de-DE"/>
        </w:rPr>
        <w:t>®</w:t>
      </w:r>
      <w:r w:rsidRPr="00BE51ED">
        <w:rPr>
          <w:color w:val="auto"/>
          <w:lang w:val="de-DE"/>
        </w:rPr>
        <w:t xml:space="preserve"> 2013 Branch</w:t>
      </w:r>
      <w:r w:rsidRPr="00BE51ED">
        <w:rPr>
          <w:color w:val="auto"/>
        </w:rPr>
        <w:tab/>
      </w:r>
      <w:r w:rsidRPr="00BE51ED">
        <w:rPr>
          <w:color w:val="auto"/>
        </w:rPr>
        <w:fldChar w:fldCharType="begin"/>
      </w:r>
      <w:r w:rsidRPr="00BE51ED">
        <w:rPr>
          <w:color w:val="auto"/>
        </w:rPr>
        <w:instrText xml:space="preserve"> PAGEREF _Toc370983403 \h </w:instrText>
      </w:r>
      <w:r w:rsidRPr="00BE51ED">
        <w:rPr>
          <w:color w:val="auto"/>
        </w:rPr>
      </w:r>
      <w:r w:rsidRPr="00BE51ED">
        <w:rPr>
          <w:color w:val="auto"/>
        </w:rPr>
        <w:fldChar w:fldCharType="separate"/>
      </w:r>
      <w:r w:rsidRPr="00BE51ED">
        <w:rPr>
          <w:color w:val="auto"/>
        </w:rPr>
        <w:t>141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36</w:t>
      </w:r>
      <w:r w:rsidRPr="00BE51ED">
        <w:rPr>
          <w:caps/>
          <w:color w:val="auto"/>
          <w:lang w:val="de-DE"/>
        </w:rPr>
        <w:t xml:space="preserve"> </w:t>
      </w:r>
      <w:r w:rsidRPr="00BE51ED">
        <w:rPr>
          <w:color w:val="auto"/>
          <w:lang w:val="de-DE"/>
        </w:rPr>
        <w:t>BizTalk Server</w:t>
      </w:r>
      <w:r w:rsidRPr="00BE51ED">
        <w:rPr>
          <w:color w:val="auto"/>
          <w:vertAlign w:val="superscript"/>
          <w:lang w:val="de-DE"/>
        </w:rPr>
        <w:t>®</w:t>
      </w:r>
      <w:r w:rsidRPr="00BE51ED">
        <w:rPr>
          <w:color w:val="auto"/>
          <w:lang w:val="de-DE"/>
        </w:rPr>
        <w:t xml:space="preserve"> 2013 Enterprise</w:t>
      </w:r>
      <w:r w:rsidRPr="00BE51ED">
        <w:rPr>
          <w:color w:val="auto"/>
        </w:rPr>
        <w:tab/>
      </w:r>
      <w:r w:rsidRPr="00BE51ED">
        <w:rPr>
          <w:color w:val="auto"/>
        </w:rPr>
        <w:fldChar w:fldCharType="begin"/>
      </w:r>
      <w:r w:rsidRPr="00BE51ED">
        <w:rPr>
          <w:color w:val="auto"/>
        </w:rPr>
        <w:instrText xml:space="preserve"> PAGEREF _Toc370983404 \h </w:instrText>
      </w:r>
      <w:r w:rsidRPr="00BE51ED">
        <w:rPr>
          <w:color w:val="auto"/>
        </w:rPr>
      </w:r>
      <w:r w:rsidRPr="00BE51ED">
        <w:rPr>
          <w:color w:val="auto"/>
        </w:rPr>
        <w:fldChar w:fldCharType="separate"/>
      </w:r>
      <w:r w:rsidRPr="00BE51ED">
        <w:rPr>
          <w:color w:val="auto"/>
        </w:rPr>
        <w:t>142</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37</w:t>
      </w:r>
      <w:r w:rsidRPr="00BE51ED">
        <w:rPr>
          <w:color w:val="auto"/>
          <w:lang w:val="de-DE"/>
        </w:rPr>
        <w:t xml:space="preserve"> BizTalk Server</w:t>
      </w:r>
      <w:r w:rsidRPr="00BE51ED">
        <w:rPr>
          <w:color w:val="auto"/>
          <w:vertAlign w:val="superscript"/>
          <w:lang w:val="de-DE"/>
        </w:rPr>
        <w:t>®</w:t>
      </w:r>
      <w:r w:rsidRPr="00BE51ED">
        <w:rPr>
          <w:color w:val="auto"/>
          <w:lang w:val="de-DE"/>
        </w:rPr>
        <w:t xml:space="preserve"> 2013 Standard</w:t>
      </w:r>
      <w:r w:rsidRPr="00BE51ED">
        <w:rPr>
          <w:color w:val="auto"/>
        </w:rPr>
        <w:tab/>
      </w:r>
      <w:r w:rsidRPr="00BE51ED">
        <w:rPr>
          <w:color w:val="auto"/>
        </w:rPr>
        <w:fldChar w:fldCharType="begin"/>
      </w:r>
      <w:r w:rsidRPr="00BE51ED">
        <w:rPr>
          <w:color w:val="auto"/>
        </w:rPr>
        <w:instrText xml:space="preserve"> PAGEREF _Toc370983405 \h </w:instrText>
      </w:r>
      <w:r w:rsidRPr="00BE51ED">
        <w:rPr>
          <w:color w:val="auto"/>
        </w:rPr>
      </w:r>
      <w:r w:rsidRPr="00BE51ED">
        <w:rPr>
          <w:color w:val="auto"/>
        </w:rPr>
        <w:fldChar w:fldCharType="separate"/>
      </w:r>
      <w:r w:rsidRPr="00BE51ED">
        <w:rPr>
          <w:color w:val="auto"/>
        </w:rPr>
        <w:t>144</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38</w:t>
      </w:r>
      <w:r w:rsidRPr="00BE51ED">
        <w:rPr>
          <w:caps/>
          <w:color w:val="auto"/>
          <w:lang w:val="de-DE"/>
        </w:rPr>
        <w:t xml:space="preserve"> </w:t>
      </w:r>
      <w:r w:rsidRPr="00BE51ED">
        <w:rPr>
          <w:color w:val="auto"/>
          <w:lang w:val="de-DE"/>
        </w:rPr>
        <w:t>Business Intelligence Appliance 2012</w:t>
      </w:r>
      <w:r w:rsidRPr="00BE51ED">
        <w:rPr>
          <w:color w:val="auto"/>
        </w:rPr>
        <w:tab/>
      </w:r>
      <w:r w:rsidRPr="00BE51ED">
        <w:rPr>
          <w:color w:val="auto"/>
        </w:rPr>
        <w:fldChar w:fldCharType="begin"/>
      </w:r>
      <w:r w:rsidRPr="00BE51ED">
        <w:rPr>
          <w:color w:val="auto"/>
        </w:rPr>
        <w:instrText xml:space="preserve"> PAGEREF _Toc370983406 \h </w:instrText>
      </w:r>
      <w:r w:rsidRPr="00BE51ED">
        <w:rPr>
          <w:color w:val="auto"/>
        </w:rPr>
      </w:r>
      <w:r w:rsidRPr="00BE51ED">
        <w:rPr>
          <w:color w:val="auto"/>
        </w:rPr>
        <w:fldChar w:fldCharType="separate"/>
      </w:r>
      <w:r w:rsidRPr="00BE51ED">
        <w:rPr>
          <w:color w:val="auto"/>
        </w:rPr>
        <w:t>145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39</w:t>
      </w:r>
      <w:r w:rsidRPr="00BE51ED">
        <w:rPr>
          <w:color w:val="auto"/>
          <w:lang w:val="de-DE"/>
        </w:rPr>
        <w:t xml:space="preserve"> Core CAL Suite Bridge für Office 365, Core CAL Suite Bridge für Office 365 und Windows Intune sowie Core CAL Suite Bridge für Windows Intune</w:t>
      </w:r>
      <w:r w:rsidRPr="00BE51ED">
        <w:rPr>
          <w:color w:val="auto"/>
        </w:rPr>
        <w:tab/>
      </w:r>
      <w:r w:rsidRPr="00BE51ED">
        <w:rPr>
          <w:color w:val="auto"/>
        </w:rPr>
        <w:fldChar w:fldCharType="begin"/>
      </w:r>
      <w:r w:rsidRPr="00BE51ED">
        <w:rPr>
          <w:color w:val="auto"/>
        </w:rPr>
        <w:instrText xml:space="preserve"> PAGEREF _Toc370983407 \h </w:instrText>
      </w:r>
      <w:r w:rsidRPr="00BE51ED">
        <w:rPr>
          <w:color w:val="auto"/>
        </w:rPr>
      </w:r>
      <w:r w:rsidRPr="00BE51ED">
        <w:rPr>
          <w:color w:val="auto"/>
        </w:rPr>
        <w:fldChar w:fldCharType="separate"/>
      </w:r>
      <w:r w:rsidRPr="00BE51ED">
        <w:rPr>
          <w:color w:val="auto"/>
        </w:rPr>
        <w:t>145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40</w:t>
      </w:r>
      <w:r w:rsidRPr="00BE51ED">
        <w:rPr>
          <w:color w:val="auto"/>
        </w:rPr>
        <w:t xml:space="preserve"> Core CAL Suite</w:t>
      </w:r>
      <w:r w:rsidRPr="00BE51ED">
        <w:rPr>
          <w:color w:val="auto"/>
        </w:rPr>
        <w:tab/>
      </w:r>
      <w:r w:rsidRPr="00BE51ED">
        <w:rPr>
          <w:color w:val="auto"/>
        </w:rPr>
        <w:fldChar w:fldCharType="begin"/>
      </w:r>
      <w:r w:rsidRPr="00BE51ED">
        <w:rPr>
          <w:color w:val="auto"/>
        </w:rPr>
        <w:instrText xml:space="preserve"> PAGEREF _Toc370983408 \h </w:instrText>
      </w:r>
      <w:r w:rsidRPr="00BE51ED">
        <w:rPr>
          <w:color w:val="auto"/>
        </w:rPr>
      </w:r>
      <w:r w:rsidRPr="00BE51ED">
        <w:rPr>
          <w:color w:val="auto"/>
        </w:rPr>
        <w:fldChar w:fldCharType="separate"/>
      </w:r>
      <w:r w:rsidRPr="00BE51ED">
        <w:rPr>
          <w:color w:val="auto"/>
        </w:rPr>
        <w:t>147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41</w:t>
      </w:r>
      <w:r w:rsidRPr="00BE51ED">
        <w:rPr>
          <w:color w:val="auto"/>
          <w:lang w:val="de-DE"/>
        </w:rPr>
        <w:t xml:space="preserve"> Core Infrastructure Server Suite Standard</w:t>
      </w:r>
      <w:r w:rsidRPr="00BE51ED">
        <w:rPr>
          <w:color w:val="auto"/>
        </w:rPr>
        <w:tab/>
      </w:r>
      <w:r w:rsidRPr="00BE51ED">
        <w:rPr>
          <w:color w:val="auto"/>
        </w:rPr>
        <w:fldChar w:fldCharType="begin"/>
      </w:r>
      <w:r w:rsidRPr="00BE51ED">
        <w:rPr>
          <w:color w:val="auto"/>
        </w:rPr>
        <w:instrText xml:space="preserve"> PAGEREF _Toc370983409 \h </w:instrText>
      </w:r>
      <w:r w:rsidRPr="00BE51ED">
        <w:rPr>
          <w:color w:val="auto"/>
        </w:rPr>
      </w:r>
      <w:r w:rsidRPr="00BE51ED">
        <w:rPr>
          <w:color w:val="auto"/>
        </w:rPr>
        <w:fldChar w:fldCharType="separate"/>
      </w:r>
      <w:r w:rsidRPr="00BE51ED">
        <w:rPr>
          <w:color w:val="auto"/>
        </w:rPr>
        <w:t>147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42</w:t>
      </w:r>
      <w:r w:rsidRPr="00BE51ED">
        <w:rPr>
          <w:color w:val="auto"/>
          <w:lang w:val="de-DE"/>
        </w:rPr>
        <w:t xml:space="preserve"> Core Infrastructure Server Suite Enterprise</w:t>
      </w:r>
      <w:r w:rsidRPr="00BE51ED">
        <w:rPr>
          <w:color w:val="auto"/>
        </w:rPr>
        <w:tab/>
      </w:r>
      <w:r w:rsidRPr="00BE51ED">
        <w:rPr>
          <w:color w:val="auto"/>
        </w:rPr>
        <w:fldChar w:fldCharType="begin"/>
      </w:r>
      <w:r w:rsidRPr="00BE51ED">
        <w:rPr>
          <w:color w:val="auto"/>
        </w:rPr>
        <w:instrText xml:space="preserve"> PAGEREF _Toc370983410 \h </w:instrText>
      </w:r>
      <w:r w:rsidRPr="00BE51ED">
        <w:rPr>
          <w:color w:val="auto"/>
        </w:rPr>
      </w:r>
      <w:r w:rsidRPr="00BE51ED">
        <w:rPr>
          <w:color w:val="auto"/>
        </w:rPr>
        <w:fldChar w:fldCharType="separate"/>
      </w:r>
      <w:r w:rsidRPr="00BE51ED">
        <w:rPr>
          <w:color w:val="auto"/>
        </w:rPr>
        <w:t>148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43</w:t>
      </w:r>
      <w:r w:rsidRPr="00BE51ED">
        <w:rPr>
          <w:color w:val="auto"/>
          <w:lang w:val="de-DE"/>
        </w:rPr>
        <w:t xml:space="preserve"> Core Infrastructure Server Suite Datacenter</w:t>
      </w:r>
      <w:r w:rsidRPr="00BE51ED">
        <w:rPr>
          <w:color w:val="auto"/>
        </w:rPr>
        <w:tab/>
      </w:r>
      <w:r w:rsidRPr="00BE51ED">
        <w:rPr>
          <w:color w:val="auto"/>
        </w:rPr>
        <w:fldChar w:fldCharType="begin"/>
      </w:r>
      <w:r w:rsidRPr="00BE51ED">
        <w:rPr>
          <w:color w:val="auto"/>
        </w:rPr>
        <w:instrText xml:space="preserve"> PAGEREF _Toc370983411 \h </w:instrText>
      </w:r>
      <w:r w:rsidRPr="00BE51ED">
        <w:rPr>
          <w:color w:val="auto"/>
        </w:rPr>
      </w:r>
      <w:r w:rsidRPr="00BE51ED">
        <w:rPr>
          <w:color w:val="auto"/>
        </w:rPr>
        <w:fldChar w:fldCharType="separate"/>
      </w:r>
      <w:r w:rsidRPr="00BE51ED">
        <w:rPr>
          <w:color w:val="auto"/>
        </w:rPr>
        <w:t>149</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eastAsia="Times New Roman" w:cs="Tahoma"/>
          <w:caps/>
          <w:vertAlign w:val="superscript"/>
          <w:lang w:val="de-DE"/>
        </w:rPr>
        <w:t>44</w:t>
      </w:r>
      <w:r w:rsidRPr="00BE51ED">
        <w:rPr>
          <w:rFonts w:eastAsia="Times New Roman" w:cs="Tahoma"/>
          <w:caps/>
          <w:lang w:val="de-DE"/>
        </w:rPr>
        <w:t xml:space="preserve"> </w:t>
      </w:r>
      <w:r w:rsidRPr="00BE51ED">
        <w:rPr>
          <w:rFonts w:eastAsia="Times New Roman" w:cs="Tahoma"/>
          <w:lang w:val="de-DE"/>
        </w:rPr>
        <w:t>Duet Enterprise 2.0</w:t>
      </w:r>
      <w:r w:rsidRPr="00BE51ED">
        <w:tab/>
      </w:r>
      <w:r w:rsidRPr="00BE51ED">
        <w:fldChar w:fldCharType="begin"/>
      </w:r>
      <w:r w:rsidRPr="00BE51ED">
        <w:instrText xml:space="preserve"> PAGEREF _Toc370983412 \h </w:instrText>
      </w:r>
      <w:r w:rsidRPr="00BE51ED">
        <w:fldChar w:fldCharType="separate"/>
      </w:r>
      <w:r w:rsidRPr="00BE51ED">
        <w:t>150</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45</w:t>
      </w:r>
      <w:r w:rsidRPr="00BE51ED">
        <w:rPr>
          <w:caps/>
          <w:color w:val="auto"/>
          <w:lang w:val="de-DE"/>
        </w:rPr>
        <w:t xml:space="preserve"> </w:t>
      </w:r>
      <w:r w:rsidRPr="00BE51ED">
        <w:rPr>
          <w:color w:val="auto"/>
          <w:lang w:val="de-DE"/>
        </w:rPr>
        <w:t>Enterprise CAL Suite Bridge für Office 365, Enterprise CAL Suite Bridge für Office 365 und Windows Intune und Enterprise CAL Suite Bridge für Windows Intune</w:t>
      </w:r>
      <w:r w:rsidRPr="00BE51ED">
        <w:rPr>
          <w:color w:val="auto"/>
        </w:rPr>
        <w:tab/>
      </w:r>
      <w:r w:rsidRPr="00BE51ED">
        <w:rPr>
          <w:color w:val="auto"/>
        </w:rPr>
        <w:fldChar w:fldCharType="begin"/>
      </w:r>
      <w:r w:rsidRPr="00BE51ED">
        <w:rPr>
          <w:color w:val="auto"/>
        </w:rPr>
        <w:instrText xml:space="preserve"> PAGEREF _Toc370983413 \h </w:instrText>
      </w:r>
      <w:r w:rsidRPr="00BE51ED">
        <w:rPr>
          <w:color w:val="auto"/>
        </w:rPr>
      </w:r>
      <w:r w:rsidRPr="00BE51ED">
        <w:rPr>
          <w:color w:val="auto"/>
        </w:rPr>
        <w:fldChar w:fldCharType="separate"/>
      </w:r>
      <w:r w:rsidRPr="00BE51ED">
        <w:rPr>
          <w:color w:val="auto"/>
        </w:rPr>
        <w:t>150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46</w:t>
      </w:r>
      <w:r w:rsidRPr="00BE51ED">
        <w:rPr>
          <w:color w:val="auto"/>
        </w:rPr>
        <w:t xml:space="preserve"> Enterprise CAL Suite</w:t>
      </w:r>
      <w:r w:rsidRPr="00BE51ED">
        <w:rPr>
          <w:color w:val="auto"/>
        </w:rPr>
        <w:tab/>
      </w:r>
      <w:r w:rsidRPr="00BE51ED">
        <w:rPr>
          <w:color w:val="auto"/>
        </w:rPr>
        <w:fldChar w:fldCharType="begin"/>
      </w:r>
      <w:r w:rsidRPr="00BE51ED">
        <w:rPr>
          <w:color w:val="auto"/>
        </w:rPr>
        <w:instrText xml:space="preserve"> PAGEREF _Toc370983414 \h </w:instrText>
      </w:r>
      <w:r w:rsidRPr="00BE51ED">
        <w:rPr>
          <w:color w:val="auto"/>
        </w:rPr>
      </w:r>
      <w:r w:rsidRPr="00BE51ED">
        <w:rPr>
          <w:color w:val="auto"/>
        </w:rPr>
        <w:fldChar w:fldCharType="separate"/>
      </w:r>
      <w:r w:rsidRPr="00BE51ED">
        <w:rPr>
          <w:color w:val="auto"/>
        </w:rPr>
        <w:t>151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47</w:t>
      </w:r>
      <w:r w:rsidRPr="00BE51ED">
        <w:rPr>
          <w:color w:val="auto"/>
          <w:lang w:val="de-DE"/>
        </w:rPr>
        <w:t xml:space="preserve"> Exchange Enterprise CAL mit Diensten 2013</w:t>
      </w:r>
      <w:r w:rsidRPr="00BE51ED">
        <w:rPr>
          <w:color w:val="auto"/>
        </w:rPr>
        <w:tab/>
      </w:r>
      <w:r w:rsidRPr="00BE51ED">
        <w:rPr>
          <w:color w:val="auto"/>
        </w:rPr>
        <w:fldChar w:fldCharType="begin"/>
      </w:r>
      <w:r w:rsidRPr="00BE51ED">
        <w:rPr>
          <w:color w:val="auto"/>
        </w:rPr>
        <w:instrText xml:space="preserve"> PAGEREF _Toc370983415 \h </w:instrText>
      </w:r>
      <w:r w:rsidRPr="00BE51ED">
        <w:rPr>
          <w:color w:val="auto"/>
        </w:rPr>
      </w:r>
      <w:r w:rsidRPr="00BE51ED">
        <w:rPr>
          <w:color w:val="auto"/>
        </w:rPr>
        <w:fldChar w:fldCharType="separate"/>
      </w:r>
      <w:r w:rsidRPr="00BE51ED">
        <w:rPr>
          <w:color w:val="auto"/>
        </w:rPr>
        <w:t>153</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vertAlign w:val="superscript"/>
          <w:lang w:val="de-DE"/>
        </w:rPr>
        <w:lastRenderedPageBreak/>
        <w:t>48</w:t>
      </w:r>
      <w:r w:rsidRPr="00BE51ED">
        <w:rPr>
          <w:rFonts w:cs="Tahoma"/>
          <w:lang w:val="de-DE"/>
        </w:rPr>
        <w:t xml:space="preserve"> Exchange Online-Archivierung für Exchange Server (Nutzer-AL)</w:t>
      </w:r>
      <w:r w:rsidRPr="00BE51ED">
        <w:tab/>
      </w:r>
      <w:r w:rsidRPr="00BE51ED">
        <w:fldChar w:fldCharType="begin"/>
      </w:r>
      <w:r w:rsidRPr="00BE51ED">
        <w:instrText xml:space="preserve"> PAGEREF _Toc370983416 \h </w:instrText>
      </w:r>
      <w:r w:rsidRPr="00BE51ED">
        <w:fldChar w:fldCharType="separate"/>
      </w:r>
      <w:r w:rsidRPr="00BE51ED">
        <w:t>153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vertAlign w:val="superscript"/>
          <w:lang w:val="de-DE"/>
        </w:rPr>
        <w:t>49</w:t>
      </w:r>
      <w:r w:rsidRPr="00BE51ED">
        <w:rPr>
          <w:rFonts w:cs="Tahoma"/>
          <w:lang w:val="de-DE"/>
        </w:rPr>
        <w:t xml:space="preserve"> Exchange Online-Archivierung für Exchange Server A (Nutzer-AL)</w:t>
      </w:r>
      <w:r w:rsidRPr="00BE51ED">
        <w:tab/>
      </w:r>
      <w:r w:rsidRPr="00BE51ED">
        <w:fldChar w:fldCharType="begin"/>
      </w:r>
      <w:r w:rsidRPr="00BE51ED">
        <w:instrText xml:space="preserve"> PAGEREF _Toc370983417 \h </w:instrText>
      </w:r>
      <w:r w:rsidRPr="00BE51ED">
        <w:fldChar w:fldCharType="separate"/>
      </w:r>
      <w:r w:rsidRPr="00BE51ED">
        <w:t>153</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vertAlign w:val="superscript"/>
        </w:rPr>
        <w:t>50</w:t>
      </w:r>
      <w:r w:rsidRPr="00BE51ED">
        <w:rPr>
          <w:rFonts w:cs="Tahoma"/>
        </w:rPr>
        <w:t xml:space="preserve"> Exchange Hosted Archive (Nutzer-AL), Exchange Hosted Archive Extra Storage (Add-On-AL)</w:t>
      </w:r>
      <w:r w:rsidRPr="00BE51ED">
        <w:tab/>
      </w:r>
      <w:r w:rsidRPr="00BE51ED">
        <w:fldChar w:fldCharType="begin"/>
      </w:r>
      <w:r w:rsidRPr="00BE51ED">
        <w:instrText xml:space="preserve"> PAGEREF _Toc370983418 \h </w:instrText>
      </w:r>
      <w:r w:rsidRPr="00BE51ED">
        <w:fldChar w:fldCharType="separate"/>
      </w:r>
      <w:r w:rsidRPr="00BE51ED">
        <w:t>154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vertAlign w:val="superscript"/>
          <w:lang w:val="de-DE"/>
        </w:rPr>
        <w:t>51</w:t>
      </w:r>
      <w:r w:rsidRPr="00BE51ED">
        <w:rPr>
          <w:rFonts w:cs="Tahoma"/>
          <w:lang w:val="de-DE"/>
        </w:rPr>
        <w:t xml:space="preserve"> Exchange Hosted Encryption (Nutzer-AL)</w:t>
      </w:r>
      <w:r w:rsidRPr="00BE51ED">
        <w:tab/>
      </w:r>
      <w:r w:rsidRPr="00BE51ED">
        <w:fldChar w:fldCharType="begin"/>
      </w:r>
      <w:r w:rsidRPr="00BE51ED">
        <w:instrText xml:space="preserve"> PAGEREF _Toc370983419 \h </w:instrText>
      </w:r>
      <w:r w:rsidRPr="00BE51ED">
        <w:fldChar w:fldCharType="separate"/>
      </w:r>
      <w:r w:rsidRPr="00BE51ED">
        <w:t>154</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52</w:t>
      </w:r>
      <w:r w:rsidRPr="00BE51ED">
        <w:rPr>
          <w:color w:val="auto"/>
          <w:lang w:val="de-DE"/>
        </w:rPr>
        <w:t xml:space="preserve"> Exchange Online-Kiosk (Nutzer-AL)</w:t>
      </w:r>
      <w:r w:rsidRPr="00BE51ED">
        <w:rPr>
          <w:color w:val="auto"/>
        </w:rPr>
        <w:tab/>
      </w:r>
      <w:r w:rsidRPr="00BE51ED">
        <w:rPr>
          <w:color w:val="auto"/>
        </w:rPr>
        <w:fldChar w:fldCharType="begin"/>
      </w:r>
      <w:r w:rsidRPr="00BE51ED">
        <w:rPr>
          <w:color w:val="auto"/>
        </w:rPr>
        <w:instrText xml:space="preserve"> PAGEREF _Toc370983420 \h </w:instrText>
      </w:r>
      <w:r w:rsidRPr="00BE51ED">
        <w:rPr>
          <w:color w:val="auto"/>
        </w:rPr>
      </w:r>
      <w:r w:rsidRPr="00BE51ED">
        <w:rPr>
          <w:color w:val="auto"/>
        </w:rPr>
        <w:fldChar w:fldCharType="separate"/>
      </w:r>
      <w:r w:rsidRPr="00BE51ED">
        <w:rPr>
          <w:color w:val="auto"/>
        </w:rPr>
        <w:t>155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53</w:t>
      </w:r>
      <w:r w:rsidRPr="00BE51ED">
        <w:rPr>
          <w:caps/>
          <w:color w:val="auto"/>
          <w:lang w:val="de-DE"/>
        </w:rPr>
        <w:t xml:space="preserve"> </w:t>
      </w:r>
      <w:r w:rsidRPr="00BE51ED">
        <w:rPr>
          <w:color w:val="auto"/>
          <w:lang w:val="de-DE"/>
        </w:rPr>
        <w:t>Exchange Online Plan 1</w:t>
      </w:r>
      <w:r w:rsidRPr="00BE51ED">
        <w:rPr>
          <w:color w:val="auto"/>
        </w:rPr>
        <w:tab/>
      </w:r>
      <w:r w:rsidRPr="00BE51ED">
        <w:rPr>
          <w:color w:val="auto"/>
        </w:rPr>
        <w:fldChar w:fldCharType="begin"/>
      </w:r>
      <w:r w:rsidRPr="00BE51ED">
        <w:rPr>
          <w:color w:val="auto"/>
        </w:rPr>
        <w:instrText xml:space="preserve"> PAGEREF _Toc370983421 \h </w:instrText>
      </w:r>
      <w:r w:rsidRPr="00BE51ED">
        <w:rPr>
          <w:color w:val="auto"/>
        </w:rPr>
      </w:r>
      <w:r w:rsidRPr="00BE51ED">
        <w:rPr>
          <w:color w:val="auto"/>
        </w:rPr>
        <w:fldChar w:fldCharType="separate"/>
      </w:r>
      <w:r w:rsidRPr="00BE51ED">
        <w:rPr>
          <w:color w:val="auto"/>
        </w:rPr>
        <w:t>155</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54</w:t>
      </w:r>
      <w:r w:rsidRPr="00BE51ED">
        <w:rPr>
          <w:rFonts w:cs="Tahoma"/>
          <w:lang w:val="de-DE"/>
        </w:rPr>
        <w:t xml:space="preserve"> Exchange Online Plan 2</w:t>
      </w:r>
      <w:r w:rsidRPr="00BE51ED">
        <w:tab/>
      </w:r>
      <w:r w:rsidRPr="00BE51ED">
        <w:fldChar w:fldCharType="begin"/>
      </w:r>
      <w:r w:rsidRPr="00BE51ED">
        <w:instrText xml:space="preserve"> PAGEREF _Toc370983422 \h </w:instrText>
      </w:r>
      <w:r w:rsidRPr="00BE51ED">
        <w:fldChar w:fldCharType="separate"/>
      </w:r>
      <w:r w:rsidRPr="00BE51ED">
        <w:t>156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55</w:t>
      </w:r>
      <w:r w:rsidRPr="00BE51ED">
        <w:rPr>
          <w:rFonts w:cs="Tahoma"/>
          <w:caps/>
          <w:lang w:val="de-DE"/>
        </w:rPr>
        <w:t xml:space="preserve"> </w:t>
      </w:r>
      <w:r w:rsidRPr="00BE51ED">
        <w:rPr>
          <w:rFonts w:cs="Tahoma"/>
          <w:lang w:val="de-DE"/>
        </w:rPr>
        <w:t>Exchange Online Protection (Nutzer-AL)</w:t>
      </w:r>
      <w:r w:rsidRPr="00BE51ED">
        <w:tab/>
      </w:r>
      <w:r w:rsidRPr="00BE51ED">
        <w:fldChar w:fldCharType="begin"/>
      </w:r>
      <w:r w:rsidRPr="00BE51ED">
        <w:instrText xml:space="preserve"> PAGEREF _Toc370983423 \h </w:instrText>
      </w:r>
      <w:r w:rsidRPr="00BE51ED">
        <w:fldChar w:fldCharType="separate"/>
      </w:r>
      <w:r w:rsidRPr="00BE51ED">
        <w:t>156</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56</w:t>
      </w:r>
      <w:r w:rsidRPr="00BE51ED">
        <w:rPr>
          <w:rFonts w:cs="Tahoma"/>
          <w:caps/>
          <w:lang w:val="de-DE"/>
        </w:rPr>
        <w:t xml:space="preserve"> </w:t>
      </w:r>
      <w:r w:rsidRPr="00BE51ED">
        <w:rPr>
          <w:rFonts w:cs="Tahoma"/>
          <w:lang w:val="de-DE"/>
        </w:rPr>
        <w:t>Exchange Server 2013 Enterprise und Standard Edition</w:t>
      </w:r>
      <w:r w:rsidRPr="00BE51ED">
        <w:tab/>
      </w:r>
      <w:r w:rsidRPr="00BE51ED">
        <w:fldChar w:fldCharType="begin"/>
      </w:r>
      <w:r w:rsidRPr="00BE51ED">
        <w:instrText xml:space="preserve"> PAGEREF _Toc370983424 \h </w:instrText>
      </w:r>
      <w:r w:rsidRPr="00BE51ED">
        <w:fldChar w:fldCharType="separate"/>
      </w:r>
      <w:r w:rsidRPr="00BE51ED">
        <w:t>156</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57</w:t>
      </w:r>
      <w:r w:rsidRPr="00BE51ED">
        <w:rPr>
          <w:color w:val="auto"/>
          <w:lang w:val="de-DE"/>
        </w:rPr>
        <w:t xml:space="preserve"> Standard-CAL für Exchange Server 2010</w:t>
      </w:r>
      <w:r w:rsidRPr="00BE51ED">
        <w:rPr>
          <w:color w:val="auto"/>
        </w:rPr>
        <w:tab/>
      </w:r>
      <w:r w:rsidRPr="00BE51ED">
        <w:rPr>
          <w:color w:val="auto"/>
        </w:rPr>
        <w:fldChar w:fldCharType="begin"/>
      </w:r>
      <w:r w:rsidRPr="00BE51ED">
        <w:rPr>
          <w:color w:val="auto"/>
        </w:rPr>
        <w:instrText xml:space="preserve"> PAGEREF _Toc370983425 \h </w:instrText>
      </w:r>
      <w:r w:rsidRPr="00BE51ED">
        <w:rPr>
          <w:color w:val="auto"/>
        </w:rPr>
      </w:r>
      <w:r w:rsidRPr="00BE51ED">
        <w:rPr>
          <w:color w:val="auto"/>
        </w:rPr>
        <w:fldChar w:fldCharType="separate"/>
      </w:r>
      <w:r w:rsidRPr="00BE51ED">
        <w:rPr>
          <w:color w:val="auto"/>
        </w:rPr>
        <w:t>157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58</w:t>
      </w:r>
      <w:r w:rsidRPr="00BE51ED">
        <w:rPr>
          <w:color w:val="auto"/>
          <w:lang w:val="de-DE"/>
        </w:rPr>
        <w:t xml:space="preserve"> Forefront Endpoint Protection</w:t>
      </w:r>
      <w:r w:rsidRPr="00BE51ED">
        <w:rPr>
          <w:color w:val="auto"/>
        </w:rPr>
        <w:tab/>
      </w:r>
      <w:r w:rsidRPr="00BE51ED">
        <w:rPr>
          <w:color w:val="auto"/>
        </w:rPr>
        <w:fldChar w:fldCharType="begin"/>
      </w:r>
      <w:r w:rsidRPr="00BE51ED">
        <w:rPr>
          <w:color w:val="auto"/>
        </w:rPr>
        <w:instrText xml:space="preserve"> PAGEREF _Toc370983426 \h </w:instrText>
      </w:r>
      <w:r w:rsidRPr="00BE51ED">
        <w:rPr>
          <w:color w:val="auto"/>
        </w:rPr>
      </w:r>
      <w:r w:rsidRPr="00BE51ED">
        <w:rPr>
          <w:color w:val="auto"/>
        </w:rPr>
        <w:fldChar w:fldCharType="separate"/>
      </w:r>
      <w:r w:rsidRPr="00BE51ED">
        <w:rPr>
          <w:color w:val="auto"/>
        </w:rPr>
        <w:t>158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59</w:t>
      </w:r>
      <w:r w:rsidRPr="00BE51ED">
        <w:rPr>
          <w:caps/>
          <w:color w:val="auto"/>
          <w:lang w:val="de-DE"/>
        </w:rPr>
        <w:t xml:space="preserve"> </w:t>
      </w:r>
      <w:r w:rsidRPr="00BE51ED">
        <w:rPr>
          <w:color w:val="auto"/>
          <w:lang w:val="de-DE"/>
        </w:rPr>
        <w:t>Forefront Identity Manager 2010 R2</w:t>
      </w:r>
      <w:r w:rsidRPr="00BE51ED">
        <w:rPr>
          <w:color w:val="auto"/>
        </w:rPr>
        <w:tab/>
      </w:r>
      <w:r w:rsidRPr="00BE51ED">
        <w:rPr>
          <w:color w:val="auto"/>
        </w:rPr>
        <w:fldChar w:fldCharType="begin"/>
      </w:r>
      <w:r w:rsidRPr="00BE51ED">
        <w:rPr>
          <w:color w:val="auto"/>
        </w:rPr>
        <w:instrText xml:space="preserve"> PAGEREF _Toc370983427 \h </w:instrText>
      </w:r>
      <w:r w:rsidRPr="00BE51ED">
        <w:rPr>
          <w:color w:val="auto"/>
        </w:rPr>
      </w:r>
      <w:r w:rsidRPr="00BE51ED">
        <w:rPr>
          <w:color w:val="auto"/>
        </w:rPr>
        <w:fldChar w:fldCharType="separate"/>
      </w:r>
      <w:r w:rsidRPr="00BE51ED">
        <w:rPr>
          <w:color w:val="auto"/>
        </w:rPr>
        <w:t>158</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60</w:t>
      </w:r>
      <w:r w:rsidRPr="00BE51ED">
        <w:rPr>
          <w:rFonts w:cs="Tahoma"/>
        </w:rPr>
        <w:t xml:space="preserve"> Forefront Identity Manager 2010 – Windows Live Edition</w:t>
      </w:r>
      <w:r w:rsidRPr="00BE51ED">
        <w:tab/>
      </w:r>
      <w:r w:rsidRPr="00BE51ED">
        <w:fldChar w:fldCharType="begin"/>
      </w:r>
      <w:r w:rsidRPr="00BE51ED">
        <w:instrText xml:space="preserve"> PAGEREF _Toc370983428 \h </w:instrText>
      </w:r>
      <w:r w:rsidRPr="00BE51ED">
        <w:fldChar w:fldCharType="separate"/>
      </w:r>
      <w:r w:rsidRPr="00BE51ED">
        <w:t>158</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61</w:t>
      </w:r>
      <w:r w:rsidRPr="00BE51ED">
        <w:rPr>
          <w:color w:val="auto"/>
        </w:rPr>
        <w:t xml:space="preserve"> Forefront Online Protection für Exchange (Geräte- und Nutzer-AL)</w:t>
      </w:r>
      <w:r w:rsidRPr="00BE51ED">
        <w:rPr>
          <w:color w:val="auto"/>
        </w:rPr>
        <w:tab/>
      </w:r>
      <w:r w:rsidRPr="00BE51ED">
        <w:rPr>
          <w:color w:val="auto"/>
        </w:rPr>
        <w:fldChar w:fldCharType="begin"/>
      </w:r>
      <w:r w:rsidRPr="00BE51ED">
        <w:rPr>
          <w:color w:val="auto"/>
        </w:rPr>
        <w:instrText xml:space="preserve"> PAGEREF _Toc370983429 \h </w:instrText>
      </w:r>
      <w:r w:rsidRPr="00BE51ED">
        <w:rPr>
          <w:color w:val="auto"/>
        </w:rPr>
      </w:r>
      <w:r w:rsidRPr="00BE51ED">
        <w:rPr>
          <w:color w:val="auto"/>
        </w:rPr>
        <w:fldChar w:fldCharType="separate"/>
      </w:r>
      <w:r w:rsidRPr="00BE51ED">
        <w:rPr>
          <w:color w:val="auto"/>
        </w:rPr>
        <w:t>158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62</w:t>
      </w:r>
      <w:r w:rsidRPr="00BE51ED">
        <w:rPr>
          <w:color w:val="auto"/>
          <w:lang w:val="de-DE"/>
        </w:rPr>
        <w:t xml:space="preserve"> Forefront Protection 2010 für Exchange Server (Geräte- und Nutzer-AL), Forefront Protection 2010 for SharePoint (Geräte- und Nutzer-AL) und Forefront Protection 2010 for Internet Sites (Add-On-AL)</w:t>
      </w:r>
      <w:r w:rsidRPr="00BE51ED">
        <w:rPr>
          <w:color w:val="auto"/>
        </w:rPr>
        <w:tab/>
      </w:r>
      <w:r w:rsidRPr="00BE51ED">
        <w:rPr>
          <w:color w:val="auto"/>
        </w:rPr>
        <w:fldChar w:fldCharType="begin"/>
      </w:r>
      <w:r w:rsidRPr="00BE51ED">
        <w:rPr>
          <w:color w:val="auto"/>
        </w:rPr>
        <w:instrText xml:space="preserve"> PAGEREF _Toc370983430 \h </w:instrText>
      </w:r>
      <w:r w:rsidRPr="00BE51ED">
        <w:rPr>
          <w:color w:val="auto"/>
        </w:rPr>
      </w:r>
      <w:r w:rsidRPr="00BE51ED">
        <w:rPr>
          <w:color w:val="auto"/>
        </w:rPr>
        <w:fldChar w:fldCharType="separate"/>
      </w:r>
      <w:r w:rsidRPr="00BE51ED">
        <w:rPr>
          <w:color w:val="auto"/>
        </w:rPr>
        <w:t>159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63</w:t>
      </w:r>
      <w:r w:rsidRPr="00BE51ED">
        <w:rPr>
          <w:color w:val="auto"/>
          <w:lang w:val="de-DE"/>
        </w:rPr>
        <w:t xml:space="preserve"> Forefront Protection Suite (Gerät &amp; Nutzer)</w:t>
      </w:r>
      <w:r w:rsidRPr="00BE51ED">
        <w:rPr>
          <w:color w:val="auto"/>
        </w:rPr>
        <w:tab/>
      </w:r>
      <w:r w:rsidRPr="00BE51ED">
        <w:rPr>
          <w:color w:val="auto"/>
        </w:rPr>
        <w:fldChar w:fldCharType="begin"/>
      </w:r>
      <w:r w:rsidRPr="00BE51ED">
        <w:rPr>
          <w:color w:val="auto"/>
        </w:rPr>
        <w:instrText xml:space="preserve"> PAGEREF _Toc370983431 \h </w:instrText>
      </w:r>
      <w:r w:rsidRPr="00BE51ED">
        <w:rPr>
          <w:color w:val="auto"/>
        </w:rPr>
      </w:r>
      <w:r w:rsidRPr="00BE51ED">
        <w:rPr>
          <w:color w:val="auto"/>
        </w:rPr>
        <w:fldChar w:fldCharType="separate"/>
      </w:r>
      <w:r w:rsidRPr="00BE51ED">
        <w:rPr>
          <w:color w:val="auto"/>
        </w:rPr>
        <w:t>159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64</w:t>
      </w:r>
      <w:r w:rsidRPr="00BE51ED">
        <w:rPr>
          <w:caps/>
          <w:color w:val="auto"/>
        </w:rPr>
        <w:t xml:space="preserve"> </w:t>
      </w:r>
      <w:r w:rsidRPr="00BE51ED">
        <w:rPr>
          <w:color w:val="auto"/>
        </w:rPr>
        <w:t>Forefront Security for Office Communications Server (Nutzer- und Geräte-AL)</w:t>
      </w:r>
      <w:r w:rsidRPr="00BE51ED">
        <w:rPr>
          <w:color w:val="auto"/>
        </w:rPr>
        <w:tab/>
      </w:r>
      <w:r w:rsidRPr="00BE51ED">
        <w:rPr>
          <w:color w:val="auto"/>
        </w:rPr>
        <w:fldChar w:fldCharType="begin"/>
      </w:r>
      <w:r w:rsidRPr="00BE51ED">
        <w:rPr>
          <w:color w:val="auto"/>
        </w:rPr>
        <w:instrText xml:space="preserve"> PAGEREF _Toc370983432 \h </w:instrText>
      </w:r>
      <w:r w:rsidRPr="00BE51ED">
        <w:rPr>
          <w:color w:val="auto"/>
        </w:rPr>
      </w:r>
      <w:r w:rsidRPr="00BE51ED">
        <w:rPr>
          <w:color w:val="auto"/>
        </w:rPr>
        <w:fldChar w:fldCharType="separate"/>
      </w:r>
      <w:r w:rsidRPr="00BE51ED">
        <w:rPr>
          <w:color w:val="auto"/>
        </w:rPr>
        <w:t>160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65</w:t>
      </w:r>
      <w:r w:rsidRPr="00BE51ED">
        <w:rPr>
          <w:caps/>
          <w:color w:val="auto"/>
          <w:lang w:val="de-DE"/>
        </w:rPr>
        <w:t xml:space="preserve"> </w:t>
      </w:r>
      <w:r w:rsidRPr="00BE51ED">
        <w:rPr>
          <w:color w:val="auto"/>
          <w:lang w:val="de-DE"/>
        </w:rPr>
        <w:t>Forefront Threat Management Gateway Web Protection Service</w:t>
      </w:r>
      <w:r w:rsidRPr="00BE51ED">
        <w:rPr>
          <w:color w:val="auto"/>
        </w:rPr>
        <w:tab/>
      </w:r>
      <w:r w:rsidRPr="00BE51ED">
        <w:rPr>
          <w:color w:val="auto"/>
        </w:rPr>
        <w:fldChar w:fldCharType="begin"/>
      </w:r>
      <w:r w:rsidRPr="00BE51ED">
        <w:rPr>
          <w:color w:val="auto"/>
        </w:rPr>
        <w:instrText xml:space="preserve"> PAGEREF _Toc370983433 \h </w:instrText>
      </w:r>
      <w:r w:rsidRPr="00BE51ED">
        <w:rPr>
          <w:color w:val="auto"/>
        </w:rPr>
      </w:r>
      <w:r w:rsidRPr="00BE51ED">
        <w:rPr>
          <w:color w:val="auto"/>
        </w:rPr>
        <w:fldChar w:fldCharType="separate"/>
      </w:r>
      <w:r w:rsidRPr="00BE51ED">
        <w:rPr>
          <w:color w:val="auto"/>
        </w:rPr>
        <w:t>160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66</w:t>
      </w:r>
      <w:r w:rsidRPr="00BE51ED">
        <w:rPr>
          <w:caps/>
          <w:color w:val="auto"/>
          <w:lang w:val="de-DE"/>
        </w:rPr>
        <w:t xml:space="preserve"> </w:t>
      </w:r>
      <w:r w:rsidRPr="00BE51ED">
        <w:rPr>
          <w:color w:val="auto"/>
          <w:lang w:val="de-DE"/>
        </w:rPr>
        <w:t>Forefront Unified Access Gateway 2010</w:t>
      </w:r>
      <w:r w:rsidRPr="00BE51ED">
        <w:rPr>
          <w:color w:val="auto"/>
        </w:rPr>
        <w:tab/>
      </w:r>
      <w:r w:rsidRPr="00BE51ED">
        <w:rPr>
          <w:color w:val="auto"/>
        </w:rPr>
        <w:fldChar w:fldCharType="begin"/>
      </w:r>
      <w:r w:rsidRPr="00BE51ED">
        <w:rPr>
          <w:color w:val="auto"/>
        </w:rPr>
        <w:instrText xml:space="preserve"> PAGEREF _Toc370983434 \h </w:instrText>
      </w:r>
      <w:r w:rsidRPr="00BE51ED">
        <w:rPr>
          <w:color w:val="auto"/>
        </w:rPr>
      </w:r>
      <w:r w:rsidRPr="00BE51ED">
        <w:rPr>
          <w:color w:val="auto"/>
        </w:rPr>
        <w:fldChar w:fldCharType="separate"/>
      </w:r>
      <w:r w:rsidRPr="00BE51ED">
        <w:rPr>
          <w:color w:val="auto"/>
        </w:rPr>
        <w:t>160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67</w:t>
      </w:r>
      <w:r w:rsidRPr="00BE51ED">
        <w:rPr>
          <w:caps/>
          <w:color w:val="auto"/>
          <w:lang w:val="de-DE"/>
        </w:rPr>
        <w:t xml:space="preserve"> </w:t>
      </w:r>
      <w:r w:rsidRPr="00BE51ED">
        <w:rPr>
          <w:color w:val="auto"/>
          <w:lang w:val="de-DE"/>
        </w:rPr>
        <w:t>HPC Pack 2008 R2 Enterprise</w:t>
      </w:r>
      <w:r w:rsidRPr="00BE51ED">
        <w:rPr>
          <w:color w:val="auto"/>
        </w:rPr>
        <w:tab/>
      </w:r>
      <w:r w:rsidRPr="00BE51ED">
        <w:rPr>
          <w:color w:val="auto"/>
        </w:rPr>
        <w:fldChar w:fldCharType="begin"/>
      </w:r>
      <w:r w:rsidRPr="00BE51ED">
        <w:rPr>
          <w:color w:val="auto"/>
        </w:rPr>
        <w:instrText xml:space="preserve"> PAGEREF _Toc370983435 \h </w:instrText>
      </w:r>
      <w:r w:rsidRPr="00BE51ED">
        <w:rPr>
          <w:color w:val="auto"/>
        </w:rPr>
      </w:r>
      <w:r w:rsidRPr="00BE51ED">
        <w:rPr>
          <w:color w:val="auto"/>
        </w:rPr>
        <w:fldChar w:fldCharType="separate"/>
      </w:r>
      <w:r w:rsidRPr="00BE51ED">
        <w:rPr>
          <w:color w:val="auto"/>
        </w:rPr>
        <w:t>160</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68</w:t>
      </w:r>
      <w:r w:rsidRPr="00BE51ED">
        <w:rPr>
          <w:rFonts w:cs="Tahoma"/>
          <w:lang w:val="de-DE"/>
        </w:rPr>
        <w:t xml:space="preserve"> Lync Online Plan 1, 2 und 3</w:t>
      </w:r>
      <w:r w:rsidRPr="00BE51ED">
        <w:tab/>
      </w:r>
      <w:r w:rsidRPr="00BE51ED">
        <w:fldChar w:fldCharType="begin"/>
      </w:r>
      <w:r w:rsidRPr="00BE51ED">
        <w:instrText xml:space="preserve"> PAGEREF _Toc370983436 \h </w:instrText>
      </w:r>
      <w:r w:rsidRPr="00BE51ED">
        <w:fldChar w:fldCharType="separate"/>
      </w:r>
      <w:r w:rsidRPr="00BE51ED">
        <w:t>161</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69</w:t>
      </w:r>
      <w:r w:rsidRPr="00BE51ED">
        <w:rPr>
          <w:rFonts w:cs="Tahoma"/>
          <w:caps/>
          <w:lang w:val="de-DE"/>
        </w:rPr>
        <w:t xml:space="preserve"> </w:t>
      </w:r>
      <w:r w:rsidRPr="00BE51ED">
        <w:rPr>
          <w:rFonts w:cs="Tahoma"/>
          <w:lang w:val="de-DE"/>
        </w:rPr>
        <w:t>Lync Server 2013</w:t>
      </w:r>
      <w:r w:rsidRPr="00BE51ED">
        <w:tab/>
      </w:r>
      <w:r w:rsidRPr="00BE51ED">
        <w:fldChar w:fldCharType="begin"/>
      </w:r>
      <w:r w:rsidRPr="00BE51ED">
        <w:instrText xml:space="preserve"> PAGEREF _Toc370983437 \h </w:instrText>
      </w:r>
      <w:r w:rsidRPr="00BE51ED">
        <w:fldChar w:fldCharType="separate"/>
      </w:r>
      <w:r w:rsidRPr="00BE51ED">
        <w:t>162</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vertAlign w:val="superscript"/>
          <w:lang w:val="de-DE"/>
        </w:rPr>
        <w:t>70</w:t>
      </w:r>
      <w:r w:rsidRPr="00BE51ED">
        <w:rPr>
          <w:color w:val="auto"/>
          <w:lang w:val="de-DE"/>
        </w:rPr>
        <w:t xml:space="preserve"> Microsoft Dynamics AX 2012 R2</w:t>
      </w:r>
      <w:r w:rsidRPr="00BE51ED">
        <w:rPr>
          <w:color w:val="auto"/>
        </w:rPr>
        <w:tab/>
      </w:r>
      <w:r w:rsidRPr="00BE51ED">
        <w:rPr>
          <w:color w:val="auto"/>
        </w:rPr>
        <w:fldChar w:fldCharType="begin"/>
      </w:r>
      <w:r w:rsidRPr="00BE51ED">
        <w:rPr>
          <w:color w:val="auto"/>
        </w:rPr>
        <w:instrText xml:space="preserve"> PAGEREF _Toc370983438 \h </w:instrText>
      </w:r>
      <w:r w:rsidRPr="00BE51ED">
        <w:rPr>
          <w:color w:val="auto"/>
        </w:rPr>
      </w:r>
      <w:r w:rsidRPr="00BE51ED">
        <w:rPr>
          <w:color w:val="auto"/>
        </w:rPr>
        <w:fldChar w:fldCharType="separate"/>
      </w:r>
      <w:r w:rsidRPr="00BE51ED">
        <w:rPr>
          <w:color w:val="auto"/>
        </w:rPr>
        <w:t>163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vertAlign w:val="superscript"/>
          <w:lang w:val="de-DE"/>
        </w:rPr>
        <w:t>71</w:t>
      </w:r>
      <w:r w:rsidRPr="00BE51ED">
        <w:rPr>
          <w:color w:val="auto"/>
          <w:lang w:val="de-DE"/>
        </w:rPr>
        <w:t xml:space="preserve"> Microsoft Dynamics CRM 2013</w:t>
      </w:r>
      <w:r w:rsidRPr="00BE51ED">
        <w:rPr>
          <w:color w:val="auto"/>
        </w:rPr>
        <w:tab/>
      </w:r>
      <w:r w:rsidRPr="00BE51ED">
        <w:rPr>
          <w:color w:val="auto"/>
        </w:rPr>
        <w:fldChar w:fldCharType="begin"/>
      </w:r>
      <w:r w:rsidRPr="00BE51ED">
        <w:rPr>
          <w:color w:val="auto"/>
        </w:rPr>
        <w:instrText xml:space="preserve"> PAGEREF _Toc370983439 \h </w:instrText>
      </w:r>
      <w:r w:rsidRPr="00BE51ED">
        <w:rPr>
          <w:color w:val="auto"/>
        </w:rPr>
      </w:r>
      <w:r w:rsidRPr="00BE51ED">
        <w:rPr>
          <w:color w:val="auto"/>
        </w:rPr>
        <w:fldChar w:fldCharType="separate"/>
      </w:r>
      <w:r w:rsidRPr="00BE51ED">
        <w:rPr>
          <w:color w:val="auto"/>
        </w:rPr>
        <w:t>164</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vertAlign w:val="superscript"/>
          <w:lang w:val="de-DE"/>
        </w:rPr>
        <w:t>72</w:t>
      </w:r>
      <w:r w:rsidRPr="00BE51ED">
        <w:rPr>
          <w:color w:val="auto"/>
          <w:lang w:val="de-DE"/>
        </w:rPr>
        <w:t xml:space="preserve"> Externer Connector für Microsoft Dynamics CRM 2011</w:t>
      </w:r>
      <w:r w:rsidRPr="00BE51ED">
        <w:rPr>
          <w:color w:val="auto"/>
        </w:rPr>
        <w:tab/>
      </w:r>
      <w:r w:rsidRPr="00BE51ED">
        <w:rPr>
          <w:color w:val="auto"/>
        </w:rPr>
        <w:fldChar w:fldCharType="begin"/>
      </w:r>
      <w:r w:rsidRPr="00BE51ED">
        <w:rPr>
          <w:color w:val="auto"/>
        </w:rPr>
        <w:instrText xml:space="preserve"> PAGEREF _Toc370983440 \h </w:instrText>
      </w:r>
      <w:r w:rsidRPr="00BE51ED">
        <w:rPr>
          <w:color w:val="auto"/>
        </w:rPr>
      </w:r>
      <w:r w:rsidRPr="00BE51ED">
        <w:rPr>
          <w:color w:val="auto"/>
        </w:rPr>
        <w:fldChar w:fldCharType="separate"/>
      </w:r>
      <w:r w:rsidRPr="00BE51ED">
        <w:rPr>
          <w:color w:val="auto"/>
        </w:rPr>
        <w:t>167</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73</w:t>
      </w:r>
      <w:r w:rsidRPr="00BE51ED">
        <w:rPr>
          <w:color w:val="auto"/>
          <w:lang w:val="de-DE"/>
        </w:rPr>
        <w:t xml:space="preserve"> Microsoft Dynamics CRM Online</w:t>
      </w:r>
      <w:r w:rsidRPr="00BE51ED">
        <w:rPr>
          <w:color w:val="auto"/>
        </w:rPr>
        <w:tab/>
      </w:r>
      <w:r w:rsidRPr="00BE51ED">
        <w:rPr>
          <w:color w:val="auto"/>
        </w:rPr>
        <w:fldChar w:fldCharType="begin"/>
      </w:r>
      <w:r w:rsidRPr="00BE51ED">
        <w:rPr>
          <w:color w:val="auto"/>
        </w:rPr>
        <w:instrText xml:space="preserve"> PAGEREF _Toc370983441 \h </w:instrText>
      </w:r>
      <w:r w:rsidRPr="00BE51ED">
        <w:rPr>
          <w:color w:val="auto"/>
        </w:rPr>
      </w:r>
      <w:r w:rsidRPr="00BE51ED">
        <w:rPr>
          <w:color w:val="auto"/>
        </w:rPr>
        <w:fldChar w:fldCharType="separate"/>
      </w:r>
      <w:r w:rsidRPr="00BE51ED">
        <w:rPr>
          <w:color w:val="auto"/>
        </w:rPr>
        <w:t>168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74</w:t>
      </w:r>
      <w:r w:rsidRPr="00BE51ED">
        <w:rPr>
          <w:color w:val="auto"/>
          <w:lang w:val="de-DE"/>
        </w:rPr>
        <w:t xml:space="preserve"> Microsoft Learning MCP Prüfungsgutscheine</w:t>
      </w:r>
      <w:r w:rsidRPr="00BE51ED">
        <w:rPr>
          <w:color w:val="auto"/>
        </w:rPr>
        <w:tab/>
      </w:r>
      <w:r w:rsidRPr="00BE51ED">
        <w:rPr>
          <w:color w:val="auto"/>
        </w:rPr>
        <w:fldChar w:fldCharType="begin"/>
      </w:r>
      <w:r w:rsidRPr="00BE51ED">
        <w:rPr>
          <w:color w:val="auto"/>
        </w:rPr>
        <w:instrText xml:space="preserve"> PAGEREF _Toc370983442 \h </w:instrText>
      </w:r>
      <w:r w:rsidRPr="00BE51ED">
        <w:rPr>
          <w:color w:val="auto"/>
        </w:rPr>
      </w:r>
      <w:r w:rsidRPr="00BE51ED">
        <w:rPr>
          <w:color w:val="auto"/>
        </w:rPr>
        <w:fldChar w:fldCharType="separate"/>
      </w:r>
      <w:r w:rsidRPr="00BE51ED">
        <w:rPr>
          <w:color w:val="auto"/>
        </w:rPr>
        <w:t>169</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75</w:t>
      </w:r>
      <w:r w:rsidRPr="00BE51ED">
        <w:rPr>
          <w:rFonts w:cs="Tahoma"/>
          <w:caps/>
          <w:lang w:val="de-DE"/>
        </w:rPr>
        <w:t xml:space="preserve"> </w:t>
      </w:r>
      <w:r w:rsidRPr="00BE51ED">
        <w:rPr>
          <w:rFonts w:cs="Tahoma"/>
          <w:lang w:val="de-DE"/>
        </w:rPr>
        <w:t>Office 365 Enterprise K1 (Nutzer-AL)</w:t>
      </w:r>
      <w:r w:rsidRPr="00BE51ED">
        <w:tab/>
      </w:r>
      <w:r w:rsidRPr="00BE51ED">
        <w:fldChar w:fldCharType="begin"/>
      </w:r>
      <w:r w:rsidRPr="00BE51ED">
        <w:instrText xml:space="preserve"> PAGEREF _Toc370983443 \h </w:instrText>
      </w:r>
      <w:r w:rsidRPr="00BE51ED">
        <w:fldChar w:fldCharType="separate"/>
      </w:r>
      <w:r w:rsidRPr="00BE51ED">
        <w:t>169</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76</w:t>
      </w:r>
      <w:r w:rsidRPr="00BE51ED">
        <w:rPr>
          <w:rFonts w:cs="Tahoma"/>
          <w:lang w:val="de-DE"/>
        </w:rPr>
        <w:t xml:space="preserve"> Office 365 Government G1, G3, G4</w:t>
      </w:r>
      <w:r w:rsidRPr="00BE51ED">
        <w:tab/>
      </w:r>
      <w:r w:rsidRPr="00BE51ED">
        <w:fldChar w:fldCharType="begin"/>
      </w:r>
      <w:r w:rsidRPr="00BE51ED">
        <w:instrText xml:space="preserve"> PAGEREF _Toc370983444 \h </w:instrText>
      </w:r>
      <w:r w:rsidRPr="00BE51ED">
        <w:fldChar w:fldCharType="separate"/>
      </w:r>
      <w:r w:rsidRPr="00BE51ED">
        <w:t>170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77</w:t>
      </w:r>
      <w:r w:rsidRPr="00BE51ED">
        <w:rPr>
          <w:rFonts w:cs="Tahoma"/>
        </w:rPr>
        <w:t xml:space="preserve"> SharePoint Online Plan 1 und 2</w:t>
      </w:r>
      <w:r w:rsidRPr="00BE51ED">
        <w:tab/>
      </w:r>
      <w:r w:rsidRPr="00BE51ED">
        <w:fldChar w:fldCharType="begin"/>
      </w:r>
      <w:r w:rsidRPr="00BE51ED">
        <w:instrText xml:space="preserve"> PAGEREF _Toc370983445 \h </w:instrText>
      </w:r>
      <w:r w:rsidRPr="00BE51ED">
        <w:fldChar w:fldCharType="separate"/>
      </w:r>
      <w:r w:rsidRPr="00BE51ED">
        <w:t>170</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78</w:t>
      </w:r>
      <w:r w:rsidRPr="00BE51ED">
        <w:rPr>
          <w:rFonts w:cs="Tahoma"/>
          <w:caps/>
          <w:lang w:val="de-DE"/>
        </w:rPr>
        <w:t xml:space="preserve"> </w:t>
      </w:r>
      <w:r w:rsidRPr="00BE51ED">
        <w:rPr>
          <w:rFonts w:cs="Tahoma"/>
          <w:lang w:val="de-DE"/>
        </w:rPr>
        <w:t>SharePoint Server 2013</w:t>
      </w:r>
      <w:r w:rsidRPr="00BE51ED">
        <w:tab/>
      </w:r>
      <w:r w:rsidRPr="00BE51ED">
        <w:fldChar w:fldCharType="begin"/>
      </w:r>
      <w:r w:rsidRPr="00BE51ED">
        <w:instrText xml:space="preserve"> PAGEREF _Toc370983446 \h </w:instrText>
      </w:r>
      <w:r w:rsidRPr="00BE51ED">
        <w:fldChar w:fldCharType="separate"/>
      </w:r>
      <w:r w:rsidRPr="00BE51ED">
        <w:t>171</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79</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2008 R2 Datacenter</w:t>
      </w:r>
      <w:r w:rsidRPr="00BE51ED">
        <w:rPr>
          <w:color w:val="auto"/>
        </w:rPr>
        <w:tab/>
      </w:r>
      <w:r w:rsidRPr="00BE51ED">
        <w:rPr>
          <w:color w:val="auto"/>
        </w:rPr>
        <w:fldChar w:fldCharType="begin"/>
      </w:r>
      <w:r w:rsidRPr="00BE51ED">
        <w:rPr>
          <w:color w:val="auto"/>
        </w:rPr>
        <w:instrText xml:space="preserve"> PAGEREF _Toc370983447 \h </w:instrText>
      </w:r>
      <w:r w:rsidRPr="00BE51ED">
        <w:rPr>
          <w:color w:val="auto"/>
        </w:rPr>
      </w:r>
      <w:r w:rsidRPr="00BE51ED">
        <w:rPr>
          <w:color w:val="auto"/>
        </w:rPr>
        <w:fldChar w:fldCharType="separate"/>
      </w:r>
      <w:r w:rsidRPr="00BE51ED">
        <w:rPr>
          <w:color w:val="auto"/>
        </w:rPr>
        <w:t>173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80</w:t>
      </w:r>
      <w:r w:rsidRPr="00BE51ED">
        <w:rPr>
          <w:caps/>
          <w:color w:val="auto"/>
          <w:lang w:val="de-DE"/>
        </w:rPr>
        <w:t xml:space="preserve"> </w:t>
      </w:r>
      <w:r w:rsidRPr="00BE51ED">
        <w:rPr>
          <w:color w:val="auto"/>
          <w:lang w:val="de-DE"/>
        </w:rPr>
        <w:t>SQL Server</w:t>
      </w:r>
      <w:r w:rsidRPr="00BE51ED">
        <w:rPr>
          <w:color w:val="auto"/>
          <w:vertAlign w:val="superscript"/>
          <w:lang w:val="de-DE"/>
        </w:rPr>
        <w:t>®</w:t>
      </w:r>
      <w:r w:rsidRPr="00BE51ED">
        <w:rPr>
          <w:color w:val="auto"/>
          <w:lang w:val="de-DE"/>
        </w:rPr>
        <w:t xml:space="preserve"> 2008 R2 Small Business</w:t>
      </w:r>
      <w:r w:rsidRPr="00BE51ED">
        <w:rPr>
          <w:color w:val="auto"/>
        </w:rPr>
        <w:tab/>
      </w:r>
      <w:r w:rsidRPr="00BE51ED">
        <w:rPr>
          <w:color w:val="auto"/>
        </w:rPr>
        <w:fldChar w:fldCharType="begin"/>
      </w:r>
      <w:r w:rsidRPr="00BE51ED">
        <w:rPr>
          <w:color w:val="auto"/>
        </w:rPr>
        <w:instrText xml:space="preserve"> PAGEREF _Toc370983448 \h </w:instrText>
      </w:r>
      <w:r w:rsidRPr="00BE51ED">
        <w:rPr>
          <w:color w:val="auto"/>
        </w:rPr>
      </w:r>
      <w:r w:rsidRPr="00BE51ED">
        <w:rPr>
          <w:color w:val="auto"/>
        </w:rPr>
        <w:fldChar w:fldCharType="separate"/>
      </w:r>
      <w:r w:rsidRPr="00BE51ED">
        <w:rPr>
          <w:color w:val="auto"/>
        </w:rPr>
        <w:t>175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81</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2008 R2 Web-Prozessor</w:t>
      </w:r>
      <w:r w:rsidRPr="00BE51ED">
        <w:rPr>
          <w:color w:val="auto"/>
        </w:rPr>
        <w:tab/>
      </w:r>
      <w:r w:rsidRPr="00BE51ED">
        <w:rPr>
          <w:color w:val="auto"/>
        </w:rPr>
        <w:fldChar w:fldCharType="begin"/>
      </w:r>
      <w:r w:rsidRPr="00BE51ED">
        <w:rPr>
          <w:color w:val="auto"/>
        </w:rPr>
        <w:instrText xml:space="preserve"> PAGEREF _Toc370983449 \h </w:instrText>
      </w:r>
      <w:r w:rsidRPr="00BE51ED">
        <w:rPr>
          <w:color w:val="auto"/>
        </w:rPr>
      </w:r>
      <w:r w:rsidRPr="00BE51ED">
        <w:rPr>
          <w:color w:val="auto"/>
        </w:rPr>
        <w:fldChar w:fldCharType="separate"/>
      </w:r>
      <w:r w:rsidRPr="00BE51ED">
        <w:rPr>
          <w:color w:val="auto"/>
        </w:rPr>
        <w:t>175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vertAlign w:val="superscript"/>
          <w:lang w:val="de-DE"/>
        </w:rPr>
        <w:t>82</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2008 R2 Workgroup (Add-On für 5 Clients)</w:t>
      </w:r>
      <w:r w:rsidRPr="00BE51ED">
        <w:rPr>
          <w:color w:val="auto"/>
        </w:rPr>
        <w:tab/>
      </w:r>
      <w:r w:rsidRPr="00BE51ED">
        <w:rPr>
          <w:color w:val="auto"/>
        </w:rPr>
        <w:fldChar w:fldCharType="begin"/>
      </w:r>
      <w:r w:rsidRPr="00BE51ED">
        <w:rPr>
          <w:color w:val="auto"/>
        </w:rPr>
        <w:instrText xml:space="preserve"> PAGEREF _Toc370983450 \h </w:instrText>
      </w:r>
      <w:r w:rsidRPr="00BE51ED">
        <w:rPr>
          <w:color w:val="auto"/>
        </w:rPr>
      </w:r>
      <w:r w:rsidRPr="00BE51ED">
        <w:rPr>
          <w:color w:val="auto"/>
        </w:rPr>
        <w:fldChar w:fldCharType="separate"/>
      </w:r>
      <w:r w:rsidRPr="00BE51ED">
        <w:rPr>
          <w:color w:val="auto"/>
        </w:rPr>
        <w:t>178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vertAlign w:val="superscript"/>
          <w:lang w:val="de-DE"/>
        </w:rPr>
        <w:t>83</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2008 R2 Workgroup Prozessor</w:t>
      </w:r>
      <w:r w:rsidRPr="00BE51ED">
        <w:rPr>
          <w:color w:val="auto"/>
        </w:rPr>
        <w:tab/>
      </w:r>
      <w:r w:rsidRPr="00BE51ED">
        <w:rPr>
          <w:color w:val="auto"/>
        </w:rPr>
        <w:fldChar w:fldCharType="begin"/>
      </w:r>
      <w:r w:rsidRPr="00BE51ED">
        <w:rPr>
          <w:color w:val="auto"/>
        </w:rPr>
        <w:instrText xml:space="preserve"> PAGEREF _Toc370983451 \h </w:instrText>
      </w:r>
      <w:r w:rsidRPr="00BE51ED">
        <w:rPr>
          <w:color w:val="auto"/>
        </w:rPr>
      </w:r>
      <w:r w:rsidRPr="00BE51ED">
        <w:rPr>
          <w:color w:val="auto"/>
        </w:rPr>
        <w:fldChar w:fldCharType="separate"/>
      </w:r>
      <w:r w:rsidRPr="00BE51ED">
        <w:rPr>
          <w:color w:val="auto"/>
        </w:rPr>
        <w:t>178</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vertAlign w:val="superscript"/>
          <w:lang w:val="de-DE"/>
        </w:rPr>
        <w:t>84</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2012 Developer</w:t>
      </w:r>
      <w:r w:rsidRPr="00BE51ED">
        <w:rPr>
          <w:color w:val="auto"/>
        </w:rPr>
        <w:tab/>
      </w:r>
      <w:r w:rsidRPr="00BE51ED">
        <w:rPr>
          <w:color w:val="auto"/>
        </w:rPr>
        <w:fldChar w:fldCharType="begin"/>
      </w:r>
      <w:r w:rsidRPr="00BE51ED">
        <w:rPr>
          <w:color w:val="auto"/>
        </w:rPr>
        <w:instrText xml:space="preserve"> PAGEREF _Toc370983452 \h </w:instrText>
      </w:r>
      <w:r w:rsidRPr="00BE51ED">
        <w:rPr>
          <w:color w:val="auto"/>
        </w:rPr>
      </w:r>
      <w:r w:rsidRPr="00BE51ED">
        <w:rPr>
          <w:color w:val="auto"/>
        </w:rPr>
        <w:fldChar w:fldCharType="separate"/>
      </w:r>
      <w:r w:rsidRPr="00BE51ED">
        <w:rPr>
          <w:color w:val="auto"/>
        </w:rPr>
        <w:t>181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olor w:val="auto"/>
          <w:vertAlign w:val="superscript"/>
          <w:lang w:val="de-DE"/>
        </w:rPr>
        <w:t>85</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2012 Enterprise</w:t>
      </w:r>
      <w:r w:rsidRPr="00BE51ED">
        <w:rPr>
          <w:color w:val="auto"/>
        </w:rPr>
        <w:tab/>
      </w:r>
      <w:r w:rsidRPr="00BE51ED">
        <w:rPr>
          <w:color w:val="auto"/>
        </w:rPr>
        <w:fldChar w:fldCharType="begin"/>
      </w:r>
      <w:r w:rsidRPr="00BE51ED">
        <w:rPr>
          <w:color w:val="auto"/>
        </w:rPr>
        <w:instrText xml:space="preserve"> PAGEREF _Toc370983453 \h </w:instrText>
      </w:r>
      <w:r w:rsidRPr="00BE51ED">
        <w:rPr>
          <w:color w:val="auto"/>
        </w:rPr>
      </w:r>
      <w:r w:rsidRPr="00BE51ED">
        <w:rPr>
          <w:color w:val="auto"/>
        </w:rPr>
        <w:fldChar w:fldCharType="separate"/>
      </w:r>
      <w:r w:rsidRPr="00BE51ED">
        <w:rPr>
          <w:color w:val="auto"/>
        </w:rPr>
        <w:t>181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86</w:t>
      </w:r>
      <w:r w:rsidRPr="00BE51ED">
        <w:rPr>
          <w:caps/>
          <w:color w:val="auto"/>
          <w:lang w:val="de-DE"/>
        </w:rPr>
        <w:t xml:space="preserve"> </w:t>
      </w:r>
      <w:r w:rsidRPr="00BE51ED">
        <w:rPr>
          <w:color w:val="auto"/>
          <w:lang w:val="de-DE"/>
        </w:rPr>
        <w:t>SQL Server</w:t>
      </w:r>
      <w:r w:rsidRPr="00BE51ED">
        <w:rPr>
          <w:color w:val="auto"/>
          <w:vertAlign w:val="superscript"/>
          <w:lang w:val="de-DE"/>
        </w:rPr>
        <w:t>®</w:t>
      </w:r>
      <w:r w:rsidRPr="00BE51ED">
        <w:rPr>
          <w:color w:val="auto"/>
          <w:lang w:val="de-DE"/>
        </w:rPr>
        <w:t xml:space="preserve"> 2012 Enterprise Core</w:t>
      </w:r>
      <w:r w:rsidRPr="00BE51ED">
        <w:rPr>
          <w:color w:val="auto"/>
        </w:rPr>
        <w:tab/>
      </w:r>
      <w:r w:rsidRPr="00BE51ED">
        <w:rPr>
          <w:color w:val="auto"/>
        </w:rPr>
        <w:fldChar w:fldCharType="begin"/>
      </w:r>
      <w:r w:rsidRPr="00BE51ED">
        <w:rPr>
          <w:color w:val="auto"/>
        </w:rPr>
        <w:instrText xml:space="preserve"> PAGEREF _Toc370983454 \h </w:instrText>
      </w:r>
      <w:r w:rsidRPr="00BE51ED">
        <w:rPr>
          <w:color w:val="auto"/>
        </w:rPr>
      </w:r>
      <w:r w:rsidRPr="00BE51ED">
        <w:rPr>
          <w:color w:val="auto"/>
        </w:rPr>
        <w:fldChar w:fldCharType="separate"/>
      </w:r>
      <w:r w:rsidRPr="00BE51ED">
        <w:rPr>
          <w:color w:val="auto"/>
        </w:rPr>
        <w:t>182</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87</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2012 Parallel Data Warehouse</w:t>
      </w:r>
      <w:r w:rsidRPr="00BE51ED">
        <w:rPr>
          <w:color w:val="auto"/>
        </w:rPr>
        <w:tab/>
      </w:r>
      <w:r w:rsidRPr="00BE51ED">
        <w:rPr>
          <w:color w:val="auto"/>
        </w:rPr>
        <w:fldChar w:fldCharType="begin"/>
      </w:r>
      <w:r w:rsidRPr="00BE51ED">
        <w:rPr>
          <w:color w:val="auto"/>
        </w:rPr>
        <w:instrText xml:space="preserve"> PAGEREF _Toc370983455 \h </w:instrText>
      </w:r>
      <w:r w:rsidRPr="00BE51ED">
        <w:rPr>
          <w:color w:val="auto"/>
        </w:rPr>
      </w:r>
      <w:r w:rsidRPr="00BE51ED">
        <w:rPr>
          <w:color w:val="auto"/>
        </w:rPr>
        <w:fldChar w:fldCharType="separate"/>
      </w:r>
      <w:r w:rsidRPr="00BE51ED">
        <w:rPr>
          <w:color w:val="auto"/>
        </w:rPr>
        <w:t>185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88</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2012 Standard</w:t>
      </w:r>
      <w:r w:rsidRPr="00BE51ED">
        <w:rPr>
          <w:color w:val="auto"/>
        </w:rPr>
        <w:tab/>
      </w:r>
      <w:r w:rsidRPr="00BE51ED">
        <w:rPr>
          <w:color w:val="auto"/>
        </w:rPr>
        <w:fldChar w:fldCharType="begin"/>
      </w:r>
      <w:r w:rsidRPr="00BE51ED">
        <w:rPr>
          <w:color w:val="auto"/>
        </w:rPr>
        <w:instrText xml:space="preserve"> PAGEREF _Toc370983456 \h </w:instrText>
      </w:r>
      <w:r w:rsidRPr="00BE51ED">
        <w:rPr>
          <w:color w:val="auto"/>
        </w:rPr>
      </w:r>
      <w:r w:rsidRPr="00BE51ED">
        <w:rPr>
          <w:color w:val="auto"/>
        </w:rPr>
        <w:fldChar w:fldCharType="separate"/>
      </w:r>
      <w:r w:rsidRPr="00BE51ED">
        <w:rPr>
          <w:color w:val="auto"/>
        </w:rPr>
        <w:t>185</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89</w:t>
      </w:r>
      <w:r w:rsidRPr="00BE51ED">
        <w:rPr>
          <w:color w:val="auto"/>
          <w:lang w:val="de-DE"/>
        </w:rPr>
        <w:t xml:space="preserve"> SQL Server</w:t>
      </w:r>
      <w:r w:rsidRPr="00BE51ED">
        <w:rPr>
          <w:color w:val="auto"/>
          <w:vertAlign w:val="superscript"/>
          <w:lang w:val="de-DE"/>
        </w:rPr>
        <w:t>®</w:t>
      </w:r>
      <w:r w:rsidRPr="00BE51ED">
        <w:rPr>
          <w:color w:val="auto"/>
          <w:lang w:val="de-DE"/>
        </w:rPr>
        <w:t xml:space="preserve"> 2012 Standard</w:t>
      </w:r>
      <w:r w:rsidRPr="00BE51ED">
        <w:rPr>
          <w:rFonts w:eastAsia="Calibri"/>
          <w:color w:val="auto"/>
          <w:lang w:val="de-DE"/>
        </w:rPr>
        <w:t xml:space="preserve"> Core</w:t>
      </w:r>
      <w:r w:rsidRPr="00BE51ED">
        <w:rPr>
          <w:color w:val="auto"/>
        </w:rPr>
        <w:tab/>
      </w:r>
      <w:r w:rsidRPr="00BE51ED">
        <w:rPr>
          <w:color w:val="auto"/>
        </w:rPr>
        <w:fldChar w:fldCharType="begin"/>
      </w:r>
      <w:r w:rsidRPr="00BE51ED">
        <w:rPr>
          <w:color w:val="auto"/>
        </w:rPr>
        <w:instrText xml:space="preserve"> PAGEREF _Toc370983457 \h </w:instrText>
      </w:r>
      <w:r w:rsidRPr="00BE51ED">
        <w:rPr>
          <w:color w:val="auto"/>
        </w:rPr>
      </w:r>
      <w:r w:rsidRPr="00BE51ED">
        <w:rPr>
          <w:color w:val="auto"/>
        </w:rPr>
        <w:fldChar w:fldCharType="separate"/>
      </w:r>
      <w:r w:rsidRPr="00BE51ED">
        <w:rPr>
          <w:color w:val="auto"/>
        </w:rPr>
        <w:t>186</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90</w:t>
      </w:r>
      <w:r w:rsidRPr="00BE51ED">
        <w:rPr>
          <w:color w:val="auto"/>
          <w:lang w:val="de-DE"/>
        </w:rPr>
        <w:t xml:space="preserve"> System Center Essentials 2010</w:t>
      </w:r>
      <w:r w:rsidRPr="00BE51ED">
        <w:rPr>
          <w:color w:val="auto"/>
        </w:rPr>
        <w:tab/>
      </w:r>
      <w:r w:rsidRPr="00BE51ED">
        <w:rPr>
          <w:color w:val="auto"/>
        </w:rPr>
        <w:fldChar w:fldCharType="begin"/>
      </w:r>
      <w:r w:rsidRPr="00BE51ED">
        <w:rPr>
          <w:color w:val="auto"/>
        </w:rPr>
        <w:instrText xml:space="preserve"> PAGEREF _Toc370983458 \h </w:instrText>
      </w:r>
      <w:r w:rsidRPr="00BE51ED">
        <w:rPr>
          <w:color w:val="auto"/>
        </w:rPr>
      </w:r>
      <w:r w:rsidRPr="00BE51ED">
        <w:rPr>
          <w:color w:val="auto"/>
        </w:rPr>
        <w:fldChar w:fldCharType="separate"/>
      </w:r>
      <w:r w:rsidRPr="00BE51ED">
        <w:rPr>
          <w:color w:val="auto"/>
        </w:rPr>
        <w:t>189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91</w:t>
      </w:r>
      <w:r w:rsidRPr="00BE51ED">
        <w:rPr>
          <w:color w:val="auto"/>
          <w:lang w:val="de-DE"/>
        </w:rPr>
        <w:t xml:space="preserve"> System Center Reporting Manager 2006</w:t>
      </w:r>
      <w:r w:rsidRPr="00BE51ED">
        <w:rPr>
          <w:color w:val="auto"/>
        </w:rPr>
        <w:tab/>
      </w:r>
      <w:r w:rsidRPr="00BE51ED">
        <w:rPr>
          <w:color w:val="auto"/>
        </w:rPr>
        <w:fldChar w:fldCharType="begin"/>
      </w:r>
      <w:r w:rsidRPr="00BE51ED">
        <w:rPr>
          <w:color w:val="auto"/>
        </w:rPr>
        <w:instrText xml:space="preserve"> PAGEREF _Toc370983459 \h </w:instrText>
      </w:r>
      <w:r w:rsidRPr="00BE51ED">
        <w:rPr>
          <w:color w:val="auto"/>
        </w:rPr>
      </w:r>
      <w:r w:rsidRPr="00BE51ED">
        <w:rPr>
          <w:color w:val="auto"/>
        </w:rPr>
        <w:fldChar w:fldCharType="separate"/>
      </w:r>
      <w:r w:rsidRPr="00BE51ED">
        <w:rPr>
          <w:color w:val="auto"/>
        </w:rPr>
        <w:t>190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92</w:t>
      </w:r>
      <w:r w:rsidRPr="00BE51ED">
        <w:rPr>
          <w:caps/>
          <w:color w:val="auto"/>
          <w:lang w:val="de-DE"/>
        </w:rPr>
        <w:t xml:space="preserve"> </w:t>
      </w:r>
      <w:r w:rsidRPr="00BE51ED">
        <w:rPr>
          <w:color w:val="auto"/>
          <w:lang w:val="de-DE"/>
        </w:rPr>
        <w:t>System Center Server Management Suite Enterprise</w:t>
      </w:r>
      <w:r w:rsidRPr="00BE51ED">
        <w:rPr>
          <w:color w:val="auto"/>
        </w:rPr>
        <w:tab/>
      </w:r>
      <w:r w:rsidRPr="00BE51ED">
        <w:rPr>
          <w:color w:val="auto"/>
        </w:rPr>
        <w:fldChar w:fldCharType="begin"/>
      </w:r>
      <w:r w:rsidRPr="00BE51ED">
        <w:rPr>
          <w:color w:val="auto"/>
        </w:rPr>
        <w:instrText xml:space="preserve"> PAGEREF _Toc370983460 \h </w:instrText>
      </w:r>
      <w:r w:rsidRPr="00BE51ED">
        <w:rPr>
          <w:color w:val="auto"/>
        </w:rPr>
      </w:r>
      <w:r w:rsidRPr="00BE51ED">
        <w:rPr>
          <w:color w:val="auto"/>
        </w:rPr>
        <w:fldChar w:fldCharType="separate"/>
      </w:r>
      <w:r w:rsidRPr="00BE51ED">
        <w:rPr>
          <w:color w:val="auto"/>
        </w:rPr>
        <w:t>191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93</w:t>
      </w:r>
      <w:r w:rsidRPr="00BE51ED">
        <w:rPr>
          <w:caps/>
          <w:color w:val="auto"/>
          <w:lang w:val="de-DE"/>
        </w:rPr>
        <w:t xml:space="preserve"> </w:t>
      </w:r>
      <w:r w:rsidRPr="00BE51ED">
        <w:rPr>
          <w:color w:val="auto"/>
          <w:lang w:val="de-DE"/>
        </w:rPr>
        <w:t>System Center Server Management Suite Datacenter</w:t>
      </w:r>
      <w:r w:rsidRPr="00BE51ED">
        <w:rPr>
          <w:color w:val="auto"/>
        </w:rPr>
        <w:tab/>
      </w:r>
      <w:r w:rsidRPr="00BE51ED">
        <w:rPr>
          <w:color w:val="auto"/>
        </w:rPr>
        <w:fldChar w:fldCharType="begin"/>
      </w:r>
      <w:r w:rsidRPr="00BE51ED">
        <w:rPr>
          <w:color w:val="auto"/>
        </w:rPr>
        <w:instrText xml:space="preserve"> PAGEREF _Toc370983461 \h </w:instrText>
      </w:r>
      <w:r w:rsidRPr="00BE51ED">
        <w:rPr>
          <w:color w:val="auto"/>
        </w:rPr>
      </w:r>
      <w:r w:rsidRPr="00BE51ED">
        <w:rPr>
          <w:color w:val="auto"/>
        </w:rPr>
        <w:fldChar w:fldCharType="separate"/>
      </w:r>
      <w:r w:rsidRPr="00BE51ED">
        <w:rPr>
          <w:color w:val="auto"/>
        </w:rPr>
        <w:t>192</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94</w:t>
      </w:r>
      <w:r w:rsidRPr="00BE51ED">
        <w:rPr>
          <w:color w:val="auto"/>
          <w:lang w:val="de-DE"/>
        </w:rPr>
        <w:t xml:space="preserve"> System Center 2012 R2 Datacenter</w:t>
      </w:r>
      <w:r w:rsidRPr="00BE51ED">
        <w:rPr>
          <w:color w:val="auto"/>
        </w:rPr>
        <w:tab/>
      </w:r>
      <w:r w:rsidRPr="00BE51ED">
        <w:rPr>
          <w:color w:val="auto"/>
        </w:rPr>
        <w:fldChar w:fldCharType="begin"/>
      </w:r>
      <w:r w:rsidRPr="00BE51ED">
        <w:rPr>
          <w:color w:val="auto"/>
        </w:rPr>
        <w:instrText xml:space="preserve"> PAGEREF _Toc370983462 \h </w:instrText>
      </w:r>
      <w:r w:rsidRPr="00BE51ED">
        <w:rPr>
          <w:color w:val="auto"/>
        </w:rPr>
      </w:r>
      <w:r w:rsidRPr="00BE51ED">
        <w:rPr>
          <w:color w:val="auto"/>
        </w:rPr>
        <w:fldChar w:fldCharType="separate"/>
      </w:r>
      <w:r w:rsidRPr="00BE51ED">
        <w:rPr>
          <w:color w:val="auto"/>
        </w:rPr>
        <w:t>192</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95</w:t>
      </w:r>
      <w:r w:rsidRPr="00BE51ED">
        <w:rPr>
          <w:color w:val="auto"/>
        </w:rPr>
        <w:t xml:space="preserve"> System Center 2012 R2 Standard</w:t>
      </w:r>
      <w:r w:rsidRPr="00BE51ED">
        <w:rPr>
          <w:color w:val="auto"/>
        </w:rPr>
        <w:tab/>
      </w:r>
      <w:r w:rsidRPr="00BE51ED">
        <w:rPr>
          <w:color w:val="auto"/>
        </w:rPr>
        <w:fldChar w:fldCharType="begin"/>
      </w:r>
      <w:r w:rsidRPr="00BE51ED">
        <w:rPr>
          <w:color w:val="auto"/>
        </w:rPr>
        <w:instrText xml:space="preserve"> PAGEREF _Toc370983463 \h </w:instrText>
      </w:r>
      <w:r w:rsidRPr="00BE51ED">
        <w:rPr>
          <w:color w:val="auto"/>
        </w:rPr>
      </w:r>
      <w:r w:rsidRPr="00BE51ED">
        <w:rPr>
          <w:color w:val="auto"/>
        </w:rPr>
        <w:fldChar w:fldCharType="separate"/>
      </w:r>
      <w:r w:rsidRPr="00BE51ED">
        <w:rPr>
          <w:color w:val="auto"/>
        </w:rPr>
        <w:t>193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fr-FR"/>
        </w:rPr>
        <w:t>96</w:t>
      </w:r>
      <w:r w:rsidRPr="00BE51ED">
        <w:rPr>
          <w:color w:val="auto"/>
          <w:lang w:val="fr-FR"/>
        </w:rPr>
        <w:t xml:space="preserve"> System Center 2012 R2 Client Management Suite</w:t>
      </w:r>
      <w:r w:rsidRPr="00BE51ED">
        <w:rPr>
          <w:color w:val="auto"/>
        </w:rPr>
        <w:tab/>
      </w:r>
      <w:r w:rsidRPr="00BE51ED">
        <w:rPr>
          <w:color w:val="auto"/>
        </w:rPr>
        <w:fldChar w:fldCharType="begin"/>
      </w:r>
      <w:r w:rsidRPr="00BE51ED">
        <w:rPr>
          <w:color w:val="auto"/>
        </w:rPr>
        <w:instrText xml:space="preserve"> PAGEREF _Toc370983464 \h </w:instrText>
      </w:r>
      <w:r w:rsidRPr="00BE51ED">
        <w:rPr>
          <w:color w:val="auto"/>
        </w:rPr>
      </w:r>
      <w:r w:rsidRPr="00BE51ED">
        <w:rPr>
          <w:color w:val="auto"/>
        </w:rPr>
        <w:fldChar w:fldCharType="separate"/>
      </w:r>
      <w:r w:rsidRPr="00BE51ED">
        <w:rPr>
          <w:color w:val="auto"/>
        </w:rPr>
        <w:t>193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97</w:t>
      </w:r>
      <w:r w:rsidRPr="00BE51ED">
        <w:rPr>
          <w:color w:val="auto"/>
        </w:rPr>
        <w:t xml:space="preserve"> System Center 2012 R2 Configuration Manager</w:t>
      </w:r>
      <w:r w:rsidRPr="00BE51ED">
        <w:rPr>
          <w:color w:val="auto"/>
        </w:rPr>
        <w:tab/>
      </w:r>
      <w:r w:rsidRPr="00BE51ED">
        <w:rPr>
          <w:color w:val="auto"/>
        </w:rPr>
        <w:fldChar w:fldCharType="begin"/>
      </w:r>
      <w:r w:rsidRPr="00BE51ED">
        <w:rPr>
          <w:color w:val="auto"/>
        </w:rPr>
        <w:instrText xml:space="preserve"> PAGEREF _Toc370983465 \h </w:instrText>
      </w:r>
      <w:r w:rsidRPr="00BE51ED">
        <w:rPr>
          <w:color w:val="auto"/>
        </w:rPr>
      </w:r>
      <w:r w:rsidRPr="00BE51ED">
        <w:rPr>
          <w:color w:val="auto"/>
        </w:rPr>
        <w:fldChar w:fldCharType="separate"/>
      </w:r>
      <w:r w:rsidRPr="00BE51ED">
        <w:rPr>
          <w:color w:val="auto"/>
        </w:rPr>
        <w:t>193</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98</w:t>
      </w:r>
      <w:r w:rsidRPr="00BE51ED">
        <w:rPr>
          <w:color w:val="auto"/>
        </w:rPr>
        <w:t xml:space="preserve"> System Center 2012 R2 Endpoint Protection</w:t>
      </w:r>
      <w:r w:rsidRPr="00BE51ED">
        <w:rPr>
          <w:color w:val="auto"/>
        </w:rPr>
        <w:tab/>
      </w:r>
      <w:r w:rsidRPr="00BE51ED">
        <w:rPr>
          <w:color w:val="auto"/>
        </w:rPr>
        <w:fldChar w:fldCharType="begin"/>
      </w:r>
      <w:r w:rsidRPr="00BE51ED">
        <w:rPr>
          <w:color w:val="auto"/>
        </w:rPr>
        <w:instrText xml:space="preserve"> PAGEREF _Toc370983466 \h </w:instrText>
      </w:r>
      <w:r w:rsidRPr="00BE51ED">
        <w:rPr>
          <w:color w:val="auto"/>
        </w:rPr>
      </w:r>
      <w:r w:rsidRPr="00BE51ED">
        <w:rPr>
          <w:color w:val="auto"/>
        </w:rPr>
        <w:fldChar w:fldCharType="separate"/>
      </w:r>
      <w:r w:rsidRPr="00BE51ED">
        <w:rPr>
          <w:color w:val="auto"/>
        </w:rPr>
        <w:t>193</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99</w:t>
      </w:r>
      <w:r w:rsidRPr="00BE51ED">
        <w:rPr>
          <w:rFonts w:cs="Tahoma"/>
          <w:caps/>
          <w:lang w:val="de-DE"/>
        </w:rPr>
        <w:t xml:space="preserve"> </w:t>
      </w:r>
      <w:r w:rsidRPr="00BE51ED">
        <w:rPr>
          <w:rFonts w:cs="Tahoma"/>
          <w:lang w:val="de-DE"/>
        </w:rPr>
        <w:t>Windows Azure-Dienste</w:t>
      </w:r>
      <w:r w:rsidRPr="00BE51ED">
        <w:tab/>
      </w:r>
      <w:r w:rsidRPr="00BE51ED">
        <w:fldChar w:fldCharType="begin"/>
      </w:r>
      <w:r w:rsidRPr="00BE51ED">
        <w:instrText xml:space="preserve"> PAGEREF _Toc370983467 \h </w:instrText>
      </w:r>
      <w:r w:rsidRPr="00BE51ED">
        <w:fldChar w:fldCharType="separate"/>
      </w:r>
      <w:r w:rsidRPr="00BE51ED">
        <w:t>194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100</w:t>
      </w:r>
      <w:r w:rsidRPr="00BE51ED">
        <w:rPr>
          <w:rFonts w:cs="Tahoma"/>
        </w:rPr>
        <w:t xml:space="preserve"> Windows Embedded Device Manager 2011 – Management Server-Lizenz</w:t>
      </w:r>
      <w:r w:rsidRPr="00BE51ED">
        <w:tab/>
      </w:r>
      <w:r w:rsidRPr="00BE51ED">
        <w:fldChar w:fldCharType="begin"/>
      </w:r>
      <w:r w:rsidRPr="00BE51ED">
        <w:instrText xml:space="preserve"> PAGEREF _Toc370983468 \h </w:instrText>
      </w:r>
      <w:r w:rsidRPr="00BE51ED">
        <w:fldChar w:fldCharType="separate"/>
      </w:r>
      <w:r w:rsidRPr="00BE51ED">
        <w:t>194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101</w:t>
      </w:r>
      <w:r w:rsidRPr="00BE51ED">
        <w:rPr>
          <w:rFonts w:cs="Tahoma"/>
        </w:rPr>
        <w:t xml:space="preserve"> Windows Embedded Device Manager 2011 – Client-Management-Lizenz</w:t>
      </w:r>
      <w:r w:rsidRPr="00BE51ED">
        <w:tab/>
      </w:r>
      <w:r w:rsidRPr="00BE51ED">
        <w:fldChar w:fldCharType="begin"/>
      </w:r>
      <w:r w:rsidRPr="00BE51ED">
        <w:instrText xml:space="preserve"> PAGEREF _Toc370983469 \h </w:instrText>
      </w:r>
      <w:r w:rsidRPr="00BE51ED">
        <w:fldChar w:fldCharType="separate"/>
      </w:r>
      <w:r w:rsidRPr="00BE51ED">
        <w:t>195</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102</w:t>
      </w:r>
      <w:r w:rsidRPr="00BE51ED">
        <w:rPr>
          <w:caps/>
          <w:color w:val="auto"/>
          <w:lang w:val="de-DE"/>
        </w:rPr>
        <w:t xml:space="preserve"> </w:t>
      </w:r>
      <w:r w:rsidRPr="00BE51ED">
        <w:rPr>
          <w:color w:val="auto"/>
          <w:lang w:val="de-DE"/>
        </w:rPr>
        <w:t>Windows EBS 2008 Standard und EBS 2008 Premium</w:t>
      </w:r>
      <w:r w:rsidRPr="00BE51ED">
        <w:rPr>
          <w:color w:val="auto"/>
        </w:rPr>
        <w:tab/>
      </w:r>
      <w:r w:rsidRPr="00BE51ED">
        <w:rPr>
          <w:color w:val="auto"/>
        </w:rPr>
        <w:fldChar w:fldCharType="begin"/>
      </w:r>
      <w:r w:rsidRPr="00BE51ED">
        <w:rPr>
          <w:color w:val="auto"/>
        </w:rPr>
        <w:instrText xml:space="preserve"> PAGEREF _Toc370983470 \h </w:instrText>
      </w:r>
      <w:r w:rsidRPr="00BE51ED">
        <w:rPr>
          <w:color w:val="auto"/>
        </w:rPr>
      </w:r>
      <w:r w:rsidRPr="00BE51ED">
        <w:rPr>
          <w:color w:val="auto"/>
        </w:rPr>
        <w:fldChar w:fldCharType="separate"/>
      </w:r>
      <w:r w:rsidRPr="00BE51ED">
        <w:rPr>
          <w:color w:val="auto"/>
        </w:rPr>
        <w:t>196</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103</w:t>
      </w:r>
      <w:r w:rsidRPr="00BE51ED">
        <w:rPr>
          <w:caps/>
          <w:color w:val="auto"/>
          <w:lang w:val="de-DE"/>
        </w:rPr>
        <w:t xml:space="preserve"> </w:t>
      </w:r>
      <w:r w:rsidRPr="00BE51ED">
        <w:rPr>
          <w:color w:val="auto"/>
          <w:lang w:val="de-DE"/>
        </w:rPr>
        <w:t>Windows HPC Server 2008 R2 Suite</w:t>
      </w:r>
      <w:r w:rsidRPr="00BE51ED">
        <w:rPr>
          <w:color w:val="auto"/>
        </w:rPr>
        <w:tab/>
      </w:r>
      <w:r w:rsidRPr="00BE51ED">
        <w:rPr>
          <w:color w:val="auto"/>
        </w:rPr>
        <w:fldChar w:fldCharType="begin"/>
      </w:r>
      <w:r w:rsidRPr="00BE51ED">
        <w:rPr>
          <w:color w:val="auto"/>
        </w:rPr>
        <w:instrText xml:space="preserve"> PAGEREF _Toc370983471 \h </w:instrText>
      </w:r>
      <w:r w:rsidRPr="00BE51ED">
        <w:rPr>
          <w:color w:val="auto"/>
        </w:rPr>
      </w:r>
      <w:r w:rsidRPr="00BE51ED">
        <w:rPr>
          <w:color w:val="auto"/>
        </w:rPr>
        <w:fldChar w:fldCharType="separate"/>
      </w:r>
      <w:r w:rsidRPr="00BE51ED">
        <w:rPr>
          <w:color w:val="auto"/>
        </w:rPr>
        <w:t>198</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104</w:t>
      </w:r>
      <w:r w:rsidRPr="00BE51ED">
        <w:rPr>
          <w:rFonts w:cs="Tahoma"/>
          <w:caps/>
          <w:lang w:val="de-DE"/>
        </w:rPr>
        <w:t xml:space="preserve"> </w:t>
      </w:r>
      <w:r w:rsidRPr="00BE51ED">
        <w:rPr>
          <w:rFonts w:cs="Tahoma"/>
          <w:lang w:val="de-DE"/>
        </w:rPr>
        <w:t>Windows Multipoint Server 2012 Standard</w:t>
      </w:r>
      <w:r w:rsidRPr="00BE51ED">
        <w:tab/>
      </w:r>
      <w:r w:rsidRPr="00BE51ED">
        <w:fldChar w:fldCharType="begin"/>
      </w:r>
      <w:r w:rsidRPr="00BE51ED">
        <w:instrText xml:space="preserve"> PAGEREF _Toc370983472 \h </w:instrText>
      </w:r>
      <w:r w:rsidRPr="00BE51ED">
        <w:fldChar w:fldCharType="separate"/>
      </w:r>
      <w:r w:rsidRPr="00BE51ED">
        <w:t>198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lang w:val="de-DE"/>
        </w:rPr>
        <w:t>105</w:t>
      </w:r>
      <w:r w:rsidRPr="00BE51ED">
        <w:rPr>
          <w:rFonts w:cs="Tahoma"/>
          <w:caps/>
          <w:lang w:val="de-DE"/>
        </w:rPr>
        <w:t xml:space="preserve"> </w:t>
      </w:r>
      <w:r w:rsidRPr="00BE51ED">
        <w:rPr>
          <w:rFonts w:cs="Tahoma"/>
          <w:lang w:val="de-DE"/>
        </w:rPr>
        <w:t>Windows Multipoint Server 2012 Premium</w:t>
      </w:r>
      <w:r w:rsidRPr="00BE51ED">
        <w:tab/>
      </w:r>
      <w:r w:rsidRPr="00BE51ED">
        <w:fldChar w:fldCharType="begin"/>
      </w:r>
      <w:r w:rsidRPr="00BE51ED">
        <w:instrText xml:space="preserve"> PAGEREF _Toc370983473 \h </w:instrText>
      </w:r>
      <w:r w:rsidRPr="00BE51ED">
        <w:fldChar w:fldCharType="separate"/>
      </w:r>
      <w:r w:rsidRPr="00BE51ED">
        <w:t>198</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lastRenderedPageBreak/>
        <w:t>106</w:t>
      </w:r>
      <w:r w:rsidRPr="00BE51ED">
        <w:rPr>
          <w:rFonts w:cs="Tahoma"/>
        </w:rPr>
        <w:t xml:space="preserve"> CAL für Windows Multipoint Server 2012</w:t>
      </w:r>
      <w:r w:rsidRPr="00BE51ED">
        <w:tab/>
      </w:r>
      <w:r w:rsidRPr="00BE51ED">
        <w:fldChar w:fldCharType="begin"/>
      </w:r>
      <w:r w:rsidRPr="00BE51ED">
        <w:instrText xml:space="preserve"> PAGEREF _Toc370983474 \h </w:instrText>
      </w:r>
      <w:r w:rsidRPr="00BE51ED">
        <w:fldChar w:fldCharType="separate"/>
      </w:r>
      <w:r w:rsidRPr="00BE51ED">
        <w:t>198</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107</w:t>
      </w:r>
      <w:r w:rsidRPr="00BE51ED">
        <w:rPr>
          <w:color w:val="auto"/>
          <w:lang w:val="de-DE"/>
        </w:rPr>
        <w:t xml:space="preserve"> Windows Server 2008 R2 HPC Edition</w:t>
      </w:r>
      <w:r w:rsidRPr="00BE51ED">
        <w:rPr>
          <w:color w:val="auto"/>
        </w:rPr>
        <w:tab/>
      </w:r>
      <w:r w:rsidRPr="00BE51ED">
        <w:rPr>
          <w:color w:val="auto"/>
        </w:rPr>
        <w:fldChar w:fldCharType="begin"/>
      </w:r>
      <w:r w:rsidRPr="00BE51ED">
        <w:rPr>
          <w:color w:val="auto"/>
        </w:rPr>
        <w:instrText xml:space="preserve"> PAGEREF _Toc370983475 \h </w:instrText>
      </w:r>
      <w:r w:rsidRPr="00BE51ED">
        <w:rPr>
          <w:color w:val="auto"/>
        </w:rPr>
      </w:r>
      <w:r w:rsidRPr="00BE51ED">
        <w:rPr>
          <w:color w:val="auto"/>
        </w:rPr>
        <w:fldChar w:fldCharType="separate"/>
      </w:r>
      <w:r w:rsidRPr="00BE51ED">
        <w:rPr>
          <w:color w:val="auto"/>
        </w:rPr>
        <w:t>199</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108</w:t>
      </w:r>
      <w:r w:rsidRPr="00BE51ED">
        <w:rPr>
          <w:color w:val="auto"/>
          <w:lang w:val="de-DE"/>
        </w:rPr>
        <w:t xml:space="preserve"> Windows Server 2008 R2 Enterprise</w:t>
      </w:r>
      <w:r w:rsidRPr="00BE51ED">
        <w:rPr>
          <w:color w:val="auto"/>
        </w:rPr>
        <w:tab/>
      </w:r>
      <w:r w:rsidRPr="00BE51ED">
        <w:rPr>
          <w:color w:val="auto"/>
        </w:rPr>
        <w:fldChar w:fldCharType="begin"/>
      </w:r>
      <w:r w:rsidRPr="00BE51ED">
        <w:rPr>
          <w:color w:val="auto"/>
        </w:rPr>
        <w:instrText xml:space="preserve"> PAGEREF _Toc370983476 \h </w:instrText>
      </w:r>
      <w:r w:rsidRPr="00BE51ED">
        <w:rPr>
          <w:color w:val="auto"/>
        </w:rPr>
      </w:r>
      <w:r w:rsidRPr="00BE51ED">
        <w:rPr>
          <w:color w:val="auto"/>
        </w:rPr>
        <w:fldChar w:fldCharType="separate"/>
      </w:r>
      <w:r w:rsidRPr="00BE51ED">
        <w:rPr>
          <w:color w:val="auto"/>
        </w:rPr>
        <w:t>200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109</w:t>
      </w:r>
      <w:r w:rsidRPr="00BE51ED">
        <w:rPr>
          <w:color w:val="auto"/>
          <w:lang w:val="de-DE"/>
        </w:rPr>
        <w:t xml:space="preserve"> Windows Server 2008 R2 für Itanium-basierte Systeme</w:t>
      </w:r>
      <w:r w:rsidRPr="00BE51ED">
        <w:rPr>
          <w:color w:val="auto"/>
        </w:rPr>
        <w:tab/>
      </w:r>
      <w:r w:rsidRPr="00BE51ED">
        <w:rPr>
          <w:color w:val="auto"/>
        </w:rPr>
        <w:fldChar w:fldCharType="begin"/>
      </w:r>
      <w:r w:rsidRPr="00BE51ED">
        <w:rPr>
          <w:color w:val="auto"/>
        </w:rPr>
        <w:instrText xml:space="preserve"> PAGEREF _Toc370983477 \h </w:instrText>
      </w:r>
      <w:r w:rsidRPr="00BE51ED">
        <w:rPr>
          <w:color w:val="auto"/>
        </w:rPr>
      </w:r>
      <w:r w:rsidRPr="00BE51ED">
        <w:rPr>
          <w:color w:val="auto"/>
        </w:rPr>
        <w:fldChar w:fldCharType="separate"/>
      </w:r>
      <w:r w:rsidRPr="00BE51ED">
        <w:rPr>
          <w:color w:val="auto"/>
        </w:rPr>
        <w:t>200</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110</w:t>
      </w:r>
      <w:r w:rsidRPr="00BE51ED">
        <w:rPr>
          <w:caps/>
          <w:color w:val="auto"/>
          <w:lang w:val="de-DE"/>
        </w:rPr>
        <w:t xml:space="preserve"> </w:t>
      </w:r>
      <w:r w:rsidRPr="00BE51ED">
        <w:rPr>
          <w:color w:val="auto"/>
          <w:lang w:val="de-DE"/>
        </w:rPr>
        <w:t>CAL für Windows Server 2012</w:t>
      </w:r>
      <w:r w:rsidRPr="00BE51ED">
        <w:rPr>
          <w:color w:val="auto"/>
        </w:rPr>
        <w:tab/>
      </w:r>
      <w:r w:rsidRPr="00BE51ED">
        <w:rPr>
          <w:color w:val="auto"/>
        </w:rPr>
        <w:fldChar w:fldCharType="begin"/>
      </w:r>
      <w:r w:rsidRPr="00BE51ED">
        <w:rPr>
          <w:color w:val="auto"/>
        </w:rPr>
        <w:instrText xml:space="preserve"> PAGEREF _Toc370983478 \h </w:instrText>
      </w:r>
      <w:r w:rsidRPr="00BE51ED">
        <w:rPr>
          <w:color w:val="auto"/>
        </w:rPr>
      </w:r>
      <w:r w:rsidRPr="00BE51ED">
        <w:rPr>
          <w:color w:val="auto"/>
        </w:rPr>
        <w:fldChar w:fldCharType="separate"/>
      </w:r>
      <w:r w:rsidRPr="00BE51ED">
        <w:rPr>
          <w:color w:val="auto"/>
        </w:rPr>
        <w:t>201</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111</w:t>
      </w:r>
      <w:r w:rsidRPr="00BE51ED">
        <w:rPr>
          <w:caps/>
          <w:color w:val="auto"/>
          <w:lang w:val="de-DE"/>
        </w:rPr>
        <w:t xml:space="preserve"> </w:t>
      </w:r>
      <w:r w:rsidRPr="00BE51ED">
        <w:rPr>
          <w:color w:val="auto"/>
          <w:lang w:val="de-DE"/>
        </w:rPr>
        <w:t>Windows Server 2012 R2 Datacenter</w:t>
      </w:r>
      <w:r w:rsidRPr="00BE51ED">
        <w:rPr>
          <w:color w:val="auto"/>
        </w:rPr>
        <w:tab/>
      </w:r>
      <w:r w:rsidRPr="00BE51ED">
        <w:rPr>
          <w:color w:val="auto"/>
        </w:rPr>
        <w:fldChar w:fldCharType="begin"/>
      </w:r>
      <w:r w:rsidRPr="00BE51ED">
        <w:rPr>
          <w:color w:val="auto"/>
        </w:rPr>
        <w:instrText xml:space="preserve"> PAGEREF _Toc370983479 \h </w:instrText>
      </w:r>
      <w:r w:rsidRPr="00BE51ED">
        <w:rPr>
          <w:color w:val="auto"/>
        </w:rPr>
      </w:r>
      <w:r w:rsidRPr="00BE51ED">
        <w:rPr>
          <w:color w:val="auto"/>
        </w:rPr>
        <w:fldChar w:fldCharType="separate"/>
      </w:r>
      <w:r w:rsidRPr="00BE51ED">
        <w:rPr>
          <w:color w:val="auto"/>
        </w:rPr>
        <w:t>202</w:t>
      </w:r>
      <w:r w:rsidRPr="00BE51ED">
        <w:rPr>
          <w:color w:val="auto"/>
        </w:rPr>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rPr>
        <w:t>112</w:t>
      </w:r>
      <w:r w:rsidRPr="00BE51ED">
        <w:rPr>
          <w:caps/>
          <w:color w:val="auto"/>
        </w:rPr>
        <w:t xml:space="preserve"> </w:t>
      </w:r>
      <w:r w:rsidRPr="00BE51ED">
        <w:rPr>
          <w:color w:val="auto"/>
        </w:rPr>
        <w:t>Windows Server 2012 R2 Standard</w:t>
      </w:r>
      <w:r w:rsidRPr="00BE51ED">
        <w:rPr>
          <w:color w:val="auto"/>
        </w:rPr>
        <w:tab/>
      </w:r>
      <w:r w:rsidRPr="00BE51ED">
        <w:rPr>
          <w:color w:val="auto"/>
        </w:rPr>
        <w:fldChar w:fldCharType="begin"/>
      </w:r>
      <w:r w:rsidRPr="00BE51ED">
        <w:rPr>
          <w:color w:val="auto"/>
        </w:rPr>
        <w:instrText xml:space="preserve"> PAGEREF _Toc370983480 \h </w:instrText>
      </w:r>
      <w:r w:rsidRPr="00BE51ED">
        <w:rPr>
          <w:color w:val="auto"/>
        </w:rPr>
      </w:r>
      <w:r w:rsidRPr="00BE51ED">
        <w:rPr>
          <w:color w:val="auto"/>
        </w:rPr>
        <w:fldChar w:fldCharType="separate"/>
      </w:r>
      <w:r w:rsidRPr="00BE51ED">
        <w:rPr>
          <w:color w:val="auto"/>
        </w:rPr>
        <w:t>202</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113</w:t>
      </w:r>
      <w:r w:rsidRPr="00BE51ED">
        <w:rPr>
          <w:rFonts w:cs="Tahoma"/>
        </w:rPr>
        <w:t xml:space="preserve"> Windows Small Business Server (SBS) 2008 Premium</w:t>
      </w:r>
      <w:r w:rsidRPr="00BE51ED">
        <w:tab/>
      </w:r>
      <w:r w:rsidRPr="00BE51ED">
        <w:fldChar w:fldCharType="begin"/>
      </w:r>
      <w:r w:rsidRPr="00BE51ED">
        <w:instrText xml:space="preserve"> PAGEREF _Toc370983481 \h </w:instrText>
      </w:r>
      <w:r w:rsidRPr="00BE51ED">
        <w:fldChar w:fldCharType="separate"/>
      </w:r>
      <w:r w:rsidRPr="00BE51ED">
        <w:t>202</w:t>
      </w:r>
      <w:r w:rsidRPr="00BE51ED">
        <w:fldChar w:fldCharType="end"/>
      </w:r>
    </w:p>
    <w:p w:rsidR="00BE51ED" w:rsidRP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114</w:t>
      </w:r>
      <w:r w:rsidRPr="00BE51ED">
        <w:rPr>
          <w:color w:val="auto"/>
          <w:lang w:val="de-DE"/>
        </w:rPr>
        <w:t xml:space="preserve"> Windows Small Business Server (2011) Standard</w:t>
      </w:r>
      <w:r w:rsidRPr="00BE51ED">
        <w:rPr>
          <w:color w:val="auto"/>
        </w:rPr>
        <w:tab/>
      </w:r>
      <w:r w:rsidRPr="00BE51ED">
        <w:rPr>
          <w:color w:val="auto"/>
        </w:rPr>
        <w:fldChar w:fldCharType="begin"/>
      </w:r>
      <w:r w:rsidRPr="00BE51ED">
        <w:rPr>
          <w:color w:val="auto"/>
        </w:rPr>
        <w:instrText xml:space="preserve"> PAGEREF _Toc370983482 \h </w:instrText>
      </w:r>
      <w:r w:rsidRPr="00BE51ED">
        <w:rPr>
          <w:color w:val="auto"/>
        </w:rPr>
      </w:r>
      <w:r w:rsidRPr="00BE51ED">
        <w:rPr>
          <w:color w:val="auto"/>
        </w:rPr>
        <w:fldChar w:fldCharType="separate"/>
      </w:r>
      <w:r w:rsidRPr="00BE51ED">
        <w:rPr>
          <w:color w:val="auto"/>
        </w:rPr>
        <w:t>203</w:t>
      </w:r>
      <w:r w:rsidRPr="00BE51ED">
        <w:rPr>
          <w:color w:val="auto"/>
        </w:rPr>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115</w:t>
      </w:r>
      <w:r w:rsidRPr="00BE51ED">
        <w:rPr>
          <w:rFonts w:cs="Tahoma"/>
          <w:caps/>
        </w:rPr>
        <w:t xml:space="preserve"> </w:t>
      </w:r>
      <w:r w:rsidRPr="00BE51ED">
        <w:rPr>
          <w:rFonts w:cs="Tahoma"/>
        </w:rPr>
        <w:t>Windows Small Business Server (SBS) 2011 CAL Suite</w:t>
      </w:r>
      <w:r w:rsidRPr="00BE51ED">
        <w:tab/>
      </w:r>
      <w:r w:rsidRPr="00BE51ED">
        <w:fldChar w:fldCharType="begin"/>
      </w:r>
      <w:r w:rsidRPr="00BE51ED">
        <w:instrText xml:space="preserve"> PAGEREF _Toc370983483 \h </w:instrText>
      </w:r>
      <w:r w:rsidRPr="00BE51ED">
        <w:fldChar w:fldCharType="separate"/>
      </w:r>
      <w:r w:rsidRPr="00BE51ED">
        <w:t>204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116</w:t>
      </w:r>
      <w:r w:rsidRPr="00BE51ED">
        <w:rPr>
          <w:rFonts w:cs="Tahoma"/>
          <w:caps/>
        </w:rPr>
        <w:t xml:space="preserve"> </w:t>
      </w:r>
      <w:r w:rsidRPr="00BE51ED">
        <w:rPr>
          <w:rFonts w:cs="Tahoma"/>
        </w:rPr>
        <w:t>Windows Small Business Server (SBS) 2011 Premium Add-On</w:t>
      </w:r>
      <w:r w:rsidRPr="00BE51ED">
        <w:tab/>
      </w:r>
      <w:r w:rsidRPr="00BE51ED">
        <w:fldChar w:fldCharType="begin"/>
      </w:r>
      <w:r w:rsidRPr="00BE51ED">
        <w:instrText xml:space="preserve"> PAGEREF _Toc370983484 \h </w:instrText>
      </w:r>
      <w:r w:rsidRPr="00BE51ED">
        <w:fldChar w:fldCharType="separate"/>
      </w:r>
      <w:r w:rsidRPr="00BE51ED">
        <w:t>204</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caps/>
          <w:vertAlign w:val="superscript"/>
        </w:rPr>
        <w:t>117</w:t>
      </w:r>
      <w:r w:rsidRPr="00BE51ED">
        <w:rPr>
          <w:rFonts w:cs="Tahoma"/>
        </w:rPr>
        <w:t xml:space="preserve"> Windows Small Business Server (SBS) 2011 Premium Add-On CAL Suite</w:t>
      </w:r>
      <w:r w:rsidRPr="00BE51ED">
        <w:tab/>
      </w:r>
      <w:r w:rsidRPr="00BE51ED">
        <w:fldChar w:fldCharType="begin"/>
      </w:r>
      <w:r w:rsidRPr="00BE51ED">
        <w:instrText xml:space="preserve"> PAGEREF _Toc370983485 \h </w:instrText>
      </w:r>
      <w:r w:rsidRPr="00BE51ED">
        <w:fldChar w:fldCharType="separate"/>
      </w:r>
      <w:r w:rsidRPr="00BE51ED">
        <w:t>205</w:t>
      </w:r>
      <w:r w:rsidRPr="00BE51ED">
        <w:fldChar w:fldCharType="end"/>
      </w:r>
    </w:p>
    <w:p w:rsidR="00BE51ED" w:rsidRPr="00BE51ED" w:rsidRDefault="00BE51ED">
      <w:pPr>
        <w:pStyle w:val="TOC2"/>
        <w:rPr>
          <w:rFonts w:asciiTheme="minorHAnsi" w:eastAsiaTheme="minorEastAsia" w:hAnsiTheme="minorHAnsi" w:cstheme="minorBidi"/>
          <w:sz w:val="22"/>
          <w:szCs w:val="22"/>
        </w:rPr>
      </w:pPr>
      <w:r w:rsidRPr="00BE51ED">
        <w:rPr>
          <w:rFonts w:cs="Tahoma"/>
          <w:vertAlign w:val="superscript"/>
          <w:lang w:val="de-DE"/>
        </w:rPr>
        <w:t>118</w:t>
      </w:r>
      <w:r w:rsidRPr="00BE51ED">
        <w:rPr>
          <w:rFonts w:cs="Tahoma"/>
          <w:lang w:val="de-DE"/>
        </w:rPr>
        <w:t xml:space="preserve"> Windows Small Business Server 2011 Essentials</w:t>
      </w:r>
      <w:r w:rsidRPr="00BE51ED">
        <w:tab/>
      </w:r>
      <w:r w:rsidRPr="00BE51ED">
        <w:fldChar w:fldCharType="begin"/>
      </w:r>
      <w:r w:rsidRPr="00BE51ED">
        <w:instrText xml:space="preserve"> PAGEREF _Toc370983486 \h </w:instrText>
      </w:r>
      <w:r w:rsidRPr="00BE51ED">
        <w:fldChar w:fldCharType="separate"/>
      </w:r>
      <w:r w:rsidRPr="00BE51ED">
        <w:t>206</w:t>
      </w:r>
      <w:r w:rsidRPr="00BE51ED">
        <w:fldChar w:fldCharType="end"/>
      </w:r>
    </w:p>
    <w:p w:rsidR="00BE51ED" w:rsidRDefault="00BE51ED">
      <w:pPr>
        <w:pStyle w:val="TOC3"/>
        <w:rPr>
          <w:rFonts w:asciiTheme="minorHAnsi" w:eastAsiaTheme="minorEastAsia" w:hAnsiTheme="minorHAnsi" w:cstheme="minorBidi"/>
          <w:bCs w:val="0"/>
          <w:color w:val="auto"/>
          <w:sz w:val="22"/>
          <w:szCs w:val="22"/>
        </w:rPr>
      </w:pPr>
      <w:r w:rsidRPr="00BE51ED">
        <w:rPr>
          <w:caps/>
          <w:color w:val="auto"/>
          <w:vertAlign w:val="superscript"/>
          <w:lang w:val="de-DE"/>
        </w:rPr>
        <w:t>119</w:t>
      </w:r>
      <w:r w:rsidRPr="00BE51ED">
        <w:rPr>
          <w:color w:val="auto"/>
          <w:lang w:val="de-DE"/>
        </w:rPr>
        <w:t xml:space="preserve"> Windows Web Server</w:t>
      </w:r>
      <w:r w:rsidRPr="00BE51ED">
        <w:rPr>
          <w:color w:val="auto"/>
          <w:vertAlign w:val="superscript"/>
          <w:lang w:val="de-DE"/>
        </w:rPr>
        <w:t>®</w:t>
      </w:r>
      <w:r w:rsidRPr="00BE51ED">
        <w:rPr>
          <w:color w:val="auto"/>
          <w:lang w:val="de-DE"/>
        </w:rPr>
        <w:t xml:space="preserve"> 2008 R2</w:t>
      </w:r>
      <w:r>
        <w:tab/>
      </w:r>
      <w:r>
        <w:fldChar w:fldCharType="begin"/>
      </w:r>
      <w:r>
        <w:instrText xml:space="preserve"> PAGEREF _Toc370983487 \h </w:instrText>
      </w:r>
      <w:r>
        <w:fldChar w:fldCharType="separate"/>
      </w:r>
      <w:r>
        <w:t>207</w:t>
      </w:r>
      <w:r>
        <w:fldChar w:fldCharType="end"/>
      </w:r>
    </w:p>
    <w:p w:rsidR="007E0CC6" w:rsidRPr="00C83DF5" w:rsidRDefault="00CF5A3E" w:rsidP="00461CA9">
      <w:pPr>
        <w:pStyle w:val="TOC4"/>
        <w:tabs>
          <w:tab w:val="clear" w:pos="9360"/>
          <w:tab w:val="center" w:pos="4680"/>
        </w:tabs>
        <w:rPr>
          <w:lang w:val="de-DE"/>
        </w:rPr>
      </w:pPr>
      <w:r w:rsidRPr="00C83DF5">
        <w:fldChar w:fldCharType="end"/>
      </w:r>
    </w:p>
    <w:p w:rsidR="00BE51ED" w:rsidRDefault="00BE51ED" w:rsidP="00BE51ED">
      <w:pPr>
        <w:pStyle w:val="Heading2"/>
        <w:tabs>
          <w:tab w:val="left" w:pos="2985"/>
        </w:tabs>
        <w:rPr>
          <w:rFonts w:ascii="Tahoma" w:hAnsi="Tahoma" w:cs="Tahoma"/>
          <w:sz w:val="36"/>
          <w:lang w:val="de-DE"/>
        </w:rPr>
      </w:pPr>
      <w:bookmarkStart w:id="6" w:name="_Toc246850065"/>
      <w:r>
        <w:rPr>
          <w:rFonts w:ascii="Tahoma" w:hAnsi="Tahoma" w:cs="Tahoma"/>
          <w:sz w:val="36"/>
          <w:lang w:val="de-DE"/>
        </w:rPr>
        <w:tab/>
      </w:r>
      <w:bookmarkStart w:id="7" w:name="_GoBack"/>
      <w:bookmarkEnd w:id="7"/>
    </w:p>
    <w:p w:rsidR="00023FE7" w:rsidRPr="00F037D5" w:rsidRDefault="00ED3854" w:rsidP="007E0CC6">
      <w:pPr>
        <w:pStyle w:val="Heading2"/>
        <w:rPr>
          <w:rFonts w:ascii="Tahoma" w:hAnsi="Tahoma" w:cs="Tahoma"/>
          <w:sz w:val="36"/>
          <w:lang w:val="de-DE"/>
        </w:rPr>
      </w:pPr>
      <w:r w:rsidRPr="00BE51ED">
        <w:rPr>
          <w:lang w:val="de-DE"/>
        </w:rPr>
        <w:br w:type="page"/>
      </w:r>
      <w:bookmarkStart w:id="8" w:name="_Toc336337840"/>
      <w:bookmarkStart w:id="9" w:name="_Toc370982966"/>
      <w:r w:rsidRPr="00F037D5">
        <w:rPr>
          <w:rFonts w:ascii="Tahoma" w:hAnsi="Tahoma" w:cs="Tahoma"/>
          <w:sz w:val="36"/>
          <w:lang w:val="de-DE"/>
        </w:rPr>
        <w:lastRenderedPageBreak/>
        <w:t>Tabellenlegende</w:t>
      </w:r>
      <w:bookmarkEnd w:id="6"/>
      <w:bookmarkEnd w:id="8"/>
      <w:bookmarkEnd w:id="9"/>
    </w:p>
    <w:p w:rsidR="00023FE7" w:rsidRPr="00F037D5" w:rsidRDefault="00023FE7">
      <w:pPr>
        <w:pStyle w:val="ChartKeyHeadings"/>
        <w:ind w:right="-180"/>
        <w:rPr>
          <w:rFonts w:ascii="Tahoma" w:hAnsi="Tahoma" w:cs="Tahoma"/>
          <w:sz w:val="18"/>
          <w:szCs w:val="18"/>
          <w:lang w:val="de-DE"/>
        </w:rPr>
      </w:pPr>
    </w:p>
    <w:p w:rsidR="00023FE7" w:rsidRPr="00F037D5" w:rsidRDefault="00023FE7">
      <w:pPr>
        <w:pStyle w:val="ChartKeyHeadings"/>
        <w:ind w:right="-180"/>
        <w:rPr>
          <w:rFonts w:ascii="Tahoma" w:hAnsi="Tahoma" w:cs="Tahoma"/>
          <w:szCs w:val="24"/>
          <w:lang w:val="de-DE"/>
        </w:rPr>
      </w:pPr>
      <w:r w:rsidRPr="00F037D5">
        <w:rPr>
          <w:rFonts w:ascii="Tahoma" w:hAnsi="Tahoma" w:cs="Tahoma"/>
          <w:szCs w:val="24"/>
          <w:lang w:val="de-DE"/>
        </w:rPr>
        <w:t>Spaltenüberschriften</w:t>
      </w:r>
    </w:p>
    <w:p w:rsidR="00023FE7" w:rsidRPr="00F037D5" w:rsidRDefault="00023FE7" w:rsidP="00746207">
      <w:pPr>
        <w:pStyle w:val="ChartKeyHeadings"/>
        <w:ind w:right="-180"/>
        <w:rPr>
          <w:rFonts w:ascii="Tahoma" w:hAnsi="Tahoma" w:cs="Tahoma"/>
          <w:sz w:val="18"/>
          <w:szCs w:val="18"/>
          <w:lang w:val="de-DE"/>
        </w:rPr>
      </w:pPr>
    </w:p>
    <w:p w:rsidR="00664EE9" w:rsidRPr="00C83DF5" w:rsidRDefault="00664EE9" w:rsidP="0010475F">
      <w:pPr>
        <w:pStyle w:val="Bodywithspace"/>
        <w:spacing w:before="0" w:after="0" w:line="276" w:lineRule="auto"/>
        <w:rPr>
          <w:lang w:val="de-DE"/>
        </w:rPr>
      </w:pPr>
      <w:r w:rsidRPr="00C83DF5">
        <w:rPr>
          <w:rStyle w:val="BodyChar"/>
          <w:rFonts w:ascii="Tahoma" w:hAnsi="Tahoma" w:cs="Tahoma"/>
          <w:b/>
          <w:color w:val="000000"/>
          <w:sz w:val="18"/>
          <w:szCs w:val="18"/>
          <w:lang w:val="de-DE"/>
        </w:rPr>
        <w:t>Campus- und School-Einheiten =</w:t>
      </w:r>
      <w:r w:rsidRPr="00C83DF5">
        <w:rPr>
          <w:rFonts w:ascii="Tahoma" w:hAnsi="Tahoma" w:cs="Tahoma"/>
          <w:b/>
          <w:color w:val="000000"/>
          <w:sz w:val="18"/>
          <w:szCs w:val="18"/>
          <w:lang w:val="de-DE"/>
        </w:rPr>
        <w:t xml:space="preserve"> </w:t>
      </w:r>
      <w:r w:rsidRPr="00C83DF5">
        <w:rPr>
          <w:rFonts w:ascii="Tahoma" w:hAnsi="Tahoma" w:cs="Tahoma"/>
          <w:color w:val="000000"/>
          <w:sz w:val="18"/>
          <w:szCs w:val="18"/>
          <w:lang w:val="de-DE"/>
        </w:rPr>
        <w:t>Die in dieser Spalte angegebenen Zahlen stehen für die Anzahl der vorgesehenen Einheiten, wenn Software über den School-Beitritt unter dem Campus- und School-Vertrag angeboten wird. Wenn die CA/SA-Spalte keine Angaben enthält, werden die Produkte nicht im Rahmen dieser Programme angeboten.</w:t>
      </w:r>
    </w:p>
    <w:p w:rsidR="00023FE7" w:rsidRPr="00C83DF5" w:rsidRDefault="00023FE7" w:rsidP="00FC43A4">
      <w:pPr>
        <w:pStyle w:val="Bodywithspace"/>
        <w:spacing w:before="0" w:after="0" w:line="276" w:lineRule="auto"/>
        <w:rPr>
          <w:lang w:val="de-DE"/>
        </w:rPr>
      </w:pPr>
      <w:r w:rsidRPr="00C83DF5">
        <w:rPr>
          <w:rStyle w:val="BodyChar"/>
          <w:rFonts w:ascii="Tahoma" w:hAnsi="Tahoma" w:cs="Tahoma"/>
          <w:b/>
          <w:sz w:val="18"/>
          <w:szCs w:val="18"/>
          <w:lang w:val="de-DE"/>
        </w:rPr>
        <w:t>Verfügbarkeitsdatum =</w:t>
      </w:r>
      <w:r w:rsidRPr="00C83DF5">
        <w:rPr>
          <w:rStyle w:val="BodyChar"/>
          <w:rFonts w:ascii="Tahoma" w:hAnsi="Tahoma" w:cs="Tahoma"/>
          <w:bCs/>
          <w:sz w:val="18"/>
          <w:szCs w:val="18"/>
          <w:lang w:val="de-DE"/>
        </w:rPr>
        <w:t xml:space="preserve"> </w:t>
      </w:r>
      <w:r w:rsidRPr="00C83DF5">
        <w:rPr>
          <w:rStyle w:val="BodyChar"/>
          <w:rFonts w:ascii="Tahoma" w:hAnsi="Tahoma" w:cs="Tahoma"/>
          <w:sz w:val="18"/>
          <w:szCs w:val="18"/>
          <w:lang w:val="de-DE"/>
        </w:rPr>
        <w:t>Datum, an dem ein Produkt erstmals verfügbar ist</w:t>
      </w:r>
      <w:r w:rsidRPr="00C83DF5">
        <w:rPr>
          <w:rStyle w:val="BodyChar"/>
          <w:rFonts w:ascii="Tahoma" w:hAnsi="Tahoma" w:cs="Tahoma"/>
          <w:color w:val="000000"/>
          <w:sz w:val="18"/>
          <w:szCs w:val="18"/>
          <w:lang w:val="de-DE"/>
        </w:rPr>
        <w:t xml:space="preserve"> (Monat/Jahr). </w:t>
      </w:r>
      <w:r w:rsidRPr="00C83DF5">
        <w:rPr>
          <w:rStyle w:val="BodyChar"/>
          <w:rFonts w:ascii="Tahoma" w:hAnsi="Tahoma" w:cs="Tahoma"/>
          <w:sz w:val="18"/>
          <w:szCs w:val="18"/>
          <w:lang w:val="de-DE"/>
        </w:rPr>
        <w:t>Dies ist entweder das Datum, an dem Microsoft Lizenzen für das jeweilige Produkt zur Bestellung oder Software für</w:t>
      </w:r>
      <w:r w:rsidR="00FC43A4" w:rsidRPr="00C83DF5">
        <w:rPr>
          <w:rStyle w:val="BodyChar"/>
          <w:rFonts w:ascii="Tahoma" w:hAnsi="Tahoma" w:cs="Tahoma"/>
          <w:sz w:val="18"/>
          <w:szCs w:val="18"/>
          <w:lang w:val="de-DE"/>
        </w:rPr>
        <w:t> </w:t>
      </w:r>
      <w:r w:rsidRPr="00C83DF5">
        <w:rPr>
          <w:rStyle w:val="BodyChar"/>
          <w:rFonts w:ascii="Tahoma" w:hAnsi="Tahoma" w:cs="Tahoma"/>
          <w:sz w:val="18"/>
          <w:szCs w:val="18"/>
          <w:lang w:val="de-DE"/>
        </w:rPr>
        <w:t>das jeweilige Produkt zum Download aus dem Center für Volumenlizenz-Services (VLSC) verfügbar macht, wobei das frühere Datum maßgeblich ist.</w:t>
      </w:r>
    </w:p>
    <w:p w:rsidR="00023FE7" w:rsidRPr="00C83DF5" w:rsidRDefault="00023FE7" w:rsidP="0010475F">
      <w:pPr>
        <w:pStyle w:val="Bodywithspace"/>
        <w:spacing w:before="0" w:after="0" w:line="276" w:lineRule="auto"/>
        <w:rPr>
          <w:lang w:val="de-DE"/>
        </w:rPr>
      </w:pPr>
      <w:r w:rsidRPr="00C83DF5">
        <w:rPr>
          <w:rStyle w:val="BodyChar"/>
          <w:rFonts w:ascii="Tahoma" w:hAnsi="Tahoma" w:cs="Tahoma"/>
          <w:b/>
          <w:sz w:val="18"/>
          <w:szCs w:val="18"/>
          <w:lang w:val="de-DE"/>
        </w:rPr>
        <w:t>EA (Enterprise Agreement, Konzernvertrag) =</w:t>
      </w:r>
      <w:r w:rsidRPr="00C83DF5">
        <w:rPr>
          <w:rFonts w:ascii="Tahoma" w:hAnsi="Tahoma" w:cs="Tahoma"/>
          <w:sz w:val="18"/>
          <w:szCs w:val="18"/>
          <w:lang w:val="de-DE"/>
        </w:rPr>
        <w:t xml:space="preserve"> Konzernvertrag 20xx.</w:t>
      </w:r>
    </w:p>
    <w:p w:rsidR="00023FE7" w:rsidRPr="00C83DF5" w:rsidRDefault="00023FE7" w:rsidP="0010475F">
      <w:pPr>
        <w:pStyle w:val="Bodywithspace"/>
        <w:spacing w:before="0" w:after="0" w:line="276" w:lineRule="auto"/>
        <w:rPr>
          <w:lang w:val="de-DE"/>
        </w:rPr>
      </w:pPr>
      <w:r w:rsidRPr="00C83DF5">
        <w:rPr>
          <w:rStyle w:val="BodyChar"/>
          <w:rFonts w:ascii="Tahoma" w:hAnsi="Tahoma" w:cs="Tahoma"/>
          <w:b/>
          <w:sz w:val="18"/>
          <w:szCs w:val="18"/>
          <w:lang w:val="de-DE"/>
        </w:rPr>
        <w:t xml:space="preserve">EA Sub (Konzern-Abonnement-Vertrag) = </w:t>
      </w:r>
      <w:r w:rsidRPr="00C83DF5">
        <w:rPr>
          <w:rFonts w:ascii="Tahoma" w:hAnsi="Tahoma" w:cs="Tahoma"/>
          <w:sz w:val="18"/>
          <w:szCs w:val="18"/>
          <w:lang w:val="de-DE"/>
        </w:rPr>
        <w:t>Konzern-Abonnement-Vertrag 200x.</w:t>
      </w:r>
      <w:r w:rsidR="00E71F46" w:rsidRPr="00C83DF5">
        <w:rPr>
          <w:rFonts w:ascii="Tahoma" w:hAnsi="Tahoma" w:cs="Tahoma"/>
          <w:sz w:val="18"/>
          <w:szCs w:val="18"/>
          <w:lang w:val="de-DE"/>
        </w:rPr>
        <w:t xml:space="preserve"> </w:t>
      </w:r>
    </w:p>
    <w:p w:rsidR="00456002" w:rsidRPr="00C83DF5" w:rsidRDefault="00456002" w:rsidP="0010475F">
      <w:pPr>
        <w:pStyle w:val="Bodywithspace"/>
        <w:spacing w:before="0" w:after="0" w:line="276" w:lineRule="auto"/>
        <w:rPr>
          <w:lang w:val="de-DE"/>
        </w:rPr>
      </w:pPr>
      <w:r w:rsidRPr="00C83DF5">
        <w:rPr>
          <w:rStyle w:val="BodyChar"/>
          <w:rFonts w:ascii="Tahoma" w:hAnsi="Tahoma" w:cs="Tahoma"/>
          <w:b/>
          <w:sz w:val="18"/>
          <w:szCs w:val="18"/>
          <w:lang w:val="de-DE"/>
        </w:rPr>
        <w:t>Mindestmenge bei Open-Programmen =</w:t>
      </w:r>
      <w:r w:rsidRPr="00C83DF5">
        <w:rPr>
          <w:rFonts w:ascii="Tahoma" w:hAnsi="Tahoma" w:cs="Tahoma"/>
          <w:sz w:val="18"/>
          <w:szCs w:val="18"/>
          <w:lang w:val="de-DE"/>
        </w:rPr>
        <w:t xml:space="preserve"> Jede Lizenz zählt nur als 5 Lizenzen für den Zweck der Mindestmenge der Anfangsbestellung in Open-Lizenz- und/oder Open Value-Programmen. Der Wert gibt an, für welches Programm dies gilt.</w:t>
      </w:r>
    </w:p>
    <w:p w:rsidR="00456002" w:rsidRPr="00C83DF5" w:rsidRDefault="00456002" w:rsidP="0010475F">
      <w:pPr>
        <w:pStyle w:val="Bodywithspace"/>
        <w:spacing w:before="0" w:after="0" w:line="276" w:lineRule="auto"/>
        <w:rPr>
          <w:lang w:val="de-DE"/>
        </w:rPr>
      </w:pPr>
      <w:r w:rsidRPr="00C83DF5">
        <w:rPr>
          <w:rStyle w:val="BodyChar"/>
          <w:rFonts w:ascii="Tahoma" w:hAnsi="Tahoma" w:cs="Tahoma"/>
          <w:b/>
          <w:sz w:val="18"/>
          <w:szCs w:val="18"/>
          <w:lang w:val="de-DE"/>
        </w:rPr>
        <w:t>Open-Lizenz =</w:t>
      </w:r>
      <w:r w:rsidRPr="00C83DF5">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 Charity Open-Lizenz.</w:t>
      </w:r>
    </w:p>
    <w:p w:rsidR="00456002" w:rsidRPr="00C83DF5" w:rsidRDefault="00456002" w:rsidP="0010475F">
      <w:pPr>
        <w:pStyle w:val="Bodywithspace"/>
        <w:spacing w:before="0" w:after="0" w:line="276" w:lineRule="auto"/>
        <w:rPr>
          <w:lang w:val="de-DE"/>
        </w:rPr>
      </w:pPr>
      <w:r w:rsidRPr="00C83DF5">
        <w:rPr>
          <w:rStyle w:val="BodyChar"/>
          <w:rFonts w:ascii="Tahoma" w:hAnsi="Tahoma" w:cs="Tahoma"/>
          <w:b/>
          <w:sz w:val="18"/>
          <w:szCs w:val="18"/>
          <w:lang w:val="de-DE"/>
        </w:rPr>
        <w:t>Open Value (OV)</w:t>
      </w:r>
      <w:r w:rsidR="00DB12A2" w:rsidRPr="00C83DF5">
        <w:rPr>
          <w:rStyle w:val="BodyChar"/>
          <w:rFonts w:ascii="Tahoma" w:hAnsi="Tahoma" w:cs="Tahoma"/>
          <w:b/>
          <w:sz w:val="18"/>
          <w:szCs w:val="18"/>
          <w:lang w:val="de-DE"/>
        </w:rPr>
        <w:t xml:space="preserve"> </w:t>
      </w:r>
      <w:r w:rsidRPr="00C83DF5">
        <w:rPr>
          <w:rStyle w:val="BodyChar"/>
          <w:rFonts w:ascii="Tahoma" w:hAnsi="Tahoma" w:cs="Tahoma"/>
          <w:b/>
          <w:sz w:val="18"/>
          <w:szCs w:val="18"/>
          <w:lang w:val="de-DE"/>
        </w:rPr>
        <w:t>=</w:t>
      </w:r>
      <w:r w:rsidRPr="00C83DF5">
        <w:rPr>
          <w:rFonts w:ascii="Tahoma" w:hAnsi="Tahoma" w:cs="Tahoma"/>
          <w:sz w:val="18"/>
          <w:szCs w:val="18"/>
          <w:lang w:val="de-DE"/>
        </w:rPr>
        <w:t xml:space="preserve"> Zu Open Value gehören Open Value und Open Value für Verwaltung.</w:t>
      </w:r>
    </w:p>
    <w:p w:rsidR="00456002" w:rsidRPr="00C83DF5" w:rsidRDefault="00456002" w:rsidP="006127F1">
      <w:pPr>
        <w:pStyle w:val="Bodywithspace"/>
        <w:spacing w:before="0" w:after="0" w:line="276" w:lineRule="auto"/>
        <w:rPr>
          <w:lang w:val="de-DE"/>
        </w:rPr>
      </w:pPr>
      <w:r w:rsidRPr="00C83DF5">
        <w:rPr>
          <w:rStyle w:val="BodyChar"/>
          <w:rFonts w:ascii="Tahoma" w:hAnsi="Tahoma" w:cs="Tahoma"/>
          <w:b/>
          <w:sz w:val="18"/>
          <w:szCs w:val="18"/>
          <w:lang w:val="de-DE"/>
        </w:rPr>
        <w:t>Open Value Subscription (OVS)</w:t>
      </w:r>
      <w:r w:rsidR="00DB12A2" w:rsidRPr="00C83DF5">
        <w:rPr>
          <w:rStyle w:val="BodyChar"/>
          <w:rFonts w:ascii="Tahoma" w:hAnsi="Tahoma" w:cs="Tahoma"/>
          <w:b/>
          <w:sz w:val="18"/>
          <w:szCs w:val="18"/>
          <w:lang w:val="de-DE"/>
        </w:rPr>
        <w:t xml:space="preserve"> </w:t>
      </w:r>
      <w:r w:rsidRPr="00C83DF5">
        <w:rPr>
          <w:rStyle w:val="BodyChar"/>
          <w:rFonts w:ascii="Tahoma" w:hAnsi="Tahoma" w:cs="Tahoma"/>
          <w:b/>
          <w:sz w:val="18"/>
          <w:szCs w:val="18"/>
          <w:lang w:val="de-DE"/>
        </w:rPr>
        <w:t>=</w:t>
      </w:r>
      <w:r w:rsidRPr="00C83DF5">
        <w:rPr>
          <w:rFonts w:ascii="Tahoma" w:hAnsi="Tahoma" w:cs="Tahoma"/>
          <w:sz w:val="18"/>
          <w:szCs w:val="18"/>
          <w:lang w:val="de-DE"/>
        </w:rPr>
        <w:t xml:space="preserve"> Zu Open Value Subscription gehören Open Value Subscription und</w:t>
      </w:r>
      <w:r w:rsidR="006127F1" w:rsidRPr="00C83DF5">
        <w:rPr>
          <w:rFonts w:ascii="Tahoma" w:hAnsi="Tahoma" w:cs="Tahoma"/>
          <w:sz w:val="18"/>
          <w:szCs w:val="18"/>
          <w:lang w:val="de-DE"/>
        </w:rPr>
        <w:t> </w:t>
      </w:r>
      <w:r w:rsidRPr="00C83DF5">
        <w:rPr>
          <w:rFonts w:ascii="Tahoma" w:hAnsi="Tahoma" w:cs="Tahoma"/>
          <w:sz w:val="18"/>
          <w:szCs w:val="18"/>
          <w:lang w:val="de-DE"/>
        </w:rPr>
        <w:t xml:space="preserve">Open Value Subscription für Verwaltung. </w:t>
      </w:r>
    </w:p>
    <w:p w:rsidR="00456002" w:rsidRPr="00C83DF5" w:rsidRDefault="00456002" w:rsidP="0010475F">
      <w:pPr>
        <w:pStyle w:val="Bodywithspace"/>
        <w:spacing w:before="0" w:after="0" w:line="276" w:lineRule="auto"/>
        <w:rPr>
          <w:lang w:val="de-DE"/>
        </w:rPr>
      </w:pPr>
      <w:r w:rsidRPr="00C83DF5">
        <w:rPr>
          <w:rStyle w:val="BodyChar"/>
          <w:rFonts w:ascii="Tahoma" w:hAnsi="Tahoma" w:cs="Tahoma"/>
          <w:b/>
          <w:sz w:val="18"/>
          <w:szCs w:val="18"/>
          <w:lang w:val="de-DE"/>
        </w:rPr>
        <w:t xml:space="preserve">EES/OVS-ES = </w:t>
      </w:r>
      <w:r w:rsidRPr="00C83DF5">
        <w:rPr>
          <w:rStyle w:val="BodyChar"/>
          <w:rFonts w:ascii="Tahoma" w:hAnsi="Tahoma" w:cs="Tahoma"/>
          <w:sz w:val="18"/>
          <w:szCs w:val="18"/>
          <w:lang w:val="de-DE"/>
        </w:rPr>
        <w:t>Beitritt für Bildungslösungen/Open Value Subscription – Bildungslösungen</w:t>
      </w:r>
    </w:p>
    <w:p w:rsidR="00456002" w:rsidRPr="00C83DF5" w:rsidRDefault="00456002" w:rsidP="0010475F">
      <w:pPr>
        <w:pStyle w:val="Bodywithspace"/>
        <w:spacing w:before="0" w:after="0" w:line="276" w:lineRule="auto"/>
        <w:rPr>
          <w:lang w:val="de-DE"/>
        </w:rPr>
      </w:pPr>
      <w:r w:rsidRPr="00C83DF5">
        <w:rPr>
          <w:rStyle w:val="BodyChar"/>
          <w:rFonts w:ascii="Tahoma" w:hAnsi="Tahoma" w:cs="Tahoma"/>
          <w:b/>
          <w:sz w:val="18"/>
          <w:szCs w:val="18"/>
          <w:lang w:val="de-DE"/>
        </w:rPr>
        <w:t>Promos &amp; Migrationen =</w:t>
      </w:r>
      <w:r w:rsidRPr="00C83DF5">
        <w:rPr>
          <w:rFonts w:ascii="Tahoma" w:hAnsi="Tahoma" w:cs="Tahoma"/>
          <w:sz w:val="18"/>
          <w:szCs w:val="18"/>
          <w:lang w:val="de-DE"/>
        </w:rPr>
        <w:t xml:space="preserve"> Eine Promotion oder Softwaremigration steht zur Verfügung.</w:t>
      </w:r>
    </w:p>
    <w:p w:rsidR="00456002" w:rsidRPr="00C83DF5" w:rsidRDefault="00456002" w:rsidP="0010475F">
      <w:pPr>
        <w:pStyle w:val="Bodywithspace"/>
        <w:spacing w:before="0" w:after="0" w:line="276" w:lineRule="auto"/>
        <w:rPr>
          <w:lang w:val="de-DE"/>
        </w:rPr>
      </w:pPr>
      <w:r w:rsidRPr="00C83DF5">
        <w:rPr>
          <w:rStyle w:val="BodyChar"/>
          <w:rFonts w:ascii="Tahoma" w:hAnsi="Tahoma" w:cs="Tahoma"/>
          <w:b/>
          <w:sz w:val="18"/>
          <w:szCs w:val="18"/>
          <w:lang w:val="de-DE"/>
        </w:rPr>
        <w:t>SAV =</w:t>
      </w:r>
      <w:r w:rsidRPr="00C83DF5">
        <w:rPr>
          <w:rFonts w:ascii="Tahoma" w:hAnsi="Tahoma" w:cs="Tahoma"/>
          <w:sz w:val="18"/>
          <w:szCs w:val="18"/>
          <w:lang w:val="de-DE"/>
        </w:rPr>
        <w:t xml:space="preserve"> Für berechtigte Kunden dieser Software gibt es Software Assurance-Vergünstigungen.</w:t>
      </w:r>
    </w:p>
    <w:p w:rsidR="00456002" w:rsidRPr="00C83DF5" w:rsidRDefault="00456002" w:rsidP="0010475F">
      <w:pPr>
        <w:pStyle w:val="Bodywithspace"/>
        <w:spacing w:before="0" w:after="0" w:line="276" w:lineRule="auto"/>
        <w:rPr>
          <w:lang w:val="de-DE"/>
        </w:rPr>
      </w:pPr>
      <w:r w:rsidRPr="00C83DF5">
        <w:rPr>
          <w:rStyle w:val="BodyChar"/>
          <w:rFonts w:ascii="Tahoma" w:hAnsi="Tahoma" w:cs="Tahoma"/>
          <w:b/>
          <w:sz w:val="18"/>
          <w:szCs w:val="18"/>
          <w:lang w:val="de-DE"/>
        </w:rPr>
        <w:t>Select =</w:t>
      </w:r>
      <w:r w:rsidRPr="00C83DF5">
        <w:rPr>
          <w:rFonts w:ascii="Tahoma" w:hAnsi="Tahoma" w:cs="Tahoma"/>
          <w:sz w:val="18"/>
          <w:szCs w:val="18"/>
          <w:lang w:val="de-DE"/>
        </w:rPr>
        <w:t xml:space="preserve"> Select 20xx. Hierzu zählen auch Select für Forschung &amp; Lehre und Select für Verwaltung.</w:t>
      </w:r>
    </w:p>
    <w:p w:rsidR="00456002" w:rsidRPr="00C83DF5" w:rsidRDefault="00456002" w:rsidP="006127F1">
      <w:pPr>
        <w:pStyle w:val="Bodywithspace"/>
        <w:spacing w:before="0" w:after="0" w:line="276" w:lineRule="auto"/>
        <w:rPr>
          <w:lang w:val="de-DE"/>
        </w:rPr>
      </w:pPr>
      <w:r w:rsidRPr="00C83DF5">
        <w:rPr>
          <w:rStyle w:val="BodyChar"/>
          <w:rFonts w:ascii="Tahoma" w:hAnsi="Tahoma" w:cs="Tahoma"/>
          <w:b/>
          <w:sz w:val="18"/>
          <w:szCs w:val="18"/>
          <w:lang w:val="fr-FR"/>
        </w:rPr>
        <w:t>Select Plus</w:t>
      </w:r>
      <w:r w:rsidRPr="00C83DF5">
        <w:rPr>
          <w:rStyle w:val="BodyChar"/>
          <w:rFonts w:ascii="Tahoma" w:hAnsi="Tahoma" w:cs="Tahoma"/>
          <w:b/>
          <w:bCs/>
          <w:sz w:val="18"/>
          <w:szCs w:val="18"/>
          <w:lang w:val="fr-FR"/>
        </w:rPr>
        <w:t xml:space="preserve"> =</w:t>
      </w:r>
      <w:r w:rsidRPr="00C83DF5">
        <w:rPr>
          <w:rStyle w:val="BodyChar"/>
          <w:rFonts w:ascii="Tahoma" w:hAnsi="Tahoma" w:cs="Tahoma"/>
          <w:sz w:val="18"/>
          <w:szCs w:val="18"/>
          <w:lang w:val="fr-FR"/>
        </w:rPr>
        <w:t xml:space="preserve"> Select Plus 20xx.</w:t>
      </w:r>
      <w:r w:rsidR="00E71F46" w:rsidRPr="00C83DF5">
        <w:rPr>
          <w:rStyle w:val="BodyChar"/>
          <w:rFonts w:ascii="Tahoma" w:hAnsi="Tahoma" w:cs="Tahoma"/>
          <w:sz w:val="18"/>
          <w:szCs w:val="18"/>
          <w:lang w:val="fr-FR"/>
        </w:rPr>
        <w:t xml:space="preserve"> </w:t>
      </w:r>
      <w:r w:rsidRPr="00C83DF5">
        <w:rPr>
          <w:rStyle w:val="BodyChar"/>
          <w:rFonts w:ascii="Tahoma" w:hAnsi="Tahoma" w:cs="Tahoma"/>
          <w:sz w:val="18"/>
          <w:szCs w:val="18"/>
          <w:lang w:val="de-DE"/>
        </w:rPr>
        <w:t>Hierzu zählen auch Select Plus für Forschung &amp; Lehre und Select Plus für</w:t>
      </w:r>
      <w:r w:rsidR="006127F1" w:rsidRPr="00C83DF5">
        <w:rPr>
          <w:rStyle w:val="BodyChar"/>
          <w:rFonts w:ascii="Tahoma" w:hAnsi="Tahoma" w:cs="Tahoma"/>
          <w:sz w:val="18"/>
          <w:szCs w:val="18"/>
          <w:lang w:val="de-DE"/>
        </w:rPr>
        <w:t> </w:t>
      </w:r>
      <w:r w:rsidRPr="00C83DF5">
        <w:rPr>
          <w:rStyle w:val="BodyChar"/>
          <w:rFonts w:ascii="Tahoma" w:hAnsi="Tahoma" w:cs="Tahoma"/>
          <w:sz w:val="18"/>
          <w:szCs w:val="18"/>
          <w:lang w:val="de-DE"/>
        </w:rPr>
        <w:t>Verwaltung.</w:t>
      </w:r>
      <w:r w:rsidR="00B052B3">
        <w:rPr>
          <w:rStyle w:val="BodyChar"/>
          <w:rFonts w:ascii="Tahoma" w:hAnsi="Tahoma" w:cs="Tahoma"/>
          <w:sz w:val="18"/>
          <w:szCs w:val="18"/>
          <w:lang w:val="de-DE"/>
        </w:rPr>
        <w:t xml:space="preserve"> </w:t>
      </w:r>
    </w:p>
    <w:p w:rsidR="00023FE7" w:rsidRPr="00F037D5" w:rsidRDefault="00023FE7">
      <w:pPr>
        <w:pStyle w:val="Bodywithspace"/>
        <w:spacing w:before="0" w:after="0"/>
        <w:ind w:right="-180"/>
        <w:rPr>
          <w:rFonts w:ascii="Tahoma" w:hAnsi="Tahoma" w:cs="Tahoma"/>
          <w:sz w:val="18"/>
          <w:szCs w:val="18"/>
          <w:lang w:val="de-DE"/>
        </w:rPr>
      </w:pPr>
    </w:p>
    <w:p w:rsidR="00023FE7" w:rsidRPr="00F037D5" w:rsidRDefault="00023FE7">
      <w:pPr>
        <w:pStyle w:val="ChartKeyHeadings"/>
        <w:ind w:right="-180"/>
        <w:rPr>
          <w:rFonts w:ascii="Tahoma" w:hAnsi="Tahoma" w:cs="Tahoma"/>
          <w:szCs w:val="28"/>
          <w:lang w:val="de-DE"/>
        </w:rPr>
      </w:pPr>
      <w:r w:rsidRPr="00F037D5">
        <w:rPr>
          <w:rFonts w:ascii="Tahoma" w:hAnsi="Tahoma" w:cs="Tahoma"/>
          <w:szCs w:val="28"/>
          <w:lang w:val="de-DE"/>
        </w:rPr>
        <w:t>Spaltenwerte</w:t>
      </w:r>
    </w:p>
    <w:p w:rsidR="00023FE7" w:rsidRPr="00F037D5" w:rsidRDefault="00023FE7">
      <w:pPr>
        <w:pStyle w:val="ChartKeyHeadings"/>
        <w:ind w:right="-180"/>
        <w:rPr>
          <w:rFonts w:ascii="Tahoma" w:hAnsi="Tahoma" w:cs="Tahoma"/>
          <w:sz w:val="18"/>
          <w:szCs w:val="18"/>
          <w:lang w:val="de-DE"/>
        </w:rPr>
      </w:pPr>
    </w:p>
    <w:p w:rsidR="00023FE7" w:rsidRPr="00C83DF5" w:rsidRDefault="00023FE7">
      <w:pPr>
        <w:pStyle w:val="Bodywithspace"/>
        <w:spacing w:before="0" w:after="0" w:line="276" w:lineRule="auto"/>
        <w:ind w:right="-180"/>
        <w:rPr>
          <w:lang w:val="de-DE"/>
        </w:rPr>
      </w:pPr>
      <w:r w:rsidRPr="00C83DF5">
        <w:rPr>
          <w:rStyle w:val="BodyChar"/>
          <w:rFonts w:ascii="Tahoma" w:hAnsi="Tahoma" w:cs="Tahoma"/>
          <w:b/>
          <w:sz w:val="18"/>
          <w:szCs w:val="18"/>
          <w:lang w:val="de-DE"/>
        </w:rPr>
        <w:t xml:space="preserve">1 Jahr = </w:t>
      </w:r>
      <w:r w:rsidRPr="00C83DF5">
        <w:rPr>
          <w:rFonts w:ascii="Tahoma" w:hAnsi="Tahoma" w:cs="Tahoma"/>
          <w:sz w:val="18"/>
          <w:szCs w:val="18"/>
          <w:lang w:val="de-DE"/>
        </w:rPr>
        <w:t>(verbleibende Vertragslaufzeit von 1 Jahr).</w:t>
      </w:r>
    </w:p>
    <w:p w:rsidR="00023FE7" w:rsidRPr="00C83DF5" w:rsidRDefault="00023FE7">
      <w:pPr>
        <w:pStyle w:val="Bodywithspace"/>
        <w:spacing w:before="0" w:after="0" w:line="276" w:lineRule="auto"/>
        <w:ind w:right="-180"/>
        <w:rPr>
          <w:lang w:val="de-DE"/>
        </w:rPr>
      </w:pPr>
      <w:r w:rsidRPr="00C83DF5">
        <w:rPr>
          <w:rStyle w:val="BodyChar"/>
          <w:rFonts w:ascii="Tahoma" w:hAnsi="Tahoma" w:cs="Tahoma"/>
          <w:b/>
          <w:sz w:val="18"/>
          <w:szCs w:val="18"/>
          <w:lang w:val="de-DE"/>
        </w:rPr>
        <w:t>2 Jahre =</w:t>
      </w:r>
      <w:r w:rsidRPr="00C83DF5">
        <w:rPr>
          <w:rFonts w:ascii="Tahoma" w:hAnsi="Tahoma" w:cs="Tahoma"/>
          <w:sz w:val="18"/>
          <w:szCs w:val="18"/>
          <w:lang w:val="de-DE"/>
        </w:rPr>
        <w:t xml:space="preserve"> (verbleibende Vertragslaufzeit von 2 Jahren).</w:t>
      </w:r>
    </w:p>
    <w:p w:rsidR="00023FE7" w:rsidRPr="00C83DF5" w:rsidRDefault="00023FE7">
      <w:pPr>
        <w:pStyle w:val="Bodywithspace"/>
        <w:spacing w:before="0" w:after="0" w:line="276" w:lineRule="auto"/>
        <w:ind w:right="-180"/>
        <w:rPr>
          <w:lang w:val="de-DE"/>
        </w:rPr>
      </w:pPr>
      <w:r w:rsidRPr="00C83DF5">
        <w:rPr>
          <w:rStyle w:val="BodyChar"/>
          <w:rFonts w:ascii="Tahoma" w:hAnsi="Tahoma" w:cs="Tahoma"/>
          <w:b/>
          <w:sz w:val="18"/>
          <w:szCs w:val="18"/>
          <w:lang w:val="de-DE"/>
        </w:rPr>
        <w:t>3 Jahre =</w:t>
      </w:r>
      <w:r w:rsidRPr="00C83DF5">
        <w:rPr>
          <w:rFonts w:ascii="Tahoma" w:hAnsi="Tahoma" w:cs="Tahoma"/>
          <w:sz w:val="18"/>
          <w:szCs w:val="18"/>
          <w:lang w:val="de-DE"/>
        </w:rPr>
        <w:t xml:space="preserve"> (verbleibende Vertragslaufzeit von 3 Jahren).</w:t>
      </w:r>
    </w:p>
    <w:p w:rsidR="00023FE7" w:rsidRPr="00C83DF5" w:rsidRDefault="00023FE7">
      <w:pPr>
        <w:pStyle w:val="Bodywithspace"/>
        <w:spacing w:before="0" w:after="0" w:line="276" w:lineRule="auto"/>
        <w:ind w:right="-180"/>
        <w:rPr>
          <w:lang w:val="de-DE"/>
        </w:rPr>
      </w:pPr>
      <w:r w:rsidRPr="00C83DF5">
        <w:rPr>
          <w:rStyle w:val="BodyChar"/>
          <w:rFonts w:ascii="Tahoma" w:hAnsi="Tahoma" w:cs="Tahoma"/>
          <w:b/>
          <w:sz w:val="18"/>
          <w:szCs w:val="18"/>
          <w:lang w:val="de-DE"/>
        </w:rPr>
        <w:t>A =</w:t>
      </w:r>
      <w:r w:rsidRPr="00C83DF5">
        <w:rPr>
          <w:rFonts w:ascii="Tahoma" w:hAnsi="Tahoma" w:cs="Tahoma"/>
          <w:sz w:val="18"/>
          <w:szCs w:val="18"/>
          <w:lang w:val="de-DE"/>
        </w:rPr>
        <w:t xml:space="preserve"> Gibt an, dass die Software als zusätzliches Produkt angeboten wird.</w:t>
      </w:r>
    </w:p>
    <w:p w:rsidR="009E22D0" w:rsidRPr="00C83DF5" w:rsidRDefault="009E22D0" w:rsidP="00A80236">
      <w:pPr>
        <w:pStyle w:val="Bodywithspace"/>
        <w:spacing w:before="0" w:after="0" w:line="276" w:lineRule="auto"/>
        <w:ind w:right="-180"/>
        <w:rPr>
          <w:lang w:val="de-DE"/>
        </w:rPr>
      </w:pPr>
      <w:r w:rsidRPr="00C83DF5">
        <w:rPr>
          <w:rStyle w:val="BodyChar"/>
          <w:rFonts w:ascii="Tahoma" w:hAnsi="Tahoma" w:cs="Tahoma"/>
          <w:b/>
          <w:sz w:val="18"/>
          <w:szCs w:val="18"/>
          <w:lang w:val="de-DE"/>
        </w:rPr>
        <w:t>AO</w:t>
      </w:r>
      <w:r w:rsidR="00A80236" w:rsidRPr="00C83DF5">
        <w:rPr>
          <w:rStyle w:val="BodyChar"/>
          <w:rFonts w:ascii="Tahoma" w:hAnsi="Tahoma" w:cs="Tahoma"/>
          <w:b/>
          <w:sz w:val="18"/>
          <w:szCs w:val="18"/>
          <w:lang w:val="de-DE"/>
        </w:rPr>
        <w:t xml:space="preserve"> =</w:t>
      </w:r>
      <w:r w:rsidRPr="00C83DF5">
        <w:rPr>
          <w:rStyle w:val="BodyChar"/>
          <w:rFonts w:ascii="Tahoma" w:hAnsi="Tahoma" w:cs="Tahoma"/>
          <w:b/>
          <w:sz w:val="18"/>
          <w:szCs w:val="18"/>
          <w:lang w:val="de-DE"/>
        </w:rPr>
        <w:t xml:space="preserve"> </w:t>
      </w:r>
      <w:r w:rsidRPr="00C83DF5">
        <w:rPr>
          <w:rFonts w:ascii="Tahoma" w:hAnsi="Tahoma" w:cs="Tahoma"/>
          <w:sz w:val="18"/>
          <w:szCs w:val="18"/>
          <w:lang w:val="de-DE"/>
        </w:rPr>
        <w:t>Gibt an, dass die Software als organisationsweit bestellbares zusätzliches Produkt angeboten wird.</w:t>
      </w:r>
    </w:p>
    <w:p w:rsidR="009F5F37" w:rsidRPr="00C83DF5" w:rsidRDefault="009F5F37">
      <w:pPr>
        <w:pStyle w:val="Bodywithspace"/>
        <w:spacing w:before="0" w:after="0" w:line="276" w:lineRule="auto"/>
        <w:ind w:right="-180"/>
        <w:rPr>
          <w:lang w:val="de-DE"/>
        </w:rPr>
      </w:pPr>
      <w:r w:rsidRPr="00C83DF5">
        <w:rPr>
          <w:rStyle w:val="BodyChar"/>
          <w:rFonts w:ascii="Tahoma" w:hAnsi="Tahoma" w:cs="Tahoma"/>
          <w:b/>
          <w:sz w:val="18"/>
          <w:szCs w:val="18"/>
          <w:lang w:val="de-DE"/>
        </w:rPr>
        <w:t xml:space="preserve">C = </w:t>
      </w:r>
      <w:r w:rsidRPr="00C83DF5">
        <w:rPr>
          <w:rFonts w:ascii="Tahoma" w:hAnsi="Tahoma" w:cs="Tahoma"/>
          <w:sz w:val="18"/>
          <w:szCs w:val="18"/>
          <w:lang w:val="de-DE"/>
        </w:rPr>
        <w:t>Gibt an, dass die Software als Core Infrastructure-Produkt angeboten wird.</w:t>
      </w:r>
    </w:p>
    <w:p w:rsidR="009F5F37" w:rsidRPr="00C83DF5" w:rsidRDefault="009F5F37" w:rsidP="009F5F37">
      <w:pPr>
        <w:pStyle w:val="ListParagraph"/>
        <w:rPr>
          <w:lang w:val="de-DE"/>
        </w:rPr>
      </w:pPr>
      <w:r w:rsidRPr="00C83DF5">
        <w:rPr>
          <w:rStyle w:val="BodyChar"/>
          <w:rFonts w:ascii="Tahoma" w:hAnsi="Tahoma" w:cs="Tahoma"/>
          <w:b/>
          <w:sz w:val="18"/>
          <w:szCs w:val="18"/>
          <w:lang w:val="de-DE"/>
        </w:rPr>
        <w:t xml:space="preserve">D = </w:t>
      </w:r>
      <w:r w:rsidRPr="00C83DF5">
        <w:rPr>
          <w:rFonts w:ascii="Tahoma" w:hAnsi="Tahoma" w:cs="Tahoma"/>
          <w:sz w:val="18"/>
          <w:szCs w:val="18"/>
          <w:lang w:val="de-DE"/>
        </w:rPr>
        <w:t>Gibt an, dass die Software als Produkt des Industry Device-Programms angeboten wird.</w:t>
      </w:r>
    </w:p>
    <w:p w:rsidR="00023FE7" w:rsidRPr="00C83DF5" w:rsidRDefault="00023FE7">
      <w:pPr>
        <w:pStyle w:val="Bodywithspace"/>
        <w:spacing w:before="0" w:after="0" w:line="276" w:lineRule="auto"/>
        <w:ind w:right="-180"/>
        <w:rPr>
          <w:lang w:val="de-DE"/>
        </w:rPr>
      </w:pPr>
      <w:r w:rsidRPr="00C83DF5">
        <w:rPr>
          <w:rStyle w:val="BodyChar"/>
          <w:rFonts w:ascii="Tahoma" w:hAnsi="Tahoma" w:cs="Tahoma"/>
          <w:b/>
          <w:sz w:val="18"/>
          <w:szCs w:val="18"/>
          <w:lang w:val="de-DE"/>
        </w:rPr>
        <w:t>DT =</w:t>
      </w:r>
      <w:r w:rsidRPr="00C83DF5">
        <w:rPr>
          <w:rFonts w:ascii="Tahoma" w:hAnsi="Tahoma" w:cs="Tahoma"/>
          <w:sz w:val="18"/>
          <w:szCs w:val="18"/>
          <w:lang w:val="de-DE"/>
        </w:rPr>
        <w:t xml:space="preserve"> Software Assurance-Vergünstigungen für Desktop-Angebote. </w:t>
      </w:r>
    </w:p>
    <w:p w:rsidR="00F90F21" w:rsidRPr="00C83DF5" w:rsidRDefault="009055B7">
      <w:pPr>
        <w:pStyle w:val="Bodywithspace"/>
        <w:spacing w:before="0" w:after="0" w:line="276" w:lineRule="auto"/>
        <w:ind w:right="-180"/>
        <w:rPr>
          <w:lang w:val="de-DE"/>
        </w:rPr>
      </w:pPr>
      <w:r w:rsidRPr="00C83DF5">
        <w:rPr>
          <w:rFonts w:ascii="Tahoma" w:hAnsi="Tahoma" w:cs="Times New Roman"/>
          <w:b/>
          <w:color w:val="000000"/>
          <w:sz w:val="18"/>
          <w:szCs w:val="22"/>
          <w:lang w:val="de-DE"/>
        </w:rPr>
        <w:t>E</w:t>
      </w:r>
      <w:r w:rsidRPr="00C83DF5">
        <w:rPr>
          <w:rFonts w:ascii="Tahoma" w:hAnsi="Tahoma" w:cs="Times New Roman"/>
          <w:b/>
          <w:bCs/>
          <w:color w:val="000000"/>
          <w:sz w:val="18"/>
          <w:szCs w:val="22"/>
          <w:lang w:val="de-DE"/>
        </w:rPr>
        <w:t xml:space="preserve"> =</w:t>
      </w:r>
      <w:r w:rsidRPr="00C83DF5">
        <w:rPr>
          <w:rFonts w:ascii="Tahoma" w:hAnsi="Tahoma" w:cs="Times New Roman"/>
          <w:color w:val="000000"/>
          <w:sz w:val="18"/>
          <w:szCs w:val="22"/>
          <w:lang w:val="de-DE"/>
        </w:rPr>
        <w:t xml:space="preserve"> Gibt an, dass das Produkt als Konzernprodukt oder als Desktop-Plattformprodukt angeboten wird.</w:t>
      </w:r>
    </w:p>
    <w:p w:rsidR="00B23BE6" w:rsidRPr="00C83DF5" w:rsidRDefault="00B23BE6" w:rsidP="00B23BE6">
      <w:pPr>
        <w:spacing w:line="276" w:lineRule="auto"/>
        <w:ind w:left="720" w:right="-180"/>
        <w:rPr>
          <w:lang w:val="de-DE"/>
        </w:rPr>
      </w:pPr>
      <w:r w:rsidRPr="00C83DF5">
        <w:rPr>
          <w:b/>
          <w:color w:val="000000"/>
          <w:lang w:val="de-DE"/>
        </w:rPr>
        <w:t>EOLS =</w:t>
      </w:r>
      <w:r w:rsidRPr="00C83DF5">
        <w:rPr>
          <w:color w:val="000000"/>
          <w:lang w:val="de-DE"/>
        </w:rPr>
        <w:t xml:space="preserve"> Gibt an, dass das Produkt als Konzern-Onlinedienst oder Plattform-Onlinedienst angeboten wird.</w:t>
      </w:r>
    </w:p>
    <w:p w:rsidR="00E97819" w:rsidRPr="00C83DF5" w:rsidRDefault="00E97819">
      <w:pPr>
        <w:pStyle w:val="Bodywithspace"/>
        <w:spacing w:before="0" w:after="0" w:line="276" w:lineRule="auto"/>
        <w:ind w:right="-180"/>
        <w:rPr>
          <w:lang w:val="de-DE"/>
        </w:rPr>
      </w:pPr>
      <w:r w:rsidRPr="00C83DF5">
        <w:rPr>
          <w:rFonts w:ascii="Tahoma" w:hAnsi="Tahoma" w:cs="Times New Roman"/>
          <w:b/>
          <w:color w:val="000000"/>
          <w:sz w:val="18"/>
          <w:szCs w:val="22"/>
          <w:lang w:val="de-DE"/>
        </w:rPr>
        <w:t xml:space="preserve">ST = </w:t>
      </w:r>
      <w:r w:rsidRPr="00C83DF5">
        <w:rPr>
          <w:rFonts w:ascii="Tahoma" w:hAnsi="Tahoma" w:cs="Times New Roman"/>
          <w:color w:val="000000"/>
          <w:sz w:val="18"/>
          <w:szCs w:val="22"/>
          <w:lang w:val="de-DE"/>
        </w:rPr>
        <w:t>Gibt an, dass die Software als Studentenangebot angeboten wird und für die volle Studentenanzahl bestellt werden muss.</w:t>
      </w:r>
    </w:p>
    <w:p w:rsidR="00023FE7" w:rsidRPr="00C83DF5" w:rsidRDefault="00023FE7" w:rsidP="00215FAF">
      <w:pPr>
        <w:pStyle w:val="Bodywithspace"/>
        <w:spacing w:before="0" w:after="0" w:line="276" w:lineRule="auto"/>
        <w:ind w:right="-180"/>
        <w:rPr>
          <w:lang w:val="de-DE"/>
        </w:rPr>
      </w:pPr>
      <w:r w:rsidRPr="00C83DF5">
        <w:rPr>
          <w:rStyle w:val="BodyChar"/>
          <w:rFonts w:ascii="Tahoma" w:hAnsi="Tahoma" w:cs="Tahoma"/>
          <w:b/>
          <w:sz w:val="18"/>
          <w:szCs w:val="18"/>
          <w:lang w:val="de-DE"/>
        </w:rPr>
        <w:t>L (License) =</w:t>
      </w:r>
      <w:r w:rsidRPr="00C83DF5">
        <w:rPr>
          <w:rFonts w:ascii="Tahoma" w:hAnsi="Tahoma" w:cs="Tahoma"/>
          <w:sz w:val="18"/>
          <w:szCs w:val="18"/>
          <w:lang w:val="de-DE"/>
        </w:rPr>
        <w:t xml:space="preserve"> Vorgesehener Punktwert, wenn für die angegebene Software eine Standardlizenz angeboten</w:t>
      </w:r>
      <w:r w:rsidR="00215FAF" w:rsidRPr="00C83DF5">
        <w:rPr>
          <w:rFonts w:ascii="Tahoma" w:hAnsi="Tahoma" w:cs="Tahoma"/>
          <w:sz w:val="18"/>
          <w:szCs w:val="18"/>
          <w:lang w:val="de-DE"/>
        </w:rPr>
        <w:t> </w:t>
      </w:r>
      <w:r w:rsidRPr="00C83DF5">
        <w:rPr>
          <w:rFonts w:ascii="Tahoma" w:hAnsi="Tahoma" w:cs="Tahoma"/>
          <w:sz w:val="18"/>
          <w:szCs w:val="18"/>
          <w:lang w:val="de-DE"/>
        </w:rPr>
        <w:t>wird.</w:t>
      </w:r>
    </w:p>
    <w:p w:rsidR="00023FE7" w:rsidRPr="00C83DF5" w:rsidRDefault="00023FE7" w:rsidP="00C5483E">
      <w:pPr>
        <w:pStyle w:val="Bodywithspace"/>
        <w:spacing w:before="0" w:after="0" w:line="276" w:lineRule="auto"/>
        <w:ind w:right="-180"/>
        <w:rPr>
          <w:lang w:val="de-DE"/>
        </w:rPr>
      </w:pPr>
      <w:r w:rsidRPr="00C83DF5">
        <w:rPr>
          <w:rStyle w:val="BodyChar"/>
          <w:rFonts w:ascii="Tahoma" w:hAnsi="Tahoma" w:cs="Tahoma"/>
          <w:b/>
          <w:sz w:val="18"/>
          <w:szCs w:val="18"/>
          <w:lang w:val="de-DE"/>
        </w:rPr>
        <w:t>L&amp;SA (Lizenz und Software Assurance) =</w:t>
      </w:r>
      <w:r w:rsidRPr="00C83DF5">
        <w:rPr>
          <w:rFonts w:ascii="Tahoma" w:hAnsi="Tahoma" w:cs="Tahoma"/>
          <w:sz w:val="18"/>
          <w:szCs w:val="18"/>
          <w:lang w:val="de-DE"/>
        </w:rPr>
        <w:t xml:space="preserve"> Vorgesehener Punktwert, wenn für die angegebene Software</w:t>
      </w:r>
      <w:r w:rsidR="00C5483E" w:rsidRPr="00C83DF5">
        <w:rPr>
          <w:rFonts w:ascii="Tahoma" w:hAnsi="Tahoma" w:cs="Tahoma"/>
          <w:sz w:val="18"/>
          <w:szCs w:val="18"/>
          <w:lang w:val="de-DE"/>
        </w:rPr>
        <w:t> </w:t>
      </w:r>
      <w:r w:rsidRPr="00C83DF5">
        <w:rPr>
          <w:rFonts w:ascii="Tahoma" w:hAnsi="Tahoma" w:cs="Tahoma"/>
          <w:sz w:val="18"/>
          <w:szCs w:val="18"/>
          <w:lang w:val="de-DE"/>
        </w:rPr>
        <w:t>Lizenz und Software Assurance angeboten wird.</w:t>
      </w:r>
    </w:p>
    <w:p w:rsidR="00023FE7" w:rsidRPr="00C83DF5" w:rsidRDefault="00023FE7">
      <w:pPr>
        <w:pStyle w:val="Bodywithspace"/>
        <w:spacing w:before="0" w:after="0" w:line="276" w:lineRule="auto"/>
        <w:rPr>
          <w:rFonts w:ascii="Tahoma" w:hAnsi="Tahoma" w:cs="Tahoma"/>
          <w:color w:val="000000"/>
          <w:sz w:val="18"/>
          <w:szCs w:val="18"/>
          <w:lang w:val="de-DE"/>
        </w:rPr>
      </w:pPr>
      <w:r w:rsidRPr="00C83DF5">
        <w:rPr>
          <w:rStyle w:val="BodyChar"/>
          <w:rFonts w:ascii="Tahoma" w:hAnsi="Tahoma" w:cs="Tahoma"/>
          <w:b/>
          <w:bCs/>
          <w:color w:val="000000"/>
          <w:sz w:val="18"/>
          <w:szCs w:val="18"/>
          <w:lang w:val="de-DE"/>
        </w:rPr>
        <w:t>OL =</w:t>
      </w:r>
      <w:r w:rsidRPr="00C83DF5">
        <w:rPr>
          <w:rFonts w:ascii="Tahoma" w:hAnsi="Tahoma" w:cs="Tahoma"/>
          <w:color w:val="000000"/>
          <w:sz w:val="18"/>
          <w:szCs w:val="18"/>
          <w:lang w:val="de-DE"/>
        </w:rPr>
        <w:t xml:space="preserve"> Im Rahmen von Open-Lizenz verfügbar.</w:t>
      </w:r>
    </w:p>
    <w:p w:rsidR="00B207A5" w:rsidRPr="00C83DF5" w:rsidRDefault="00B207A5">
      <w:pPr>
        <w:pStyle w:val="Bodywithspace"/>
        <w:spacing w:before="0" w:after="0" w:line="276" w:lineRule="auto"/>
        <w:rPr>
          <w:lang w:val="de-DE"/>
        </w:rPr>
      </w:pPr>
    </w:p>
    <w:p w:rsidR="00B207A5" w:rsidRPr="00C83DF5" w:rsidRDefault="00B207A5">
      <w:pPr>
        <w:pStyle w:val="Bodywithspace"/>
        <w:spacing w:before="0" w:after="0" w:line="276" w:lineRule="auto"/>
        <w:rPr>
          <w:lang w:val="de-DE"/>
        </w:rPr>
      </w:pPr>
    </w:p>
    <w:p w:rsidR="001D3F04" w:rsidRPr="00C83DF5" w:rsidRDefault="001D3F04" w:rsidP="00A22771">
      <w:pPr>
        <w:pStyle w:val="Bodywithspace"/>
        <w:spacing w:before="0" w:after="0" w:line="276" w:lineRule="auto"/>
        <w:rPr>
          <w:lang w:val="de-DE"/>
        </w:rPr>
      </w:pPr>
      <w:r w:rsidRPr="00C83DF5">
        <w:rPr>
          <w:rStyle w:val="BodyChar"/>
          <w:rFonts w:ascii="Tahoma" w:hAnsi="Tahoma" w:cs="Tahoma"/>
          <w:b/>
          <w:sz w:val="18"/>
          <w:szCs w:val="18"/>
          <w:lang w:val="de-DE"/>
        </w:rPr>
        <w:lastRenderedPageBreak/>
        <w:t xml:space="preserve">OSB </w:t>
      </w:r>
      <w:r w:rsidRPr="00C83DF5">
        <w:rPr>
          <w:rStyle w:val="BodyChar"/>
          <w:rFonts w:ascii="Tahoma" w:hAnsi="Tahoma" w:cs="Tahoma"/>
          <w:b/>
          <w:bCs/>
          <w:sz w:val="18"/>
          <w:szCs w:val="18"/>
          <w:lang w:val="de-DE"/>
        </w:rPr>
        <w:t>=</w:t>
      </w:r>
      <w:r w:rsidRPr="00C83DF5">
        <w:rPr>
          <w:rStyle w:val="BodyChar"/>
          <w:rFonts w:ascii="Tahoma" w:hAnsi="Tahoma" w:cs="Tahoma"/>
          <w:sz w:val="18"/>
          <w:szCs w:val="18"/>
          <w:lang w:val="de-DE"/>
        </w:rPr>
        <w:t xml:space="preserve"> Onlinedienste-Vergünstigungen für berechtigte Kunden.</w:t>
      </w:r>
      <w:r w:rsidR="00E71F46" w:rsidRPr="00C83DF5">
        <w:rPr>
          <w:rStyle w:val="BodyChar"/>
          <w:rFonts w:ascii="Tahoma" w:hAnsi="Tahoma" w:cs="Tahoma"/>
          <w:sz w:val="18"/>
          <w:szCs w:val="18"/>
          <w:lang w:val="de-DE"/>
        </w:rPr>
        <w:t xml:space="preserve"> </w:t>
      </w:r>
      <w:r w:rsidRPr="00C83DF5">
        <w:rPr>
          <w:rStyle w:val="BodyChar"/>
          <w:rFonts w:ascii="Tahoma" w:hAnsi="Tahoma" w:cs="Tahoma"/>
          <w:sz w:val="18"/>
          <w:szCs w:val="18"/>
          <w:lang w:val="de-DE"/>
        </w:rPr>
        <w:t>Beachten Sie, dass P</w:t>
      </w:r>
      <w:r w:rsidRPr="00C83DF5">
        <w:rPr>
          <w:rFonts w:ascii="Tahoma" w:hAnsi="Tahoma" w:cs="Tahoma"/>
          <w:sz w:val="18"/>
          <w:szCs w:val="18"/>
          <w:lang w:val="de-DE"/>
        </w:rPr>
        <w:t>rodukte, die für Onlinedienste-Vergünstigungen berechtigt sind, in mehreren Produkt-Pool-Tabellen aufgeführt werden können.</w:t>
      </w:r>
      <w:r w:rsidR="00E71F46" w:rsidRPr="00C83DF5">
        <w:rPr>
          <w:rFonts w:ascii="Tahoma" w:hAnsi="Tahoma" w:cs="Tahoma"/>
          <w:sz w:val="18"/>
          <w:szCs w:val="18"/>
          <w:lang w:val="de-DE"/>
        </w:rPr>
        <w:t xml:space="preserve"> </w:t>
      </w:r>
      <w:r w:rsidRPr="00C83DF5">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rsidR="00023FE7" w:rsidRPr="00C83DF5" w:rsidRDefault="00023FE7" w:rsidP="00A22771">
      <w:pPr>
        <w:pStyle w:val="Bodywithspace"/>
        <w:spacing w:before="0" w:after="0" w:line="276" w:lineRule="auto"/>
        <w:rPr>
          <w:lang w:val="de-DE"/>
        </w:rPr>
      </w:pPr>
      <w:r w:rsidRPr="00C83DF5">
        <w:rPr>
          <w:rStyle w:val="BodyChar"/>
          <w:rFonts w:ascii="Tahoma" w:hAnsi="Tahoma" w:cs="Tahoma"/>
          <w:b/>
          <w:bCs/>
          <w:color w:val="000000"/>
          <w:sz w:val="18"/>
          <w:szCs w:val="18"/>
          <w:lang w:val="de-DE"/>
        </w:rPr>
        <w:t xml:space="preserve">OL/SA = </w:t>
      </w:r>
      <w:r w:rsidRPr="00C83DF5">
        <w:rPr>
          <w:rStyle w:val="BodyChar"/>
          <w:rFonts w:ascii="Tahoma" w:hAnsi="Tahoma" w:cs="Tahoma"/>
          <w:color w:val="000000"/>
          <w:sz w:val="18"/>
          <w:szCs w:val="18"/>
          <w:lang w:val="de-DE"/>
        </w:rPr>
        <w:t>Nur im Rahmen von Open-Lizenz für L&amp;SA und SA verfügbar.</w:t>
      </w:r>
    </w:p>
    <w:p w:rsidR="00023FE7" w:rsidRPr="00C83DF5" w:rsidRDefault="00023FE7" w:rsidP="00A22771">
      <w:pPr>
        <w:pStyle w:val="Bodywithspace"/>
        <w:spacing w:before="0" w:after="0" w:line="276" w:lineRule="auto"/>
        <w:rPr>
          <w:lang w:val="de-DE"/>
        </w:rPr>
      </w:pPr>
      <w:r w:rsidRPr="00C83DF5">
        <w:rPr>
          <w:rStyle w:val="BodyChar"/>
          <w:rFonts w:ascii="Tahoma" w:hAnsi="Tahoma" w:cs="Tahoma"/>
          <w:b/>
          <w:bCs/>
          <w:color w:val="000000"/>
          <w:sz w:val="18"/>
          <w:szCs w:val="18"/>
          <w:lang w:val="de-DE"/>
        </w:rPr>
        <w:t xml:space="preserve">OSP = </w:t>
      </w:r>
      <w:r w:rsidRPr="00C83DF5">
        <w:rPr>
          <w:rStyle w:val="BodyChar"/>
          <w:rFonts w:ascii="Tahoma" w:hAnsi="Tahoma" w:cs="Tahoma"/>
          <w:bCs/>
          <w:color w:val="000000"/>
          <w:sz w:val="18"/>
          <w:szCs w:val="18"/>
          <w:lang w:val="de-DE"/>
        </w:rPr>
        <w:t>Im Online Subscription-Programm verfügbar.</w:t>
      </w:r>
    </w:p>
    <w:p w:rsidR="00023FE7" w:rsidRPr="00C83DF5" w:rsidRDefault="00023FE7" w:rsidP="00A22771">
      <w:pPr>
        <w:pStyle w:val="Bodywithspace"/>
        <w:spacing w:before="0" w:after="0" w:line="276" w:lineRule="auto"/>
        <w:rPr>
          <w:lang w:val="de-DE"/>
        </w:rPr>
      </w:pPr>
      <w:r w:rsidRPr="00C83DF5">
        <w:rPr>
          <w:rStyle w:val="BodyChar"/>
          <w:rFonts w:ascii="Tahoma" w:hAnsi="Tahoma" w:cs="Tahoma"/>
          <w:b/>
          <w:bCs/>
          <w:color w:val="000000"/>
          <w:sz w:val="18"/>
          <w:szCs w:val="18"/>
          <w:lang w:val="de-DE"/>
        </w:rPr>
        <w:t>OV/OVS =</w:t>
      </w:r>
      <w:r w:rsidRPr="00C83DF5">
        <w:rPr>
          <w:rFonts w:ascii="Tahoma" w:hAnsi="Tahoma" w:cs="Tahoma"/>
          <w:color w:val="000000"/>
          <w:sz w:val="18"/>
          <w:szCs w:val="18"/>
          <w:lang w:val="de-DE"/>
        </w:rPr>
        <w:t xml:space="preserve"> Im Open Value- und Open Value Subscription-Programm verfügbar.</w:t>
      </w:r>
    </w:p>
    <w:p w:rsidR="00023FE7" w:rsidRPr="00C83DF5" w:rsidRDefault="00023FE7" w:rsidP="00874349">
      <w:pPr>
        <w:pStyle w:val="Bodywithspace"/>
        <w:spacing w:before="0" w:after="0" w:line="276" w:lineRule="auto"/>
        <w:rPr>
          <w:lang w:val="de-DE"/>
        </w:rPr>
      </w:pPr>
      <w:r w:rsidRPr="00C83DF5">
        <w:rPr>
          <w:rStyle w:val="BodyChar"/>
          <w:rFonts w:ascii="Tahoma" w:hAnsi="Tahoma" w:cs="Tahoma"/>
          <w:b/>
          <w:sz w:val="18"/>
          <w:szCs w:val="18"/>
          <w:lang w:val="de-DE"/>
        </w:rPr>
        <w:t>P =</w:t>
      </w:r>
      <w:r w:rsidRPr="00C83DF5">
        <w:rPr>
          <w:rFonts w:ascii="Tahoma" w:hAnsi="Tahoma" w:cs="Tahoma"/>
          <w:sz w:val="18"/>
          <w:szCs w:val="18"/>
          <w:lang w:val="de-DE"/>
        </w:rPr>
        <w:t xml:space="preserve"> Kennzeichnet Software, die auf nicht unternehmensweiter Basis im Rahmen von Open Value angeboten</w:t>
      </w:r>
      <w:r w:rsidR="00874349" w:rsidRPr="00C83DF5">
        <w:rPr>
          <w:rFonts w:ascii="Tahoma" w:hAnsi="Tahoma" w:cs="Tahoma"/>
          <w:sz w:val="18"/>
          <w:szCs w:val="18"/>
          <w:lang w:val="de-DE"/>
        </w:rPr>
        <w:t> </w:t>
      </w:r>
      <w:r w:rsidRPr="00C83DF5">
        <w:rPr>
          <w:rFonts w:ascii="Tahoma" w:hAnsi="Tahoma" w:cs="Tahoma"/>
          <w:sz w:val="18"/>
          <w:szCs w:val="18"/>
          <w:lang w:val="de-DE"/>
        </w:rPr>
        <w:t xml:space="preserve">wird. </w:t>
      </w:r>
    </w:p>
    <w:p w:rsidR="009F5F37" w:rsidRPr="00C83DF5" w:rsidRDefault="009F5F37" w:rsidP="00A22771">
      <w:pPr>
        <w:pStyle w:val="Bodywithspace"/>
        <w:spacing w:before="0" w:after="0" w:line="276" w:lineRule="auto"/>
        <w:rPr>
          <w:lang w:val="de-DE"/>
        </w:rPr>
      </w:pPr>
      <w:r w:rsidRPr="00C83DF5">
        <w:rPr>
          <w:rStyle w:val="BodyChar"/>
          <w:rFonts w:ascii="Tahoma" w:hAnsi="Tahoma" w:cs="Tahoma"/>
          <w:b/>
          <w:sz w:val="18"/>
          <w:szCs w:val="18"/>
          <w:lang w:val="de-DE"/>
        </w:rPr>
        <w:t xml:space="preserve">S = </w:t>
      </w:r>
      <w:r w:rsidRPr="00C83DF5">
        <w:rPr>
          <w:rFonts w:ascii="Tahoma" w:hAnsi="Tahoma" w:cs="Tahoma"/>
          <w:sz w:val="18"/>
          <w:szCs w:val="18"/>
          <w:lang w:val="de-DE"/>
        </w:rPr>
        <w:t>Gibt an, dass die Software als Anwendungsplattform-Produkt angeboten wird.</w:t>
      </w:r>
    </w:p>
    <w:p w:rsidR="00023FE7" w:rsidRPr="00C83DF5" w:rsidRDefault="00023FE7" w:rsidP="00A22771">
      <w:pPr>
        <w:pStyle w:val="Bodywithspace"/>
        <w:spacing w:before="0" w:after="0" w:line="276" w:lineRule="auto"/>
        <w:rPr>
          <w:lang w:val="de-DE"/>
        </w:rPr>
      </w:pPr>
      <w:r w:rsidRPr="00C83DF5">
        <w:rPr>
          <w:rStyle w:val="BodyChar"/>
          <w:rFonts w:ascii="Tahoma" w:hAnsi="Tahoma" w:cs="Tahoma"/>
          <w:b/>
          <w:sz w:val="18"/>
          <w:szCs w:val="18"/>
          <w:lang w:val="de-DE"/>
        </w:rPr>
        <w:t>SA (Software Assurance) =</w:t>
      </w:r>
      <w:r w:rsidRPr="00C83DF5">
        <w:rPr>
          <w:rFonts w:ascii="Tahoma" w:hAnsi="Tahoma" w:cs="Tahoma"/>
          <w:sz w:val="18"/>
          <w:szCs w:val="18"/>
          <w:lang w:val="de-DE"/>
        </w:rPr>
        <w:t xml:space="preserve"> Vorgesehener Punktwert, wenn für die angegebene Software Software Assurance angeboten wird. </w:t>
      </w:r>
    </w:p>
    <w:p w:rsidR="00913A0A" w:rsidRPr="00C83DF5" w:rsidRDefault="00913A0A" w:rsidP="00A22771">
      <w:pPr>
        <w:pStyle w:val="Bodywithspace"/>
        <w:spacing w:before="0" w:after="0" w:line="276" w:lineRule="auto"/>
        <w:rPr>
          <w:lang w:val="de-DE"/>
        </w:rPr>
      </w:pPr>
      <w:r w:rsidRPr="00C83DF5">
        <w:rPr>
          <w:rStyle w:val="BodyChar"/>
          <w:rFonts w:ascii="Tahoma" w:hAnsi="Tahoma" w:cs="Tahoma"/>
          <w:b/>
          <w:sz w:val="18"/>
          <w:szCs w:val="18"/>
          <w:lang w:val="de-DE"/>
        </w:rPr>
        <w:t xml:space="preserve">SCE </w:t>
      </w:r>
      <w:r w:rsidRPr="00C83DF5">
        <w:rPr>
          <w:rStyle w:val="BodyChar"/>
          <w:rFonts w:ascii="Tahoma" w:hAnsi="Tahoma" w:cs="Tahoma"/>
          <w:b/>
          <w:bCs/>
          <w:sz w:val="18"/>
          <w:szCs w:val="18"/>
          <w:lang w:val="de-DE"/>
        </w:rPr>
        <w:t>=</w:t>
      </w:r>
      <w:r w:rsidRPr="00C83DF5">
        <w:rPr>
          <w:rStyle w:val="BodyChar"/>
          <w:rFonts w:ascii="Tahoma" w:hAnsi="Tahoma" w:cs="Tahoma"/>
          <w:sz w:val="18"/>
          <w:szCs w:val="18"/>
          <w:lang w:val="de-DE"/>
        </w:rPr>
        <w:t xml:space="preserve"> Server- und Cloud-Beitritt.</w:t>
      </w:r>
    </w:p>
    <w:p w:rsidR="00913A0A" w:rsidRPr="00C83DF5" w:rsidRDefault="00913A0A" w:rsidP="00A22771">
      <w:pPr>
        <w:pStyle w:val="Bodywithspace"/>
        <w:spacing w:before="0" w:after="0" w:line="276" w:lineRule="auto"/>
        <w:rPr>
          <w:lang w:val="de-DE"/>
        </w:rPr>
      </w:pPr>
      <w:r w:rsidRPr="00C83DF5">
        <w:rPr>
          <w:rStyle w:val="BodyChar"/>
          <w:rFonts w:ascii="Tahoma" w:hAnsi="Tahoma" w:cs="Tahoma"/>
          <w:b/>
          <w:sz w:val="18"/>
          <w:szCs w:val="18"/>
          <w:lang w:val="de-DE"/>
        </w:rPr>
        <w:t xml:space="preserve">STP </w:t>
      </w:r>
      <w:r w:rsidRPr="00C83DF5">
        <w:rPr>
          <w:rStyle w:val="BodyChar"/>
          <w:rFonts w:ascii="Tahoma" w:hAnsi="Tahoma" w:cs="Tahoma"/>
          <w:b/>
          <w:bCs/>
          <w:sz w:val="18"/>
          <w:szCs w:val="18"/>
          <w:lang w:val="de-DE"/>
        </w:rPr>
        <w:t>=</w:t>
      </w:r>
      <w:r w:rsidRPr="00C83DF5">
        <w:rPr>
          <w:rStyle w:val="BodyChar"/>
          <w:rFonts w:ascii="Tahoma" w:hAnsi="Tahoma" w:cs="Tahoma"/>
          <w:b/>
          <w:sz w:val="18"/>
          <w:szCs w:val="18"/>
          <w:lang w:val="de-DE"/>
        </w:rPr>
        <w:t xml:space="preserve"> </w:t>
      </w:r>
      <w:r w:rsidRPr="00C83DF5">
        <w:rPr>
          <w:rStyle w:val="BodyChar"/>
          <w:rFonts w:ascii="Tahoma" w:hAnsi="Tahoma" w:cs="Tahoma"/>
          <w:sz w:val="18"/>
          <w:szCs w:val="18"/>
          <w:lang w:val="de-DE"/>
        </w:rPr>
        <w:t>Gibt an, dass es sich bei dem Produkt um ein Server and Tools-Produkt handelt, das unter dem Server- und Cloud-Beitritt angeboten wird.</w:t>
      </w:r>
    </w:p>
    <w:p w:rsidR="00023FE7" w:rsidRPr="00C83DF5" w:rsidRDefault="00023FE7" w:rsidP="00A22771">
      <w:pPr>
        <w:pStyle w:val="Bodywithspace"/>
        <w:spacing w:before="0" w:after="0" w:line="276" w:lineRule="auto"/>
        <w:rPr>
          <w:lang w:val="de-DE"/>
        </w:rPr>
      </w:pPr>
      <w:r w:rsidRPr="00C83DF5">
        <w:rPr>
          <w:rStyle w:val="BodyChar"/>
          <w:rFonts w:ascii="Tahoma" w:hAnsi="Tahoma" w:cs="Tahoma"/>
          <w:b/>
          <w:sz w:val="18"/>
          <w:szCs w:val="18"/>
          <w:lang w:val="de-DE"/>
        </w:rPr>
        <w:t>SRV =</w:t>
      </w:r>
      <w:r w:rsidRPr="00C83DF5">
        <w:rPr>
          <w:rFonts w:ascii="Tahoma" w:hAnsi="Tahoma" w:cs="Tahoma"/>
          <w:sz w:val="18"/>
          <w:szCs w:val="18"/>
          <w:lang w:val="de-DE"/>
        </w:rPr>
        <w:t xml:space="preserve"> Software Assurance-Vergünstigungen für Server-Pool-Angebote. </w:t>
      </w:r>
    </w:p>
    <w:p w:rsidR="00023FE7" w:rsidRPr="00C83DF5" w:rsidRDefault="00023FE7" w:rsidP="00A22771">
      <w:pPr>
        <w:pStyle w:val="Bodywithspace"/>
        <w:tabs>
          <w:tab w:val="left" w:pos="9360"/>
        </w:tabs>
        <w:spacing w:before="0" w:after="0" w:line="276" w:lineRule="auto"/>
        <w:rPr>
          <w:lang w:val="de-DE"/>
        </w:rPr>
      </w:pPr>
      <w:r w:rsidRPr="00C83DF5">
        <w:rPr>
          <w:rStyle w:val="BodyChar"/>
          <w:rFonts w:ascii="Tahoma" w:hAnsi="Tahoma" w:cs="Tahoma"/>
          <w:b/>
          <w:sz w:val="18"/>
          <w:szCs w:val="18"/>
          <w:lang w:val="de-DE"/>
        </w:rPr>
        <w:t>U (Upgrade License) =</w:t>
      </w:r>
      <w:r w:rsidRPr="00C83DF5">
        <w:rPr>
          <w:rFonts w:ascii="Tahoma" w:hAnsi="Tahoma" w:cs="Tahoma"/>
          <w:sz w:val="18"/>
          <w:szCs w:val="18"/>
          <w:lang w:val="de-DE"/>
        </w:rPr>
        <w:t xml:space="preserve"> Vorgesehener Punktwert, wenn für die angegebene Software ein Upgrade angeboten wird.</w:t>
      </w:r>
    </w:p>
    <w:p w:rsidR="00023FE7" w:rsidRPr="00C83DF5" w:rsidRDefault="00023FE7" w:rsidP="00A22771">
      <w:pPr>
        <w:pStyle w:val="Bodywithspace"/>
        <w:spacing w:before="0" w:after="0" w:line="276" w:lineRule="auto"/>
        <w:rPr>
          <w:lang w:val="de-DE"/>
        </w:rPr>
      </w:pPr>
      <w:r w:rsidRPr="00C83DF5">
        <w:rPr>
          <w:rStyle w:val="BodyChar"/>
          <w:rFonts w:ascii="Tahoma" w:hAnsi="Tahoma" w:cs="Tahoma"/>
          <w:b/>
          <w:sz w:val="18"/>
          <w:szCs w:val="18"/>
          <w:lang w:val="de-DE"/>
        </w:rPr>
        <w:t>U &amp; SA (Upgrade und Software Assurance)</w:t>
      </w:r>
      <w:r w:rsidRPr="00C83DF5">
        <w:rPr>
          <w:rFonts w:ascii="Tahoma" w:hAnsi="Tahoma" w:cs="Tahoma"/>
          <w:b/>
          <w:bCs/>
          <w:sz w:val="18"/>
          <w:szCs w:val="18"/>
          <w:lang w:val="de-DE"/>
        </w:rPr>
        <w:t xml:space="preserve"> =</w:t>
      </w:r>
      <w:r w:rsidRPr="00C83DF5">
        <w:rPr>
          <w:rFonts w:ascii="Tahoma" w:hAnsi="Tahoma" w:cs="Tahoma"/>
          <w:sz w:val="18"/>
          <w:szCs w:val="18"/>
          <w:lang w:val="de-DE"/>
        </w:rPr>
        <w:t xml:space="preserve"> Vorgesehener Punktwert, wenn für die angegebene Software Upgrade und Software Assurance angeboten wird.</w:t>
      </w:r>
    </w:p>
    <w:p w:rsidR="00023FE7" w:rsidRPr="00C83DF5" w:rsidRDefault="00023FE7" w:rsidP="007D1C8D">
      <w:pPr>
        <w:pStyle w:val="Heading1"/>
      </w:pPr>
      <w:r w:rsidRPr="00CB367A">
        <w:rPr>
          <w:lang w:val="de-DE"/>
        </w:rPr>
        <w:br w:type="page"/>
      </w:r>
      <w:bookmarkStart w:id="10" w:name="_Toc336337841"/>
      <w:bookmarkStart w:id="11" w:name="_Toc370982967"/>
      <w:r w:rsidRPr="00C83DF5">
        <w:lastRenderedPageBreak/>
        <w:t>PRODUKTLISTE</w:t>
      </w:r>
      <w:bookmarkEnd w:id="10"/>
      <w:bookmarkEnd w:id="11"/>
    </w:p>
    <w:p w:rsidR="000E5145" w:rsidRPr="0072501E" w:rsidRDefault="000E5145" w:rsidP="004E292A">
      <w:pPr>
        <w:pStyle w:val="Heading3"/>
        <w:rPr>
          <w:rFonts w:ascii="Tahoma" w:hAnsi="Tahoma" w:cs="Tahoma"/>
          <w:b w:val="0"/>
          <w:sz w:val="16"/>
          <w:szCs w:val="16"/>
        </w:rPr>
      </w:pPr>
      <w:bookmarkStart w:id="12" w:name="_Toc300391149"/>
      <w:bookmarkStart w:id="13" w:name="_Toc312398873"/>
      <w:bookmarkStart w:id="14" w:name="_Toc336337842"/>
    </w:p>
    <w:p w:rsidR="00F70479" w:rsidRPr="0072501E" w:rsidRDefault="00F70479" w:rsidP="007D1C8D">
      <w:pPr>
        <w:pStyle w:val="Heading3"/>
        <w:rPr>
          <w:rFonts w:ascii="Tahoma" w:hAnsi="Tahoma" w:cs="Tahoma"/>
          <w:b w:val="0"/>
          <w:sz w:val="16"/>
          <w:szCs w:val="16"/>
        </w:rPr>
      </w:pPr>
    </w:p>
    <w:p w:rsidR="00023FE7" w:rsidRPr="007D1C8D" w:rsidRDefault="00023FE7" w:rsidP="004E292A">
      <w:pPr>
        <w:pStyle w:val="Heading3"/>
        <w:rPr>
          <w:rFonts w:ascii="Tahoma" w:hAnsi="Tahoma" w:cs="Tahoma"/>
          <w:sz w:val="22"/>
          <w:szCs w:val="22"/>
        </w:rPr>
      </w:pPr>
      <w:bookmarkStart w:id="15" w:name="_Toc370982968"/>
      <w:r w:rsidRPr="00C83DF5">
        <w:rPr>
          <w:rFonts w:ascii="Tahoma" w:hAnsi="Tahoma" w:cs="Tahoma"/>
          <w:sz w:val="22"/>
          <w:szCs w:val="22"/>
        </w:rPr>
        <w:t>ANWENDUNGS-POOL</w:t>
      </w:r>
      <w:bookmarkEnd w:id="12"/>
      <w:bookmarkEnd w:id="13"/>
      <w:bookmarkEnd w:id="14"/>
      <w:bookmarkEnd w:id="15"/>
    </w:p>
    <w:p w:rsidR="006949F0" w:rsidRPr="0072501E" w:rsidRDefault="006949F0" w:rsidP="006949F0">
      <w:pPr>
        <w:rPr>
          <w:sz w:val="16"/>
          <w:szCs w:val="16"/>
        </w:rPr>
      </w:pPr>
    </w:p>
    <w:tbl>
      <w:tblPr>
        <w:tblW w:w="1065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913A0A" w:rsidRPr="00C83DF5" w:rsidTr="007D1C8D">
        <w:trPr>
          <w:cantSplit/>
          <w:trHeight w:val="1313"/>
          <w:tblHeader/>
        </w:trPr>
        <w:tc>
          <w:tcPr>
            <w:tcW w:w="2371" w:type="dxa"/>
            <w:tcBorders>
              <w:top w:val="single" w:sz="4" w:space="0" w:color="FFFFFF"/>
              <w:left w:val="nil"/>
              <w:bottom w:val="nil"/>
            </w:tcBorders>
          </w:tcPr>
          <w:p w:rsidR="00913A0A" w:rsidRPr="00C83DF5" w:rsidRDefault="00913A0A">
            <w:pPr>
              <w:widowControl w:val="0"/>
              <w:ind w:left="-360"/>
              <w:rPr>
                <w:rFonts w:cs="Tahoma"/>
              </w:rPr>
            </w:pPr>
          </w:p>
        </w:tc>
        <w:tc>
          <w:tcPr>
            <w:tcW w:w="429" w:type="dxa"/>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Produkthinweise</w:t>
            </w:r>
          </w:p>
        </w:tc>
        <w:tc>
          <w:tcPr>
            <w:tcW w:w="429" w:type="dxa"/>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Verfügbarkeitsdatum</w:t>
            </w:r>
          </w:p>
        </w:tc>
        <w:tc>
          <w:tcPr>
            <w:tcW w:w="429" w:type="dxa"/>
            <w:tcBorders>
              <w:right w:val="single" w:sz="18" w:space="0" w:color="auto"/>
            </w:tcBorders>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SAV</w:t>
            </w:r>
          </w:p>
        </w:tc>
        <w:tc>
          <w:tcPr>
            <w:tcW w:w="3003" w:type="dxa"/>
            <w:gridSpan w:val="7"/>
            <w:tcBorders>
              <w:left w:val="single" w:sz="18" w:space="0" w:color="auto"/>
              <w:right w:val="single" w:sz="18" w:space="0" w:color="auto"/>
            </w:tcBorders>
            <w:vAlign w:val="center"/>
          </w:tcPr>
          <w:p w:rsidR="00913A0A" w:rsidRPr="00C83DF5" w:rsidRDefault="00913A0A" w:rsidP="002644C0">
            <w:pPr>
              <w:pStyle w:val="TableHeadingsBlack"/>
              <w:widowControl w:val="0"/>
              <w:spacing w:before="0"/>
              <w:rPr>
                <w:rFonts w:ascii="Tahoma" w:hAnsi="Tahoma" w:cs="Tahoma"/>
              </w:rPr>
            </w:pPr>
            <w:r w:rsidRPr="00C83DF5">
              <w:rPr>
                <w:rFonts w:ascii="Tahoma" w:hAnsi="Tahoma" w:cs="Tahoma"/>
              </w:rPr>
              <w:t>Select/Select Plus*</w:t>
            </w:r>
          </w:p>
        </w:tc>
        <w:tc>
          <w:tcPr>
            <w:tcW w:w="1287" w:type="dxa"/>
            <w:gridSpan w:val="3"/>
            <w:tcBorders>
              <w:left w:val="single" w:sz="18" w:space="0" w:color="auto"/>
              <w:right w:val="single" w:sz="18" w:space="0" w:color="auto"/>
            </w:tcBorders>
            <w:vAlign w:val="center"/>
          </w:tcPr>
          <w:p w:rsidR="00913A0A" w:rsidRPr="00C83DF5" w:rsidRDefault="00913A0A" w:rsidP="002644C0">
            <w:pPr>
              <w:pStyle w:val="TableHeadingsBlack"/>
              <w:widowControl w:val="0"/>
              <w:spacing w:before="0"/>
              <w:rPr>
                <w:rFonts w:ascii="Tahoma" w:hAnsi="Tahoma" w:cs="Tahoma"/>
              </w:rPr>
            </w:pPr>
            <w:r w:rsidRPr="00C83DF5">
              <w:rPr>
                <w:rFonts w:ascii="Tahoma" w:hAnsi="Tahoma" w:cs="Tahoma"/>
              </w:rPr>
              <w:t>Open-Lizenz</w:t>
            </w:r>
          </w:p>
        </w:tc>
        <w:tc>
          <w:tcPr>
            <w:tcW w:w="429" w:type="dxa"/>
            <w:tcBorders>
              <w:left w:val="single" w:sz="18" w:space="0" w:color="auto"/>
            </w:tcBorders>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Campus- und School-Einheiten</w:t>
            </w:r>
          </w:p>
        </w:tc>
        <w:tc>
          <w:tcPr>
            <w:tcW w:w="429" w:type="dxa"/>
            <w:tcBorders>
              <w:right w:val="single" w:sz="18" w:space="0" w:color="auto"/>
            </w:tcBorders>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EA und EA Abo</w:t>
            </w:r>
          </w:p>
        </w:tc>
        <w:tc>
          <w:tcPr>
            <w:tcW w:w="429" w:type="dxa"/>
            <w:tcBorders>
              <w:left w:val="single" w:sz="18" w:space="0" w:color="auto"/>
              <w:right w:val="single" w:sz="18" w:space="0" w:color="auto"/>
            </w:tcBorders>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OV/OVS</w:t>
            </w:r>
          </w:p>
        </w:tc>
        <w:tc>
          <w:tcPr>
            <w:tcW w:w="514" w:type="dxa"/>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EES/OVS-ES</w:t>
            </w:r>
          </w:p>
        </w:tc>
        <w:tc>
          <w:tcPr>
            <w:tcW w:w="514" w:type="dxa"/>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Mindestmenge bei Open-Programmen</w:t>
            </w:r>
          </w:p>
        </w:tc>
        <w:tc>
          <w:tcPr>
            <w:tcW w:w="388" w:type="dxa"/>
            <w:textDirection w:val="btLr"/>
            <w:vAlign w:val="center"/>
          </w:tcPr>
          <w:p w:rsidR="00913A0A" w:rsidRPr="00C83DF5" w:rsidRDefault="00913A0A" w:rsidP="002644C0">
            <w:pPr>
              <w:pStyle w:val="TableVerticalText"/>
              <w:widowControl w:val="0"/>
              <w:rPr>
                <w:rFonts w:ascii="Tahoma" w:hAnsi="Tahoma" w:cs="Tahoma"/>
              </w:rPr>
            </w:pPr>
            <w:r w:rsidRPr="00C83DF5">
              <w:rPr>
                <w:rFonts w:ascii="Tahoma" w:hAnsi="Tahoma" w:cs="Tahoma"/>
              </w:rPr>
              <w:t>SCE</w:t>
            </w:r>
          </w:p>
        </w:tc>
      </w:tr>
      <w:tr w:rsidR="00913A0A" w:rsidRPr="00C83DF5" w:rsidTr="00D824AF">
        <w:trPr>
          <w:cantSplit/>
          <w:trHeight w:val="271"/>
          <w:tblHeader/>
        </w:trPr>
        <w:tc>
          <w:tcPr>
            <w:tcW w:w="2371" w:type="dxa"/>
            <w:vMerge w:val="restart"/>
            <w:tcBorders>
              <w:top w:val="nil"/>
              <w:left w:val="nil"/>
            </w:tcBorders>
          </w:tcPr>
          <w:p w:rsidR="00913A0A" w:rsidRPr="00C83DF5" w:rsidRDefault="00913A0A">
            <w:pPr>
              <w:widowControl w:val="0"/>
              <w:rPr>
                <w:rFonts w:cs="Tahoma"/>
                <w:b/>
              </w:rPr>
            </w:pPr>
          </w:p>
        </w:tc>
        <w:tc>
          <w:tcPr>
            <w:tcW w:w="429" w:type="dxa"/>
            <w:vMerge w:val="restart"/>
          </w:tcPr>
          <w:p w:rsidR="00913A0A" w:rsidRPr="00C83DF5" w:rsidRDefault="00913A0A">
            <w:pPr>
              <w:keepNext/>
              <w:widowControl w:val="0"/>
              <w:spacing w:before="200" w:after="120"/>
              <w:jc w:val="center"/>
              <w:outlineLvl w:val="0"/>
              <w:rPr>
                <w:rFonts w:cs="Tahoma"/>
                <w:b/>
                <w:color w:val="0000FF"/>
                <w:sz w:val="10"/>
              </w:rPr>
            </w:pPr>
            <w:r w:rsidRPr="00C83DF5">
              <w:rPr>
                <w:rFonts w:cs="Tahoma"/>
                <w:b/>
                <w:color w:val="0000FF"/>
                <w:sz w:val="10"/>
              </w:rPr>
              <w:t>(Strg + Klick)</w:t>
            </w:r>
          </w:p>
        </w:tc>
        <w:tc>
          <w:tcPr>
            <w:tcW w:w="429" w:type="dxa"/>
            <w:vMerge w:val="restart"/>
          </w:tcPr>
          <w:p w:rsidR="00913A0A" w:rsidRPr="00C83DF5" w:rsidRDefault="00913A0A">
            <w:pPr>
              <w:widowControl w:val="0"/>
              <w:rPr>
                <w:rFonts w:cs="Tahoma"/>
              </w:rPr>
            </w:pPr>
          </w:p>
        </w:tc>
        <w:tc>
          <w:tcPr>
            <w:tcW w:w="429" w:type="dxa"/>
            <w:vMerge w:val="restart"/>
            <w:tcBorders>
              <w:right w:val="single" w:sz="18" w:space="0" w:color="auto"/>
            </w:tcBorders>
          </w:tcPr>
          <w:p w:rsidR="00913A0A" w:rsidRPr="00C83DF5" w:rsidRDefault="00913A0A">
            <w:pPr>
              <w:widowControl w:val="0"/>
              <w:rPr>
                <w:rFonts w:cs="Tahoma"/>
              </w:rPr>
            </w:pPr>
          </w:p>
        </w:tc>
        <w:tc>
          <w:tcPr>
            <w:tcW w:w="429" w:type="dxa"/>
            <w:vMerge w:val="restart"/>
            <w:tcBorders>
              <w:left w:val="single" w:sz="18" w:space="0" w:color="auto"/>
            </w:tcBorders>
            <w:vAlign w:val="center"/>
          </w:tcPr>
          <w:p w:rsidR="00913A0A" w:rsidRPr="00C83DF5" w:rsidRDefault="00913A0A">
            <w:pPr>
              <w:pStyle w:val="TableHeadingsRed"/>
              <w:widowControl w:val="0"/>
              <w:rPr>
                <w:rFonts w:ascii="Tahoma" w:hAnsi="Tahoma" w:cs="Tahoma"/>
              </w:rPr>
            </w:pPr>
            <w:r w:rsidRPr="00C83DF5">
              <w:rPr>
                <w:rFonts w:ascii="Tahoma" w:hAnsi="Tahoma" w:cs="Tahoma"/>
              </w:rPr>
              <w:t>L</w:t>
            </w:r>
          </w:p>
        </w:tc>
        <w:tc>
          <w:tcPr>
            <w:tcW w:w="1287" w:type="dxa"/>
            <w:gridSpan w:val="3"/>
            <w:vAlign w:val="center"/>
          </w:tcPr>
          <w:p w:rsidR="00913A0A" w:rsidRPr="00C83DF5" w:rsidRDefault="00913A0A">
            <w:pPr>
              <w:pStyle w:val="TableHeadingsGreen"/>
              <w:widowControl w:val="0"/>
              <w:rPr>
                <w:rFonts w:ascii="Tahoma" w:hAnsi="Tahoma" w:cs="Tahoma"/>
              </w:rPr>
            </w:pPr>
            <w:r w:rsidRPr="00C83DF5">
              <w:rPr>
                <w:rFonts w:ascii="Tahoma" w:hAnsi="Tahoma" w:cs="Tahoma"/>
              </w:rPr>
              <w:t>L&amp;SA</w:t>
            </w:r>
          </w:p>
        </w:tc>
        <w:tc>
          <w:tcPr>
            <w:tcW w:w="1287" w:type="dxa"/>
            <w:gridSpan w:val="3"/>
            <w:tcBorders>
              <w:right w:val="single" w:sz="18" w:space="0" w:color="auto"/>
            </w:tcBorders>
            <w:vAlign w:val="center"/>
          </w:tcPr>
          <w:p w:rsidR="00913A0A" w:rsidRPr="00C83DF5" w:rsidRDefault="00913A0A">
            <w:pPr>
              <w:pStyle w:val="TableHeadingsBlue"/>
              <w:widowControl w:val="0"/>
              <w:rPr>
                <w:rFonts w:ascii="Tahoma" w:hAnsi="Tahoma" w:cs="Tahoma"/>
              </w:rPr>
            </w:pPr>
            <w:r w:rsidRPr="00C83DF5">
              <w:rPr>
                <w:rFonts w:ascii="Tahoma" w:hAnsi="Tahoma" w:cs="Tahoma"/>
              </w:rPr>
              <w:t>SA</w:t>
            </w:r>
          </w:p>
        </w:tc>
        <w:tc>
          <w:tcPr>
            <w:tcW w:w="429" w:type="dxa"/>
            <w:vMerge w:val="restart"/>
            <w:tcBorders>
              <w:left w:val="single" w:sz="18" w:space="0" w:color="auto"/>
            </w:tcBorders>
            <w:vAlign w:val="center"/>
          </w:tcPr>
          <w:p w:rsidR="00913A0A" w:rsidRPr="00C83DF5" w:rsidRDefault="00913A0A">
            <w:pPr>
              <w:pStyle w:val="TableHeadingsRed"/>
              <w:widowControl w:val="0"/>
              <w:rPr>
                <w:rFonts w:ascii="Tahoma" w:hAnsi="Tahoma" w:cs="Tahoma"/>
              </w:rPr>
            </w:pPr>
            <w:r w:rsidRPr="00C83DF5">
              <w:rPr>
                <w:rFonts w:ascii="Tahoma" w:hAnsi="Tahoma" w:cs="Tahoma"/>
              </w:rPr>
              <w:t>L</w:t>
            </w:r>
          </w:p>
        </w:tc>
        <w:tc>
          <w:tcPr>
            <w:tcW w:w="429" w:type="dxa"/>
            <w:vAlign w:val="center"/>
          </w:tcPr>
          <w:p w:rsidR="00913A0A" w:rsidRPr="00C83DF5" w:rsidRDefault="00913A0A">
            <w:pPr>
              <w:pStyle w:val="TableHeadingsGreen"/>
              <w:widowControl w:val="0"/>
              <w:rPr>
                <w:rFonts w:ascii="Tahoma" w:hAnsi="Tahoma" w:cs="Tahoma"/>
              </w:rPr>
            </w:pPr>
            <w:r w:rsidRPr="00C83DF5">
              <w:rPr>
                <w:rFonts w:ascii="Tahoma" w:hAnsi="Tahoma" w:cs="Tahoma"/>
              </w:rPr>
              <w:t>L&amp;SA</w:t>
            </w:r>
          </w:p>
        </w:tc>
        <w:tc>
          <w:tcPr>
            <w:tcW w:w="429" w:type="dxa"/>
            <w:vMerge w:val="restart"/>
            <w:tcBorders>
              <w:right w:val="single" w:sz="18" w:space="0" w:color="auto"/>
            </w:tcBorders>
            <w:vAlign w:val="center"/>
          </w:tcPr>
          <w:p w:rsidR="00913A0A" w:rsidRPr="00C83DF5" w:rsidRDefault="00913A0A">
            <w:pPr>
              <w:pStyle w:val="TableHeadingsBlue"/>
              <w:widowControl w:val="0"/>
              <w:rPr>
                <w:rFonts w:ascii="Tahoma" w:hAnsi="Tahoma" w:cs="Tahoma"/>
              </w:rPr>
            </w:pPr>
            <w:r w:rsidRPr="00C83DF5">
              <w:rPr>
                <w:rFonts w:ascii="Tahoma" w:hAnsi="Tahoma" w:cs="Tahoma"/>
              </w:rPr>
              <w:t>SA</w:t>
            </w:r>
          </w:p>
        </w:tc>
        <w:tc>
          <w:tcPr>
            <w:tcW w:w="429" w:type="dxa"/>
            <w:vMerge w:val="restart"/>
            <w:tcBorders>
              <w:left w:val="single" w:sz="18" w:space="0" w:color="auto"/>
            </w:tcBorders>
          </w:tcPr>
          <w:p w:rsidR="00913A0A" w:rsidRPr="00C83DF5" w:rsidRDefault="00913A0A" w:rsidP="00097B90">
            <w:pPr>
              <w:widowControl w:val="0"/>
              <w:rPr>
                <w:rFonts w:cs="Tahoma"/>
              </w:rPr>
            </w:pPr>
          </w:p>
        </w:tc>
        <w:tc>
          <w:tcPr>
            <w:tcW w:w="429" w:type="dxa"/>
            <w:vMerge w:val="restart"/>
            <w:tcBorders>
              <w:right w:val="single" w:sz="18" w:space="0" w:color="auto"/>
            </w:tcBorders>
          </w:tcPr>
          <w:p w:rsidR="00913A0A" w:rsidRPr="00C83DF5" w:rsidRDefault="00913A0A">
            <w:pPr>
              <w:widowControl w:val="0"/>
              <w:rPr>
                <w:rFonts w:cs="Tahoma"/>
              </w:rPr>
            </w:pPr>
          </w:p>
        </w:tc>
        <w:tc>
          <w:tcPr>
            <w:tcW w:w="429" w:type="dxa"/>
            <w:vMerge w:val="restart"/>
            <w:tcBorders>
              <w:left w:val="single" w:sz="18" w:space="0" w:color="auto"/>
              <w:right w:val="single" w:sz="18" w:space="0" w:color="auto"/>
            </w:tcBorders>
          </w:tcPr>
          <w:p w:rsidR="00913A0A" w:rsidRPr="00C83DF5" w:rsidRDefault="00913A0A">
            <w:pPr>
              <w:widowControl w:val="0"/>
              <w:rPr>
                <w:rFonts w:cs="Tahoma"/>
              </w:rPr>
            </w:pPr>
          </w:p>
        </w:tc>
        <w:tc>
          <w:tcPr>
            <w:tcW w:w="514" w:type="dxa"/>
            <w:vMerge w:val="restart"/>
          </w:tcPr>
          <w:p w:rsidR="00913A0A" w:rsidRPr="00C83DF5" w:rsidRDefault="00913A0A">
            <w:pPr>
              <w:widowControl w:val="0"/>
              <w:rPr>
                <w:rFonts w:cs="Tahoma"/>
              </w:rPr>
            </w:pPr>
          </w:p>
        </w:tc>
        <w:tc>
          <w:tcPr>
            <w:tcW w:w="514" w:type="dxa"/>
            <w:vMerge w:val="restart"/>
          </w:tcPr>
          <w:p w:rsidR="00913A0A" w:rsidRPr="00C83DF5" w:rsidRDefault="00913A0A">
            <w:pPr>
              <w:widowControl w:val="0"/>
              <w:rPr>
                <w:rFonts w:cs="Tahoma"/>
              </w:rPr>
            </w:pPr>
          </w:p>
        </w:tc>
        <w:tc>
          <w:tcPr>
            <w:tcW w:w="388" w:type="dxa"/>
          </w:tcPr>
          <w:p w:rsidR="00913A0A" w:rsidRPr="00C83DF5" w:rsidRDefault="00913A0A">
            <w:pPr>
              <w:widowControl w:val="0"/>
              <w:rPr>
                <w:rFonts w:cs="Tahoma"/>
              </w:rPr>
            </w:pPr>
          </w:p>
        </w:tc>
      </w:tr>
      <w:tr w:rsidR="00913A0A" w:rsidRPr="00A23FD0" w:rsidTr="00D824AF">
        <w:trPr>
          <w:cantSplit/>
          <w:trHeight w:val="262"/>
          <w:tblHeader/>
        </w:trPr>
        <w:tc>
          <w:tcPr>
            <w:tcW w:w="2371" w:type="dxa"/>
            <w:vMerge/>
            <w:tcBorders>
              <w:top w:val="single" w:sz="4" w:space="0" w:color="auto"/>
              <w:left w:val="nil"/>
              <w:bottom w:val="single" w:sz="4" w:space="0" w:color="auto"/>
            </w:tcBorders>
          </w:tcPr>
          <w:p w:rsidR="00913A0A" w:rsidRPr="00C83DF5" w:rsidRDefault="00913A0A">
            <w:pPr>
              <w:widowControl w:val="0"/>
              <w:rPr>
                <w:rFonts w:cs="Tahoma"/>
              </w:rPr>
            </w:pPr>
          </w:p>
        </w:tc>
        <w:tc>
          <w:tcPr>
            <w:tcW w:w="429" w:type="dxa"/>
            <w:vMerge/>
            <w:tcBorders>
              <w:bottom w:val="single" w:sz="4" w:space="0" w:color="auto"/>
            </w:tcBorders>
          </w:tcPr>
          <w:p w:rsidR="00913A0A" w:rsidRPr="00C83DF5" w:rsidRDefault="00913A0A">
            <w:pPr>
              <w:keepNext/>
              <w:widowControl w:val="0"/>
              <w:spacing w:before="200" w:after="120"/>
              <w:outlineLvl w:val="0"/>
              <w:rPr>
                <w:rFonts w:cs="Tahoma"/>
                <w:b/>
              </w:rPr>
            </w:pPr>
          </w:p>
        </w:tc>
        <w:tc>
          <w:tcPr>
            <w:tcW w:w="429" w:type="dxa"/>
            <w:vMerge/>
            <w:tcBorders>
              <w:bottom w:val="single" w:sz="4" w:space="0" w:color="auto"/>
            </w:tcBorders>
          </w:tcPr>
          <w:p w:rsidR="00913A0A" w:rsidRPr="00C83DF5" w:rsidRDefault="00913A0A">
            <w:pPr>
              <w:widowControl w:val="0"/>
              <w:rPr>
                <w:rFonts w:cs="Tahoma"/>
              </w:rPr>
            </w:pPr>
          </w:p>
        </w:tc>
        <w:tc>
          <w:tcPr>
            <w:tcW w:w="429" w:type="dxa"/>
            <w:vMerge/>
            <w:tcBorders>
              <w:bottom w:val="single" w:sz="4" w:space="0" w:color="auto"/>
              <w:right w:val="single" w:sz="18" w:space="0" w:color="auto"/>
            </w:tcBorders>
          </w:tcPr>
          <w:p w:rsidR="00913A0A" w:rsidRPr="00C83DF5" w:rsidRDefault="00913A0A">
            <w:pPr>
              <w:widowControl w:val="0"/>
              <w:rPr>
                <w:rFonts w:cs="Tahoma"/>
              </w:rPr>
            </w:pPr>
          </w:p>
        </w:tc>
        <w:tc>
          <w:tcPr>
            <w:tcW w:w="429" w:type="dxa"/>
            <w:vMerge/>
            <w:tcBorders>
              <w:left w:val="single" w:sz="18" w:space="0" w:color="auto"/>
              <w:bottom w:val="single" w:sz="4" w:space="0" w:color="auto"/>
            </w:tcBorders>
            <w:vAlign w:val="center"/>
          </w:tcPr>
          <w:p w:rsidR="00913A0A" w:rsidRPr="00C83DF5" w:rsidRDefault="00913A0A">
            <w:pPr>
              <w:widowControl w:val="0"/>
              <w:jc w:val="center"/>
              <w:rPr>
                <w:rFonts w:cs="Tahoma"/>
              </w:rPr>
            </w:pPr>
          </w:p>
        </w:tc>
        <w:tc>
          <w:tcPr>
            <w:tcW w:w="429" w:type="dxa"/>
            <w:tcBorders>
              <w:bottom w:val="single" w:sz="4" w:space="0" w:color="auto"/>
            </w:tcBorders>
            <w:vAlign w:val="center"/>
          </w:tcPr>
          <w:p w:rsidR="00913A0A" w:rsidRPr="00C83DF5" w:rsidRDefault="00913A0A">
            <w:pPr>
              <w:pStyle w:val="TableHeadingsGreen"/>
              <w:widowControl w:val="0"/>
              <w:rPr>
                <w:rFonts w:ascii="Tahoma" w:hAnsi="Tahoma" w:cs="Tahoma"/>
              </w:rPr>
            </w:pPr>
            <w:r w:rsidRPr="00C83DF5">
              <w:rPr>
                <w:rFonts w:ascii="Tahoma" w:hAnsi="Tahoma" w:cs="Tahoma"/>
              </w:rPr>
              <w:t>3 Jahre</w:t>
            </w:r>
          </w:p>
        </w:tc>
        <w:tc>
          <w:tcPr>
            <w:tcW w:w="429" w:type="dxa"/>
            <w:tcBorders>
              <w:bottom w:val="single" w:sz="4" w:space="0" w:color="auto"/>
            </w:tcBorders>
            <w:vAlign w:val="center"/>
          </w:tcPr>
          <w:p w:rsidR="00913A0A" w:rsidRPr="00C83DF5" w:rsidRDefault="00913A0A">
            <w:pPr>
              <w:pStyle w:val="TableHeadingsGreen"/>
              <w:widowControl w:val="0"/>
              <w:rPr>
                <w:rFonts w:ascii="Tahoma" w:hAnsi="Tahoma" w:cs="Tahoma"/>
              </w:rPr>
            </w:pPr>
            <w:r w:rsidRPr="00C83DF5">
              <w:rPr>
                <w:rFonts w:ascii="Tahoma" w:hAnsi="Tahoma" w:cs="Tahoma"/>
              </w:rPr>
              <w:t>2 Jahre</w:t>
            </w:r>
          </w:p>
        </w:tc>
        <w:tc>
          <w:tcPr>
            <w:tcW w:w="429" w:type="dxa"/>
            <w:tcBorders>
              <w:bottom w:val="single" w:sz="4" w:space="0" w:color="auto"/>
            </w:tcBorders>
            <w:vAlign w:val="center"/>
          </w:tcPr>
          <w:p w:rsidR="00913A0A" w:rsidRPr="00A23FD0" w:rsidRDefault="00913A0A">
            <w:pPr>
              <w:pStyle w:val="TableHeadingsGreen"/>
              <w:widowControl w:val="0"/>
              <w:rPr>
                <w:rFonts w:ascii="Tahoma" w:hAnsi="Tahoma" w:cs="Tahoma"/>
                <w:lang w:val="de-DE"/>
              </w:rPr>
            </w:pPr>
            <w:r w:rsidRPr="00A23FD0">
              <w:rPr>
                <w:rFonts w:ascii="Tahoma" w:hAnsi="Tahoma" w:cs="Tahoma"/>
                <w:lang w:val="de-DE"/>
              </w:rPr>
              <w:t xml:space="preserve">1 </w:t>
            </w:r>
            <w:r w:rsidR="00A23FD0" w:rsidRPr="00A23FD0">
              <w:rPr>
                <w:rFonts w:ascii="Tahoma" w:hAnsi="Tahoma" w:cs="Tahoma"/>
                <w:lang w:val="de-DE"/>
              </w:rPr>
              <w:br/>
            </w:r>
            <w:r w:rsidRPr="00A23FD0">
              <w:rPr>
                <w:rFonts w:ascii="Tahoma" w:hAnsi="Tahoma" w:cs="Tahoma"/>
                <w:lang w:val="de-DE"/>
              </w:rPr>
              <w:t>Jahr</w:t>
            </w:r>
          </w:p>
        </w:tc>
        <w:tc>
          <w:tcPr>
            <w:tcW w:w="429" w:type="dxa"/>
            <w:tcBorders>
              <w:bottom w:val="single" w:sz="4" w:space="0" w:color="auto"/>
            </w:tcBorders>
            <w:vAlign w:val="center"/>
          </w:tcPr>
          <w:p w:rsidR="00913A0A" w:rsidRPr="00A23FD0" w:rsidRDefault="00913A0A">
            <w:pPr>
              <w:pStyle w:val="TableHeadingsBlue"/>
              <w:widowControl w:val="0"/>
              <w:rPr>
                <w:rFonts w:ascii="Tahoma" w:hAnsi="Tahoma" w:cs="Tahoma"/>
                <w:lang w:val="de-DE"/>
              </w:rPr>
            </w:pPr>
            <w:r w:rsidRPr="00A23FD0">
              <w:rPr>
                <w:rFonts w:ascii="Tahoma" w:hAnsi="Tahoma" w:cs="Tahoma"/>
                <w:lang w:val="de-DE"/>
              </w:rPr>
              <w:t>3 Jahre</w:t>
            </w:r>
          </w:p>
        </w:tc>
        <w:tc>
          <w:tcPr>
            <w:tcW w:w="429" w:type="dxa"/>
            <w:tcBorders>
              <w:bottom w:val="single" w:sz="4" w:space="0" w:color="auto"/>
            </w:tcBorders>
            <w:vAlign w:val="center"/>
          </w:tcPr>
          <w:p w:rsidR="00913A0A" w:rsidRPr="00A23FD0" w:rsidRDefault="00913A0A">
            <w:pPr>
              <w:pStyle w:val="TableHeadingsBlue"/>
              <w:widowControl w:val="0"/>
              <w:rPr>
                <w:rFonts w:ascii="Tahoma" w:hAnsi="Tahoma" w:cs="Tahoma"/>
                <w:lang w:val="de-DE"/>
              </w:rPr>
            </w:pPr>
            <w:r w:rsidRPr="00A23FD0">
              <w:rPr>
                <w:rFonts w:ascii="Tahoma" w:hAnsi="Tahoma" w:cs="Tahoma"/>
                <w:lang w:val="de-DE"/>
              </w:rPr>
              <w:t>2 Jahre</w:t>
            </w:r>
          </w:p>
        </w:tc>
        <w:tc>
          <w:tcPr>
            <w:tcW w:w="429" w:type="dxa"/>
            <w:tcBorders>
              <w:bottom w:val="single" w:sz="4" w:space="0" w:color="auto"/>
              <w:right w:val="single" w:sz="18" w:space="0" w:color="auto"/>
            </w:tcBorders>
            <w:vAlign w:val="center"/>
          </w:tcPr>
          <w:p w:rsidR="00913A0A" w:rsidRPr="00A23FD0" w:rsidRDefault="00913A0A">
            <w:pPr>
              <w:pStyle w:val="TableHeadingsBlue"/>
              <w:widowControl w:val="0"/>
              <w:rPr>
                <w:rFonts w:ascii="Tahoma" w:hAnsi="Tahoma" w:cs="Tahoma"/>
                <w:lang w:val="de-DE"/>
              </w:rPr>
            </w:pPr>
            <w:r w:rsidRPr="00A23FD0">
              <w:rPr>
                <w:rFonts w:ascii="Tahoma" w:hAnsi="Tahoma" w:cs="Tahoma"/>
                <w:lang w:val="de-DE"/>
              </w:rPr>
              <w:t xml:space="preserve">1 </w:t>
            </w:r>
            <w:r w:rsidR="00A23FD0">
              <w:rPr>
                <w:rFonts w:ascii="Tahoma" w:hAnsi="Tahoma" w:cs="Tahoma"/>
                <w:lang w:val="de-DE"/>
              </w:rPr>
              <w:br/>
            </w:r>
            <w:r w:rsidRPr="00A23FD0">
              <w:rPr>
                <w:rFonts w:ascii="Tahoma" w:hAnsi="Tahoma" w:cs="Tahoma"/>
                <w:lang w:val="de-DE"/>
              </w:rPr>
              <w:t>Jahr</w:t>
            </w:r>
          </w:p>
        </w:tc>
        <w:tc>
          <w:tcPr>
            <w:tcW w:w="429" w:type="dxa"/>
            <w:vMerge/>
            <w:tcBorders>
              <w:left w:val="single" w:sz="18" w:space="0" w:color="auto"/>
              <w:bottom w:val="single" w:sz="4" w:space="0" w:color="auto"/>
            </w:tcBorders>
            <w:vAlign w:val="center"/>
          </w:tcPr>
          <w:p w:rsidR="00913A0A" w:rsidRPr="00A23FD0" w:rsidRDefault="00913A0A">
            <w:pPr>
              <w:widowControl w:val="0"/>
              <w:jc w:val="center"/>
              <w:rPr>
                <w:rFonts w:cs="Tahoma"/>
                <w:lang w:val="de-DE"/>
              </w:rPr>
            </w:pPr>
          </w:p>
        </w:tc>
        <w:tc>
          <w:tcPr>
            <w:tcW w:w="429" w:type="dxa"/>
            <w:tcBorders>
              <w:bottom w:val="single" w:sz="4" w:space="0" w:color="auto"/>
            </w:tcBorders>
            <w:vAlign w:val="center"/>
          </w:tcPr>
          <w:p w:rsidR="00913A0A" w:rsidRPr="00A23FD0" w:rsidRDefault="00913A0A">
            <w:pPr>
              <w:pStyle w:val="TableHeadingsGreen"/>
              <w:widowControl w:val="0"/>
              <w:rPr>
                <w:rFonts w:ascii="Tahoma" w:hAnsi="Tahoma" w:cs="Tahoma"/>
                <w:lang w:val="de-DE"/>
              </w:rPr>
            </w:pPr>
            <w:r w:rsidRPr="00A23FD0">
              <w:rPr>
                <w:rFonts w:ascii="Tahoma" w:hAnsi="Tahoma" w:cs="Tahoma"/>
                <w:lang w:val="de-DE"/>
              </w:rPr>
              <w:t>P</w:t>
            </w:r>
          </w:p>
        </w:tc>
        <w:tc>
          <w:tcPr>
            <w:tcW w:w="429" w:type="dxa"/>
            <w:vMerge/>
            <w:tcBorders>
              <w:bottom w:val="single" w:sz="4" w:space="0" w:color="auto"/>
              <w:right w:val="single" w:sz="18" w:space="0" w:color="auto"/>
            </w:tcBorders>
          </w:tcPr>
          <w:p w:rsidR="00913A0A" w:rsidRPr="00A23FD0" w:rsidRDefault="00913A0A">
            <w:pPr>
              <w:widowControl w:val="0"/>
              <w:rPr>
                <w:rFonts w:cs="Tahoma"/>
                <w:lang w:val="de-DE"/>
              </w:rPr>
            </w:pPr>
          </w:p>
        </w:tc>
        <w:tc>
          <w:tcPr>
            <w:tcW w:w="429" w:type="dxa"/>
            <w:vMerge/>
            <w:tcBorders>
              <w:left w:val="single" w:sz="18" w:space="0" w:color="auto"/>
              <w:bottom w:val="single" w:sz="4" w:space="0" w:color="auto"/>
            </w:tcBorders>
          </w:tcPr>
          <w:p w:rsidR="00913A0A" w:rsidRPr="00A23FD0" w:rsidRDefault="00913A0A">
            <w:pPr>
              <w:widowControl w:val="0"/>
              <w:rPr>
                <w:rFonts w:cs="Tahoma"/>
                <w:lang w:val="de-DE"/>
              </w:rPr>
            </w:pPr>
          </w:p>
        </w:tc>
        <w:tc>
          <w:tcPr>
            <w:tcW w:w="429" w:type="dxa"/>
            <w:vMerge/>
            <w:tcBorders>
              <w:bottom w:val="single" w:sz="4" w:space="0" w:color="auto"/>
              <w:right w:val="single" w:sz="18" w:space="0" w:color="auto"/>
            </w:tcBorders>
          </w:tcPr>
          <w:p w:rsidR="00913A0A" w:rsidRPr="00A23FD0" w:rsidRDefault="00913A0A">
            <w:pPr>
              <w:widowControl w:val="0"/>
              <w:rPr>
                <w:rFonts w:cs="Tahoma"/>
                <w:lang w:val="de-DE"/>
              </w:rPr>
            </w:pPr>
          </w:p>
        </w:tc>
        <w:tc>
          <w:tcPr>
            <w:tcW w:w="429" w:type="dxa"/>
            <w:vMerge/>
            <w:tcBorders>
              <w:left w:val="single" w:sz="18" w:space="0" w:color="auto"/>
              <w:bottom w:val="single" w:sz="4" w:space="0" w:color="auto"/>
              <w:right w:val="single" w:sz="18" w:space="0" w:color="auto"/>
            </w:tcBorders>
          </w:tcPr>
          <w:p w:rsidR="00913A0A" w:rsidRPr="00A23FD0" w:rsidRDefault="00913A0A">
            <w:pPr>
              <w:widowControl w:val="0"/>
              <w:rPr>
                <w:rFonts w:cs="Tahoma"/>
                <w:lang w:val="de-DE"/>
              </w:rPr>
            </w:pPr>
          </w:p>
        </w:tc>
        <w:tc>
          <w:tcPr>
            <w:tcW w:w="514" w:type="dxa"/>
            <w:vMerge/>
            <w:tcBorders>
              <w:bottom w:val="single" w:sz="4" w:space="0" w:color="auto"/>
            </w:tcBorders>
          </w:tcPr>
          <w:p w:rsidR="00913A0A" w:rsidRPr="00A23FD0" w:rsidRDefault="00913A0A">
            <w:pPr>
              <w:widowControl w:val="0"/>
              <w:rPr>
                <w:rFonts w:cs="Tahoma"/>
                <w:lang w:val="de-DE"/>
              </w:rPr>
            </w:pPr>
          </w:p>
        </w:tc>
        <w:tc>
          <w:tcPr>
            <w:tcW w:w="514" w:type="dxa"/>
            <w:vMerge/>
            <w:tcBorders>
              <w:bottom w:val="single" w:sz="4" w:space="0" w:color="auto"/>
            </w:tcBorders>
          </w:tcPr>
          <w:p w:rsidR="00913A0A" w:rsidRPr="00A23FD0" w:rsidRDefault="00913A0A">
            <w:pPr>
              <w:widowControl w:val="0"/>
              <w:rPr>
                <w:rFonts w:cs="Tahoma"/>
                <w:lang w:val="de-DE"/>
              </w:rPr>
            </w:pPr>
          </w:p>
        </w:tc>
        <w:tc>
          <w:tcPr>
            <w:tcW w:w="388" w:type="dxa"/>
            <w:tcBorders>
              <w:bottom w:val="single" w:sz="4" w:space="0" w:color="auto"/>
            </w:tcBorders>
          </w:tcPr>
          <w:p w:rsidR="00913A0A" w:rsidRPr="00A23FD0" w:rsidRDefault="00913A0A">
            <w:pPr>
              <w:widowControl w:val="0"/>
              <w:rPr>
                <w:rFonts w:cs="Tahoma"/>
                <w:lang w:val="de-DE"/>
              </w:rPr>
            </w:pPr>
          </w:p>
        </w:tc>
      </w:tr>
      <w:tr w:rsidR="008A0F85" w:rsidRPr="00A23FD0" w:rsidTr="00D824A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rsidR="00913A0A" w:rsidRPr="00A23FD0" w:rsidRDefault="00913A0A" w:rsidP="00DE02E2">
            <w:pPr>
              <w:pStyle w:val="ProductNames"/>
              <w:spacing w:beforeLines="20" w:before="48" w:afterLines="20" w:after="48"/>
              <w:rPr>
                <w:rFonts w:ascii="Tahoma" w:hAnsi="Tahoma" w:cs="Tahoma"/>
                <w:position w:val="0"/>
                <w:sz w:val="14"/>
                <w:lang w:val="de-DE"/>
              </w:rPr>
            </w:pPr>
            <w:bookmarkStart w:id="16" w:name="_Toc336337843"/>
            <w:bookmarkStart w:id="17" w:name="_Toc370982969"/>
            <w:r w:rsidRPr="00A23FD0">
              <w:rPr>
                <w:rFonts w:ascii="Tahoma" w:hAnsi="Tahoma" w:cs="Tahoma"/>
                <w:position w:val="0"/>
                <w:sz w:val="14"/>
                <w:lang w:val="de-DE"/>
              </w:rPr>
              <w:t xml:space="preserve">Access </w:t>
            </w:r>
            <w:bookmarkEnd w:id="16"/>
            <w:r w:rsidRPr="00A23FD0">
              <w:rPr>
                <w:rFonts w:ascii="Tahoma" w:hAnsi="Tahoma" w:cs="Tahoma"/>
                <w:position w:val="0"/>
                <w:sz w:val="14"/>
                <w:lang w:val="de-DE"/>
              </w:rPr>
              <w:t>2013</w:t>
            </w:r>
            <w:bookmarkEnd w:id="17"/>
          </w:p>
        </w:tc>
        <w:tc>
          <w:tcPr>
            <w:tcW w:w="429" w:type="dxa"/>
            <w:tcBorders>
              <w:bottom w:val="single" w:sz="3" w:space="0" w:color="auto"/>
            </w:tcBorders>
            <w:shd w:val="clear" w:color="auto" w:fill="FABF8F"/>
            <w:vAlign w:val="center"/>
          </w:tcPr>
          <w:p w:rsidR="00913A0A" w:rsidRPr="00A23FD0" w:rsidRDefault="00913A0A">
            <w:pPr>
              <w:pStyle w:val="TableText"/>
              <w:widowControl w:val="0"/>
              <w:rPr>
                <w:rStyle w:val="EndnoteReference"/>
                <w:b w:val="0"/>
                <w:color w:val="0000FF"/>
                <w:sz w:val="13"/>
                <w:szCs w:val="13"/>
                <w:u w:val="single"/>
                <w:lang w:val="de-DE"/>
              </w:rPr>
            </w:pPr>
          </w:p>
        </w:tc>
        <w:tc>
          <w:tcPr>
            <w:tcW w:w="429" w:type="dxa"/>
            <w:tcBorders>
              <w:bottom w:val="single" w:sz="3" w:space="0" w:color="auto"/>
            </w:tcBorders>
            <w:shd w:val="clear" w:color="auto" w:fill="FABF8F"/>
            <w:vAlign w:val="center"/>
          </w:tcPr>
          <w:p w:rsidR="00913A0A" w:rsidRPr="00A23FD0" w:rsidRDefault="00913A0A" w:rsidP="004000C7">
            <w:pPr>
              <w:pStyle w:val="TableText"/>
              <w:widowControl w:val="0"/>
              <w:rPr>
                <w:rFonts w:ascii="Tahoma" w:hAnsi="Tahoma" w:cs="Tahoma"/>
                <w:color w:val="000000"/>
                <w:sz w:val="13"/>
                <w:lang w:val="de-DE"/>
              </w:rPr>
            </w:pPr>
            <w:r w:rsidRPr="00A23FD0">
              <w:rPr>
                <w:rFonts w:ascii="Tahoma" w:hAnsi="Tahoma" w:cs="Tahoma"/>
                <w:color w:val="000000"/>
                <w:sz w:val="13"/>
                <w:lang w:val="de-DE"/>
              </w:rPr>
              <w:t>10/12</w:t>
            </w:r>
          </w:p>
        </w:tc>
        <w:tc>
          <w:tcPr>
            <w:tcW w:w="429" w:type="dxa"/>
            <w:tcBorders>
              <w:bottom w:val="single" w:sz="3" w:space="0" w:color="auto"/>
              <w:right w:val="single" w:sz="15" w:space="0" w:color="auto"/>
            </w:tcBorders>
            <w:shd w:val="clear" w:color="auto" w:fill="FABF8F"/>
            <w:vAlign w:val="center"/>
          </w:tcPr>
          <w:p w:rsidR="00913A0A" w:rsidRPr="00A23FD0" w:rsidRDefault="00913A0A" w:rsidP="004B3534">
            <w:pPr>
              <w:pStyle w:val="TableText"/>
              <w:widowControl w:val="0"/>
              <w:rPr>
                <w:rFonts w:ascii="Tahoma" w:hAnsi="Tahoma" w:cs="Tahoma"/>
                <w:color w:val="000000"/>
                <w:sz w:val="13"/>
                <w:lang w:val="de-DE"/>
              </w:rPr>
            </w:pPr>
            <w:r w:rsidRPr="00A23FD0">
              <w:rPr>
                <w:rFonts w:ascii="Tahoma" w:hAnsi="Tahoma" w:cs="Tahoma"/>
                <w:color w:val="000000"/>
                <w:sz w:val="13"/>
                <w:lang w:val="de-DE"/>
              </w:rPr>
              <w:t>DT</w:t>
            </w:r>
          </w:p>
        </w:tc>
        <w:tc>
          <w:tcPr>
            <w:tcW w:w="429" w:type="dxa"/>
            <w:tcBorders>
              <w:left w:val="single" w:sz="15" w:space="0" w:color="auto"/>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3</w:t>
            </w:r>
          </w:p>
        </w:tc>
        <w:tc>
          <w:tcPr>
            <w:tcW w:w="429" w:type="dxa"/>
            <w:tcBorders>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2</w:t>
            </w:r>
          </w:p>
        </w:tc>
        <w:tc>
          <w:tcPr>
            <w:tcW w:w="429" w:type="dxa"/>
            <w:tcBorders>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2</w:t>
            </w:r>
          </w:p>
        </w:tc>
        <w:tc>
          <w:tcPr>
            <w:tcW w:w="429" w:type="dxa"/>
            <w:tcBorders>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2</w:t>
            </w:r>
          </w:p>
        </w:tc>
        <w:tc>
          <w:tcPr>
            <w:tcW w:w="429" w:type="dxa"/>
            <w:tcBorders>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bottom w:val="single" w:sz="3" w:space="0" w:color="auto"/>
              <w:right w:val="single" w:sz="15"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left w:val="single" w:sz="15" w:space="0" w:color="auto"/>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2</w:t>
            </w:r>
          </w:p>
        </w:tc>
        <w:tc>
          <w:tcPr>
            <w:tcW w:w="429" w:type="dxa"/>
            <w:tcBorders>
              <w:bottom w:val="single" w:sz="3" w:space="0" w:color="auto"/>
              <w:right w:val="single" w:sz="15"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left w:val="single" w:sz="15" w:space="0" w:color="auto"/>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p>
        </w:tc>
        <w:tc>
          <w:tcPr>
            <w:tcW w:w="429" w:type="dxa"/>
            <w:tcBorders>
              <w:bottom w:val="single" w:sz="3" w:space="0" w:color="auto"/>
              <w:right w:val="single" w:sz="15"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p>
        </w:tc>
        <w:tc>
          <w:tcPr>
            <w:tcW w:w="429" w:type="dxa"/>
            <w:tcBorders>
              <w:left w:val="single" w:sz="15" w:space="0" w:color="auto"/>
              <w:bottom w:val="single" w:sz="3" w:space="0" w:color="auto"/>
              <w:right w:val="single" w:sz="15"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P</w:t>
            </w:r>
          </w:p>
        </w:tc>
        <w:tc>
          <w:tcPr>
            <w:tcW w:w="514" w:type="dxa"/>
            <w:tcBorders>
              <w:bottom w:val="single" w:sz="3" w:space="0" w:color="auto"/>
            </w:tcBorders>
            <w:shd w:val="clear" w:color="auto" w:fill="FABF8F"/>
          </w:tcPr>
          <w:p w:rsidR="00913A0A" w:rsidRPr="00A23FD0" w:rsidRDefault="00913A0A" w:rsidP="004B3534">
            <w:pPr>
              <w:pStyle w:val="TableText"/>
              <w:widowControl w:val="0"/>
              <w:rPr>
                <w:rFonts w:ascii="Tahoma" w:hAnsi="Tahoma" w:cs="Tahoma"/>
                <w:sz w:val="13"/>
                <w:lang w:val="de-DE"/>
              </w:rPr>
            </w:pPr>
          </w:p>
        </w:tc>
        <w:tc>
          <w:tcPr>
            <w:tcW w:w="514" w:type="dxa"/>
            <w:tcBorders>
              <w:bottom w:val="single" w:sz="3" w:space="0" w:color="auto"/>
            </w:tcBorders>
            <w:shd w:val="clear" w:color="auto" w:fill="FABF8F"/>
            <w:vAlign w:val="center"/>
          </w:tcPr>
          <w:p w:rsidR="00913A0A" w:rsidRPr="00A23FD0" w:rsidRDefault="00913A0A" w:rsidP="004B3534">
            <w:pPr>
              <w:pStyle w:val="TableText"/>
              <w:widowControl w:val="0"/>
              <w:rPr>
                <w:rFonts w:ascii="Tahoma" w:hAnsi="Tahoma" w:cs="Tahoma"/>
                <w:sz w:val="13"/>
                <w:lang w:val="de-DE"/>
              </w:rPr>
            </w:pPr>
          </w:p>
        </w:tc>
        <w:tc>
          <w:tcPr>
            <w:tcW w:w="388" w:type="dxa"/>
            <w:tcBorders>
              <w:bottom w:val="single" w:sz="3" w:space="0" w:color="auto"/>
            </w:tcBorders>
            <w:shd w:val="clear" w:color="auto" w:fill="FABF8F"/>
          </w:tcPr>
          <w:p w:rsidR="00913A0A" w:rsidRPr="00A23FD0" w:rsidRDefault="00913A0A" w:rsidP="004B3534">
            <w:pPr>
              <w:pStyle w:val="TableText"/>
              <w:widowControl w:val="0"/>
              <w:rPr>
                <w:rFonts w:ascii="Tahoma" w:hAnsi="Tahoma" w:cs="Tahoma"/>
                <w:sz w:val="13"/>
                <w:lang w:val="de-DE"/>
              </w:rPr>
            </w:pPr>
          </w:p>
        </w:tc>
      </w:tr>
      <w:tr w:rsidR="008A0F85" w:rsidRPr="00C83DF5" w:rsidTr="00D824AF">
        <w:trPr>
          <w:cantSplit/>
          <w:trHeight w:val="287"/>
        </w:trPr>
        <w:tc>
          <w:tcPr>
            <w:tcW w:w="2371" w:type="dxa"/>
            <w:tcBorders>
              <w:bottom w:val="single" w:sz="4" w:space="0" w:color="auto"/>
            </w:tcBorders>
            <w:shd w:val="clear" w:color="auto" w:fill="FFFFFF"/>
            <w:vAlign w:val="center"/>
          </w:tcPr>
          <w:p w:rsidR="00913A0A" w:rsidRPr="00A23FD0" w:rsidRDefault="00913A0A" w:rsidP="00DE02E2">
            <w:pPr>
              <w:pStyle w:val="ProductNames"/>
              <w:spacing w:beforeLines="20" w:before="48" w:afterLines="20" w:after="48"/>
              <w:rPr>
                <w:rFonts w:ascii="Tahoma" w:hAnsi="Tahoma" w:cs="Tahoma"/>
                <w:position w:val="0"/>
                <w:sz w:val="14"/>
                <w:lang w:val="de-DE"/>
              </w:rPr>
            </w:pPr>
            <w:bookmarkStart w:id="18" w:name="_Toc336337844"/>
            <w:bookmarkStart w:id="19" w:name="_Toc370982970"/>
            <w:r w:rsidRPr="00A23FD0">
              <w:rPr>
                <w:rFonts w:ascii="Tahoma" w:hAnsi="Tahoma" w:cs="Tahoma"/>
                <w:position w:val="0"/>
                <w:sz w:val="14"/>
                <w:lang w:val="de-DE"/>
              </w:rPr>
              <w:t>AutoRoute 2013</w:t>
            </w:r>
            <w:bookmarkEnd w:id="18"/>
            <w:bookmarkEnd w:id="19"/>
          </w:p>
        </w:tc>
        <w:tc>
          <w:tcPr>
            <w:tcW w:w="429" w:type="dxa"/>
            <w:tcBorders>
              <w:bottom w:val="single" w:sz="4" w:space="0" w:color="auto"/>
            </w:tcBorders>
            <w:shd w:val="clear" w:color="auto" w:fill="FFFFFF"/>
            <w:vAlign w:val="center"/>
          </w:tcPr>
          <w:p w:rsidR="00913A0A" w:rsidRPr="00A23FD0" w:rsidRDefault="00913A0A">
            <w:pPr>
              <w:pStyle w:val="TableText"/>
              <w:widowControl w:val="0"/>
              <w:rPr>
                <w:rFonts w:cs="Tahoma"/>
                <w:color w:val="0000FF"/>
                <w:sz w:val="13"/>
                <w:szCs w:val="13"/>
                <w:u w:val="single"/>
                <w:lang w:val="de-DE"/>
              </w:rPr>
            </w:pPr>
          </w:p>
        </w:tc>
        <w:tc>
          <w:tcPr>
            <w:tcW w:w="429" w:type="dxa"/>
            <w:tcBorders>
              <w:bottom w:val="single" w:sz="4" w:space="0" w:color="auto"/>
            </w:tcBorders>
            <w:shd w:val="clear" w:color="auto" w:fill="FFFFFF"/>
            <w:vAlign w:val="center"/>
          </w:tcPr>
          <w:p w:rsidR="00913A0A" w:rsidRPr="00A23FD0" w:rsidRDefault="00913A0A" w:rsidP="004000C7">
            <w:pPr>
              <w:pStyle w:val="TableText"/>
              <w:widowControl w:val="0"/>
              <w:rPr>
                <w:rFonts w:ascii="Tahoma" w:hAnsi="Tahoma" w:cs="Tahoma"/>
                <w:sz w:val="13"/>
                <w:lang w:val="de-DE"/>
              </w:rPr>
            </w:pPr>
            <w:r w:rsidRPr="00A23FD0">
              <w:rPr>
                <w:rFonts w:ascii="Tahoma" w:hAnsi="Tahoma" w:cs="Tahoma"/>
                <w:sz w:val="13"/>
                <w:lang w:val="de-DE"/>
              </w:rPr>
              <w:t>10/12</w:t>
            </w:r>
          </w:p>
        </w:tc>
        <w:tc>
          <w:tcPr>
            <w:tcW w:w="429" w:type="dxa"/>
            <w:tcBorders>
              <w:bottom w:val="single" w:sz="4" w:space="0" w:color="auto"/>
              <w:right w:val="single" w:sz="18"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bottom w:val="single" w:sz="4"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3</w:t>
            </w:r>
          </w:p>
        </w:tc>
        <w:tc>
          <w:tcPr>
            <w:tcW w:w="429" w:type="dxa"/>
            <w:tcBorders>
              <w:bottom w:val="single" w:sz="4"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2</w:t>
            </w:r>
          </w:p>
        </w:tc>
        <w:tc>
          <w:tcPr>
            <w:tcW w:w="429" w:type="dxa"/>
            <w:tcBorders>
              <w:bottom w:val="single" w:sz="4"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2</w:t>
            </w:r>
          </w:p>
        </w:tc>
        <w:tc>
          <w:tcPr>
            <w:tcW w:w="429" w:type="dxa"/>
            <w:tcBorders>
              <w:bottom w:val="single" w:sz="4"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2</w:t>
            </w:r>
          </w:p>
        </w:tc>
        <w:tc>
          <w:tcPr>
            <w:tcW w:w="429" w:type="dxa"/>
            <w:tcBorders>
              <w:bottom w:val="single" w:sz="4"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bottom w:val="single" w:sz="4" w:space="0" w:color="auto"/>
              <w:right w:val="single" w:sz="18"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left w:val="single" w:sz="18" w:space="0" w:color="auto"/>
              <w:bottom w:val="single" w:sz="4"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bottom w:val="single" w:sz="4"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2</w:t>
            </w:r>
          </w:p>
        </w:tc>
        <w:tc>
          <w:tcPr>
            <w:tcW w:w="429" w:type="dxa"/>
            <w:tcBorders>
              <w:bottom w:val="single" w:sz="4" w:space="0" w:color="auto"/>
              <w:right w:val="single" w:sz="18" w:space="0" w:color="auto"/>
            </w:tcBorders>
            <w:shd w:val="clear" w:color="auto" w:fill="FFFFFF"/>
            <w:vAlign w:val="center"/>
          </w:tcPr>
          <w:p w:rsidR="00913A0A" w:rsidRPr="00A23FD0" w:rsidRDefault="00913A0A" w:rsidP="004B3534">
            <w:pPr>
              <w:pStyle w:val="TableText"/>
              <w:widowControl w:val="0"/>
              <w:rPr>
                <w:rFonts w:ascii="Tahoma" w:hAnsi="Tahoma" w:cs="Tahoma"/>
                <w:sz w:val="13"/>
                <w:lang w:val="de-DE"/>
              </w:rPr>
            </w:pPr>
            <w:r w:rsidRPr="00A23FD0">
              <w:rPr>
                <w:rFonts w:ascii="Tahoma" w:hAnsi="Tahoma" w:cs="Tahoma"/>
                <w:sz w:val="13"/>
                <w:lang w:val="de-DE"/>
              </w:rPr>
              <w:t>1</w:t>
            </w:r>
          </w:p>
        </w:tc>
        <w:tc>
          <w:tcPr>
            <w:tcW w:w="429" w:type="dxa"/>
            <w:tcBorders>
              <w:left w:val="single" w:sz="18" w:space="0" w:color="auto"/>
              <w:bottom w:val="single" w:sz="4" w:space="0" w:color="auto"/>
            </w:tcBorders>
            <w:shd w:val="clear" w:color="auto" w:fill="FFFFF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FFFFF"/>
            <w:vAlign w:val="center"/>
          </w:tcPr>
          <w:p w:rsidR="00913A0A" w:rsidRPr="00C83DF5" w:rsidRDefault="00913A0A" w:rsidP="00080B33">
            <w:pPr>
              <w:pStyle w:val="TableText"/>
              <w:widowControl w:val="0"/>
              <w:rPr>
                <w:rFonts w:ascii="Tahoma" w:hAnsi="Tahoma" w:cs="Tahoma"/>
                <w:sz w:val="13"/>
              </w:rPr>
            </w:pPr>
            <w:r w:rsidRPr="00C83DF5">
              <w:rPr>
                <w:rFonts w:ascii="Tahoma" w:hAnsi="Tahoma" w:cs="Tahoma"/>
                <w:sz w:val="13"/>
              </w:rPr>
              <w:t>A</w:t>
            </w:r>
          </w:p>
        </w:tc>
        <w:tc>
          <w:tcPr>
            <w:tcW w:w="514" w:type="dxa"/>
            <w:tcBorders>
              <w:bottom w:val="single" w:sz="4" w:space="0" w:color="auto"/>
            </w:tcBorders>
            <w:shd w:val="clear" w:color="auto" w:fill="FFFFFF"/>
            <w:vAlign w:val="center"/>
          </w:tcPr>
          <w:p w:rsidR="00913A0A" w:rsidRPr="00C83DF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A</w:t>
            </w: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20" w:name="_Toc336337846"/>
            <w:bookmarkStart w:id="21" w:name="_Toc370982971"/>
            <w:r w:rsidRPr="00C83DF5">
              <w:rPr>
                <w:rFonts w:ascii="Tahoma" w:hAnsi="Tahoma" w:cs="Tahoma"/>
                <w:position w:val="0"/>
                <w:sz w:val="14"/>
              </w:rPr>
              <w:t xml:space="preserve">Excel </w:t>
            </w:r>
            <w:bookmarkEnd w:id="20"/>
            <w:r w:rsidRPr="00C83DF5">
              <w:rPr>
                <w:rFonts w:ascii="Tahoma" w:hAnsi="Tahoma" w:cs="Tahoma"/>
                <w:position w:val="0"/>
                <w:sz w:val="14"/>
              </w:rPr>
              <w:t>2013</w:t>
            </w:r>
            <w:bookmarkEnd w:id="21"/>
          </w:p>
        </w:tc>
        <w:tc>
          <w:tcPr>
            <w:tcW w:w="429" w:type="dxa"/>
            <w:tcBorders>
              <w:bottom w:val="single" w:sz="4" w:space="0" w:color="auto"/>
            </w:tcBorders>
            <w:shd w:val="clear" w:color="auto" w:fill="FABF8F"/>
            <w:vAlign w:val="center"/>
          </w:tcPr>
          <w:p w:rsidR="00913A0A" w:rsidRPr="00C83DF5"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913A0A" w:rsidRPr="00C83DF5" w:rsidRDefault="00913A0A" w:rsidP="004000C7">
            <w:pPr>
              <w:pStyle w:val="TableText"/>
              <w:widowControl w:val="0"/>
              <w:rPr>
                <w:rFonts w:ascii="Tahoma" w:hAnsi="Tahoma" w:cs="Tahoma"/>
                <w:color w:val="000000"/>
                <w:sz w:val="13"/>
              </w:rPr>
            </w:pPr>
            <w:r w:rsidRPr="00C83DF5">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color w:val="000000"/>
                <w:sz w:val="13"/>
              </w:rPr>
            </w:pPr>
            <w:r w:rsidRPr="00C83DF5">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4B3534">
            <w:pPr>
              <w:pStyle w:val="TableText"/>
              <w:widowControl w:val="0"/>
              <w:rPr>
                <w:rFonts w:ascii="Tahoma" w:hAnsi="Tahoma" w:cs="Tahoma"/>
                <w:sz w:val="13"/>
              </w:rPr>
            </w:pPr>
          </w:p>
        </w:tc>
      </w:tr>
      <w:tr w:rsidR="00913A0A" w:rsidRPr="00C83DF5" w:rsidTr="00D824AF">
        <w:trPr>
          <w:cantSplit/>
          <w:trHeight w:val="278"/>
        </w:trPr>
        <w:tc>
          <w:tcPr>
            <w:tcW w:w="2371" w:type="dxa"/>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22" w:name="_Toc336337847"/>
            <w:bookmarkStart w:id="23" w:name="_Toc370982972"/>
            <w:r w:rsidRPr="00C83DF5">
              <w:rPr>
                <w:rFonts w:ascii="Tahoma" w:hAnsi="Tahoma" w:cs="Tahoma"/>
                <w:position w:val="0"/>
                <w:sz w:val="14"/>
              </w:rPr>
              <w:t>Excel für Mac 2011</w:t>
            </w:r>
            <w:bookmarkEnd w:id="22"/>
            <w:bookmarkEnd w:id="23"/>
          </w:p>
        </w:tc>
        <w:tc>
          <w:tcPr>
            <w:tcW w:w="429" w:type="dxa"/>
            <w:tcBorders>
              <w:bottom w:val="single" w:sz="4" w:space="0" w:color="auto"/>
            </w:tcBorders>
            <w:shd w:val="clear" w:color="auto" w:fill="auto"/>
            <w:vAlign w:val="center"/>
          </w:tcPr>
          <w:p w:rsidR="00913A0A" w:rsidRPr="00C83DF5"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C83DF5" w:rsidRDefault="00913A0A" w:rsidP="004000C7">
            <w:pPr>
              <w:pStyle w:val="TableText"/>
              <w:widowControl w:val="0"/>
              <w:rPr>
                <w:rFonts w:ascii="Tahoma" w:hAnsi="Tahoma" w:cs="Tahoma"/>
                <w:color w:val="000000"/>
                <w:sz w:val="13"/>
              </w:rPr>
            </w:pPr>
            <w:r w:rsidRPr="00C83DF5">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color w:val="000000"/>
                <w:sz w:val="13"/>
              </w:rPr>
            </w:pPr>
            <w:r w:rsidRPr="00C83DF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4B3534">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24" w:name="_Toc336337850"/>
            <w:bookmarkStart w:id="25" w:name="_Toc370982973"/>
            <w:r w:rsidRPr="00C83DF5">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913A0A" w:rsidRPr="00C83DF5" w:rsidRDefault="005519A5" w:rsidP="00F9515B">
            <w:pPr>
              <w:pStyle w:val="TableText"/>
              <w:widowControl w:val="0"/>
              <w:rPr>
                <w:rStyle w:val="EndnoteReference"/>
                <w:rFonts w:cs="Tahoma"/>
                <w:b w:val="0"/>
                <w:color w:val="0000FF"/>
                <w:sz w:val="13"/>
                <w:szCs w:val="13"/>
                <w:u w:val="single"/>
              </w:rPr>
            </w:pPr>
            <w:hyperlink w:anchor="_12_Expression_Encoder" w:history="1">
              <w:r w:rsidR="00CF5A3E" w:rsidRPr="00C83DF5">
                <w:rPr>
                  <w:rStyle w:val="Hyperlink"/>
                  <w:b/>
                  <w:sz w:val="13"/>
                  <w:szCs w:val="13"/>
                </w:rPr>
                <w:t>1</w:t>
              </w:r>
            </w:hyperlink>
          </w:p>
        </w:tc>
        <w:tc>
          <w:tcPr>
            <w:tcW w:w="429" w:type="dxa"/>
            <w:tcBorders>
              <w:bottom w:val="single" w:sz="4" w:space="0" w:color="auto"/>
            </w:tcBorders>
            <w:shd w:val="clear" w:color="auto" w:fill="FABF8F"/>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F9515B">
            <w:pPr>
              <w:pStyle w:val="TableText"/>
              <w:widowControl w:val="0"/>
              <w:rPr>
                <w:rFonts w:ascii="Tahoma" w:hAnsi="Tahoma" w:cs="Tahoma"/>
                <w:sz w:val="13"/>
              </w:rPr>
            </w:pPr>
          </w:p>
        </w:tc>
      </w:tr>
      <w:tr w:rsidR="00913A0A" w:rsidRPr="00C83DF5" w:rsidTr="00D824AF">
        <w:trPr>
          <w:cantSplit/>
          <w:trHeight w:val="287"/>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26" w:name="_Toc336337853"/>
            <w:bookmarkStart w:id="27" w:name="_Toc370982974"/>
            <w:r w:rsidRPr="00C83DF5">
              <w:rPr>
                <w:rFonts w:ascii="Tahoma" w:hAnsi="Tahoma" w:cs="Tahoma"/>
                <w:b w:val="0"/>
                <w:sz w:val="14"/>
              </w:rPr>
              <w:t>InfoPath</w:t>
            </w:r>
            <w:r w:rsidRPr="00DF3F89">
              <w:rPr>
                <w:rFonts w:ascii="Tahoma" w:hAnsi="Tahoma" w:cs="Tahoma"/>
                <w:b w:val="0"/>
                <w:sz w:val="14"/>
                <w:vertAlign w:val="superscript"/>
              </w:rPr>
              <w:t>®</w:t>
            </w:r>
            <w:r w:rsidRPr="00C83DF5">
              <w:rPr>
                <w:rFonts w:ascii="Tahoma" w:hAnsi="Tahoma" w:cs="Tahoma"/>
                <w:b w:val="0"/>
                <w:sz w:val="14"/>
              </w:rPr>
              <w:t xml:space="preserve"> </w:t>
            </w:r>
            <w:bookmarkEnd w:id="26"/>
            <w:r w:rsidRPr="00C83DF5">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913A0A" w:rsidRPr="00C83DF5"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4B3534">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28" w:name="_Toc336337854"/>
            <w:bookmarkStart w:id="29" w:name="_Toc370982975"/>
            <w:r w:rsidRPr="00C83DF5">
              <w:rPr>
                <w:rFonts w:ascii="Tahoma" w:hAnsi="Tahoma" w:cs="Tahoma"/>
                <w:b w:val="0"/>
                <w:sz w:val="14"/>
              </w:rPr>
              <w:t xml:space="preserve">Lync </w:t>
            </w:r>
            <w:bookmarkEnd w:id="28"/>
            <w:r w:rsidRPr="00C83DF5">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913A0A" w:rsidRPr="00C83DF5" w:rsidRDefault="00913A0A">
            <w:pPr>
              <w:pStyle w:val="TableText"/>
              <w:widowControl w:val="0"/>
              <w:rPr>
                <w:rStyle w:val="EndnoteReference"/>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080B33">
            <w:pPr>
              <w:pStyle w:val="TableText"/>
              <w:widowControl w:val="0"/>
              <w:rPr>
                <w:rFonts w:ascii="Tahoma" w:hAnsi="Tahoma" w:cs="Tahoma"/>
                <w:sz w:val="13"/>
              </w:rPr>
            </w:pPr>
            <w:r w:rsidRPr="00C83DF5">
              <w:rPr>
                <w:rFonts w:ascii="Tahoma" w:hAnsi="Tahoma" w:cs="Tahoma"/>
                <w:sz w:val="13"/>
              </w:rPr>
              <w:t>A, ST</w:t>
            </w:r>
          </w:p>
        </w:tc>
        <w:tc>
          <w:tcPr>
            <w:tcW w:w="514"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A</w:t>
            </w:r>
          </w:p>
        </w:tc>
      </w:tr>
      <w:tr w:rsidR="00913A0A" w:rsidRPr="00C83DF5" w:rsidTr="00D824AF">
        <w:trPr>
          <w:cantSplit/>
          <w:trHeight w:val="287"/>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32" w:name="_Toc336337855"/>
            <w:bookmarkStart w:id="33" w:name="_Toc370982976"/>
            <w:r w:rsidRPr="00C83DF5">
              <w:rPr>
                <w:rFonts w:ascii="Tahoma" w:hAnsi="Tahoma" w:cs="Tahoma"/>
                <w:b w:val="0"/>
                <w:sz w:val="14"/>
              </w:rPr>
              <w:t>Lync für Mac 2011</w:t>
            </w:r>
            <w:bookmarkEnd w:id="32"/>
            <w:bookmarkEnd w:id="33"/>
          </w:p>
        </w:tc>
        <w:tc>
          <w:tcPr>
            <w:tcW w:w="429" w:type="dxa"/>
            <w:tcBorders>
              <w:bottom w:val="single" w:sz="4" w:space="0" w:color="auto"/>
            </w:tcBorders>
            <w:shd w:val="clear" w:color="auto" w:fill="auto"/>
            <w:vAlign w:val="center"/>
          </w:tcPr>
          <w:p w:rsidR="00913A0A" w:rsidRPr="00C83DF5" w:rsidRDefault="005519A5" w:rsidP="009832D3">
            <w:pPr>
              <w:pStyle w:val="TableText"/>
              <w:widowControl w:val="0"/>
              <w:rPr>
                <w:rStyle w:val="EndnoteReference"/>
                <w:b w:val="0"/>
                <w:color w:val="0000FF"/>
                <w:sz w:val="13"/>
                <w:szCs w:val="13"/>
                <w:u w:val="single"/>
              </w:rPr>
            </w:pPr>
            <w:hyperlink w:anchor="_23_Lync_for" w:history="1">
              <w:r w:rsidR="00CF5A3E" w:rsidRPr="00C83DF5">
                <w:rPr>
                  <w:rStyle w:val="Hyperlink"/>
                  <w:b/>
                  <w:sz w:val="13"/>
                  <w:szCs w:val="13"/>
                </w:rPr>
                <w:t>2</w:t>
              </w:r>
            </w:hyperlink>
          </w:p>
        </w:tc>
        <w:tc>
          <w:tcPr>
            <w:tcW w:w="429" w:type="dxa"/>
            <w:tcBorders>
              <w:bottom w:val="single" w:sz="4" w:space="0" w:color="auto"/>
            </w:tcBorders>
            <w:shd w:val="clear" w:color="auto" w:fill="auto"/>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703595">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703595">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70982977"/>
            <w:r w:rsidRPr="00C83DF5">
              <w:rPr>
                <w:rFonts w:ascii="Tahoma" w:hAnsi="Tahoma" w:cs="Tahoma"/>
                <w:b w:val="0"/>
                <w:sz w:val="14"/>
              </w:rPr>
              <w:t>MapPoint</w:t>
            </w:r>
            <w:r w:rsidRPr="00DF3F89">
              <w:rPr>
                <w:rFonts w:ascii="Tahoma" w:hAnsi="Tahoma" w:cs="Tahoma"/>
                <w:b w:val="0"/>
                <w:sz w:val="14"/>
                <w:vertAlign w:val="superscript"/>
              </w:rPr>
              <w:t>®</w:t>
            </w:r>
            <w:r w:rsidRPr="00C83DF5">
              <w:rPr>
                <w:rFonts w:ascii="Tahoma" w:hAnsi="Tahoma" w:cs="Tahoma"/>
                <w:b w:val="0"/>
                <w:sz w:val="14"/>
              </w:rPr>
              <w:t xml:space="preserve"> Fleet Edition </w:t>
            </w:r>
            <w:bookmarkEnd w:id="34"/>
            <w:r w:rsidRPr="00C83DF5">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rsidR="00913A0A" w:rsidRPr="00C83DF5"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10</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8</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6</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6</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A</w:t>
            </w:r>
          </w:p>
        </w:tc>
      </w:tr>
      <w:tr w:rsidR="00913A0A" w:rsidRPr="00C83DF5" w:rsidTr="00D824AF">
        <w:trPr>
          <w:cantSplit/>
          <w:trHeight w:val="323"/>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70982978"/>
            <w:r w:rsidRPr="00C83DF5">
              <w:rPr>
                <w:rFonts w:ascii="Tahoma" w:hAnsi="Tahoma" w:cs="Tahoma"/>
                <w:b w:val="0"/>
                <w:sz w:val="14"/>
              </w:rPr>
              <w:t>MapPoint</w:t>
            </w:r>
            <w:r w:rsidRPr="00DF3F89">
              <w:rPr>
                <w:rFonts w:ascii="Tahoma" w:hAnsi="Tahoma" w:cs="Tahoma"/>
                <w:b w:val="0"/>
                <w:sz w:val="14"/>
                <w:vertAlign w:val="superscript"/>
              </w:rPr>
              <w:t>®</w:t>
            </w:r>
            <w:r w:rsidRPr="00C83DF5">
              <w:rPr>
                <w:rFonts w:ascii="Tahoma" w:hAnsi="Tahoma" w:cs="Tahoma"/>
                <w:b w:val="0"/>
                <w:sz w:val="14"/>
              </w:rPr>
              <w:t xml:space="preserve"> 2013 für Windows</w:t>
            </w:r>
            <w:bookmarkEnd w:id="37"/>
            <w:bookmarkEnd w:id="38"/>
            <w:bookmarkEnd w:id="39"/>
          </w:p>
        </w:tc>
        <w:tc>
          <w:tcPr>
            <w:tcW w:w="429" w:type="dxa"/>
            <w:tcBorders>
              <w:bottom w:val="single" w:sz="4" w:space="0" w:color="auto"/>
            </w:tcBorders>
            <w:shd w:val="clear" w:color="auto" w:fill="auto"/>
            <w:vAlign w:val="center"/>
          </w:tcPr>
          <w:p w:rsidR="00913A0A" w:rsidRPr="00C83DF5"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913A0A" w:rsidRPr="00C83DF5" w:rsidRDefault="00913A0A" w:rsidP="004000C7">
            <w:pPr>
              <w:pStyle w:val="TableText"/>
              <w:widowControl w:val="0"/>
              <w:rPr>
                <w:rFonts w:ascii="Tahoma" w:hAnsi="Tahoma" w:cs="Tahoma"/>
                <w:color w:val="000000"/>
                <w:sz w:val="13"/>
              </w:rPr>
            </w:pPr>
            <w:r w:rsidRPr="00C83DF5">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color w:val="000000"/>
                <w:sz w:val="13"/>
              </w:rPr>
            </w:pPr>
            <w:r w:rsidRPr="00C83DF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080B33">
            <w:pPr>
              <w:pStyle w:val="TableText"/>
              <w:widowControl w:val="0"/>
              <w:rPr>
                <w:rFonts w:ascii="Tahoma" w:hAnsi="Tahoma" w:cs="Tahoma"/>
                <w:sz w:val="13"/>
              </w:rPr>
            </w:pPr>
            <w:r w:rsidRPr="00C83DF5">
              <w:rPr>
                <w:rFonts w:ascii="Tahoma" w:hAnsi="Tahoma" w:cs="Tahoma"/>
                <w:sz w:val="13"/>
              </w:rPr>
              <w:t>A, AO, ST</w:t>
            </w:r>
          </w:p>
        </w:tc>
        <w:tc>
          <w:tcPr>
            <w:tcW w:w="514"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A</w:t>
            </w:r>
          </w:p>
        </w:tc>
      </w:tr>
      <w:tr w:rsidR="008A0F85" w:rsidRPr="00C83DF5" w:rsidTr="00D824AF">
        <w:trPr>
          <w:cantSplit/>
          <w:trHeight w:val="269"/>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40" w:name="_Toc336337858"/>
            <w:bookmarkStart w:id="41" w:name="_Toc370982979"/>
            <w:r w:rsidRPr="00C83DF5">
              <w:rPr>
                <w:rFonts w:ascii="Tahoma" w:hAnsi="Tahoma" w:cs="Tahoma"/>
                <w:b w:val="0"/>
                <w:sz w:val="14"/>
              </w:rPr>
              <w:t>MSDN-Betriebssysteme</w:t>
            </w:r>
            <w:bookmarkEnd w:id="40"/>
            <w:bookmarkEnd w:id="41"/>
          </w:p>
        </w:tc>
        <w:tc>
          <w:tcPr>
            <w:tcW w:w="429" w:type="dxa"/>
            <w:tcBorders>
              <w:bottom w:val="single" w:sz="4" w:space="0" w:color="auto"/>
            </w:tcBorders>
            <w:shd w:val="clear" w:color="auto" w:fill="FABF8F"/>
            <w:vAlign w:val="center"/>
          </w:tcPr>
          <w:p w:rsidR="00913A0A" w:rsidRPr="00C83DF5" w:rsidRDefault="005519A5" w:rsidP="009832D3">
            <w:pPr>
              <w:pStyle w:val="TableText"/>
              <w:widowControl w:val="0"/>
              <w:rPr>
                <w:rStyle w:val="EndnoteReference"/>
                <w:b w:val="0"/>
                <w:color w:val="0000FF"/>
                <w:sz w:val="13"/>
                <w:szCs w:val="13"/>
                <w:u w:val="single"/>
              </w:rPr>
            </w:pPr>
            <w:hyperlink w:anchor="_34_MSDN_Operating" w:history="1">
              <w:r w:rsidR="00CF5A3E" w:rsidRPr="00C83DF5">
                <w:rPr>
                  <w:rStyle w:val="Hyperlink"/>
                  <w:b/>
                  <w:sz w:val="13"/>
                  <w:szCs w:val="13"/>
                </w:rPr>
                <w:t>3</w:t>
              </w:r>
            </w:hyperlink>
          </w:p>
        </w:tc>
        <w:tc>
          <w:tcPr>
            <w:tcW w:w="429" w:type="dxa"/>
            <w:tcBorders>
              <w:bottom w:val="single" w:sz="4" w:space="0" w:color="auto"/>
            </w:tcBorders>
            <w:shd w:val="clear" w:color="auto" w:fill="FABF8F"/>
            <w:vAlign w:val="center"/>
          </w:tcPr>
          <w:p w:rsidR="00913A0A" w:rsidRPr="00C83DF5" w:rsidRDefault="00913A0A" w:rsidP="004000C7">
            <w:pPr>
              <w:pStyle w:val="TableText"/>
              <w:rPr>
                <w:rFonts w:ascii="Tahoma" w:hAnsi="Tahoma" w:cs="Tahoma"/>
                <w:sz w:val="13"/>
              </w:rPr>
            </w:pPr>
            <w:r w:rsidRPr="00C83DF5">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5</w:t>
            </w:r>
          </w:p>
        </w:tc>
        <w:tc>
          <w:tcPr>
            <w:tcW w:w="429" w:type="dxa"/>
            <w:tcBorders>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4</w:t>
            </w:r>
          </w:p>
        </w:tc>
        <w:tc>
          <w:tcPr>
            <w:tcW w:w="429" w:type="dxa"/>
            <w:tcBorders>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4B3534">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080B33">
            <w:pPr>
              <w:pStyle w:val="TableText"/>
              <w:rPr>
                <w:rFonts w:ascii="Tahoma" w:hAnsi="Tahoma" w:cs="Tahoma"/>
                <w:sz w:val="13"/>
              </w:rPr>
            </w:pPr>
            <w:r w:rsidRPr="00C83DF5">
              <w:rPr>
                <w:rFonts w:ascii="Tahoma" w:hAnsi="Tahoma" w:cs="Tahoma"/>
                <w:sz w:val="13"/>
              </w:rPr>
              <w:t>A</w:t>
            </w:r>
          </w:p>
        </w:tc>
        <w:tc>
          <w:tcPr>
            <w:tcW w:w="514" w:type="dxa"/>
            <w:tcBorders>
              <w:bottom w:val="single" w:sz="4" w:space="0" w:color="auto"/>
            </w:tcBorders>
            <w:shd w:val="clear" w:color="auto" w:fill="FABF8F"/>
            <w:vAlign w:val="center"/>
          </w:tcPr>
          <w:p w:rsidR="00913A0A" w:rsidRPr="00C83DF5" w:rsidRDefault="00913A0A" w:rsidP="004B3534">
            <w:pPr>
              <w:pStyle w:val="TableText"/>
            </w:pPr>
            <w:r w:rsidRPr="00C83DF5">
              <w:rPr>
                <w:rFonts w:ascii="Tahoma" w:hAnsi="Tahoma" w:cs="Tahoma"/>
                <w:sz w:val="13"/>
              </w:rPr>
              <w:t>OL/SA/</w:t>
            </w:r>
          </w:p>
          <w:p w:rsidR="00913A0A" w:rsidRPr="00C83DF5" w:rsidRDefault="00913A0A" w:rsidP="004B3534">
            <w:pPr>
              <w:pStyle w:val="TableText"/>
              <w:rPr>
                <w:rFonts w:ascii="Tahoma" w:hAnsi="Tahoma" w:cs="Tahoma"/>
                <w:sz w:val="13"/>
              </w:rPr>
            </w:pPr>
            <w:r w:rsidRPr="00C83DF5">
              <w:rPr>
                <w:rFonts w:ascii="Tahoma" w:hAnsi="Tahoma" w:cs="Tahoma"/>
                <w:sz w:val="13"/>
              </w:rPr>
              <w:t>OV</w:t>
            </w:r>
          </w:p>
        </w:tc>
        <w:tc>
          <w:tcPr>
            <w:tcW w:w="388" w:type="dxa"/>
            <w:tcBorders>
              <w:bottom w:val="single" w:sz="4" w:space="0" w:color="auto"/>
            </w:tcBorders>
            <w:shd w:val="clear" w:color="auto" w:fill="FABF8F"/>
          </w:tcPr>
          <w:p w:rsidR="00913A0A" w:rsidRPr="00C83DF5" w:rsidRDefault="00913A0A" w:rsidP="004B3534">
            <w:pPr>
              <w:pStyle w:val="TableText"/>
              <w:rPr>
                <w:rFonts w:ascii="Tahoma" w:hAnsi="Tahoma" w:cs="Tahoma"/>
                <w:sz w:val="13"/>
              </w:rPr>
            </w:pPr>
          </w:p>
        </w:tc>
      </w:tr>
      <w:tr w:rsidR="00913A0A" w:rsidRPr="00C83DF5" w:rsidTr="002F4807">
        <w:trPr>
          <w:cantSplit/>
          <w:trHeight w:val="314"/>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42" w:name="_Toc370982980"/>
            <w:r w:rsidRPr="00C83DF5">
              <w:rPr>
                <w:rFonts w:ascii="Tahoma" w:hAnsi="Tahoma" w:cs="Tahoma"/>
                <w:b w:val="0"/>
                <w:sz w:val="14"/>
              </w:rPr>
              <w:t>MSDN-Plattformen</w:t>
            </w:r>
            <w:bookmarkEnd w:id="42"/>
          </w:p>
        </w:tc>
        <w:tc>
          <w:tcPr>
            <w:tcW w:w="429" w:type="dxa"/>
            <w:tcBorders>
              <w:bottom w:val="single" w:sz="4" w:space="0" w:color="auto"/>
            </w:tcBorders>
            <w:shd w:val="clear" w:color="auto" w:fill="auto"/>
            <w:vAlign w:val="center"/>
          </w:tcPr>
          <w:p w:rsidR="00913A0A" w:rsidRPr="00C83DF5" w:rsidRDefault="005519A5" w:rsidP="009832D3">
            <w:pPr>
              <w:pStyle w:val="TableText"/>
              <w:widowControl w:val="0"/>
            </w:pPr>
            <w:hyperlink w:anchor="_6_Office_365" w:history="1">
              <w:r w:rsidR="00CF5A3E" w:rsidRPr="00C83DF5">
                <w:rPr>
                  <w:rStyle w:val="Hyperlink"/>
                  <w:b/>
                  <w:sz w:val="13"/>
                  <w:szCs w:val="13"/>
                </w:rPr>
                <w:t>4</w:t>
              </w:r>
            </w:hyperlink>
          </w:p>
        </w:tc>
        <w:tc>
          <w:tcPr>
            <w:tcW w:w="429" w:type="dxa"/>
            <w:tcBorders>
              <w:bottom w:val="single" w:sz="4" w:space="0" w:color="auto"/>
            </w:tcBorders>
            <w:shd w:val="clear" w:color="auto" w:fill="auto"/>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15</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12</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9</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9</w:t>
            </w: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Del="000365B0" w:rsidRDefault="00913A0A" w:rsidP="004B3534">
            <w:pPr>
              <w:pStyle w:val="TableText"/>
              <w:widowControl w:val="0"/>
              <w:rPr>
                <w:rFonts w:ascii="Tahoma" w:hAnsi="Tahoma" w:cs="Tahoma"/>
                <w:sz w:val="13"/>
              </w:rPr>
            </w:pPr>
            <w:r w:rsidRPr="00C83DF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2F4807">
            <w:pPr>
              <w:pStyle w:val="TableText"/>
              <w:widowControl w:val="0"/>
              <w:spacing w:after="10"/>
              <w:rPr>
                <w:rFonts w:ascii="Tahoma" w:hAnsi="Tahoma" w:cs="Tahoma"/>
                <w:sz w:val="13"/>
              </w:rPr>
            </w:pPr>
            <w:r w:rsidRPr="00C83DF5">
              <w:rPr>
                <w:rFonts w:ascii="Tahoma" w:hAnsi="Tahoma" w:cs="Tahoma"/>
                <w:sz w:val="13"/>
              </w:rPr>
              <w:t>A (nur EES)</w:t>
            </w:r>
          </w:p>
        </w:tc>
        <w:tc>
          <w:tcPr>
            <w:tcW w:w="514" w:type="dxa"/>
            <w:tcBorders>
              <w:bottom w:val="single" w:sz="4" w:space="0" w:color="auto"/>
            </w:tcBorders>
            <w:shd w:val="clear" w:color="auto" w:fill="auto"/>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OL/SA/OV</w:t>
            </w:r>
          </w:p>
        </w:tc>
        <w:tc>
          <w:tcPr>
            <w:tcW w:w="388" w:type="dxa"/>
            <w:tcBorders>
              <w:bottom w:val="single" w:sz="4" w:space="0" w:color="auto"/>
            </w:tcBorders>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STP</w:t>
            </w: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43" w:name="_Toc336337860"/>
            <w:bookmarkStart w:id="44" w:name="_Toc370982981"/>
            <w:r w:rsidRPr="00C83DF5">
              <w:rPr>
                <w:rFonts w:ascii="Tahoma" w:hAnsi="Tahoma" w:cs="Tahoma"/>
                <w:b w:val="0"/>
                <w:sz w:val="14"/>
              </w:rPr>
              <w:t>Office 365 Education A3 (Nutzer-AL)</w:t>
            </w:r>
            <w:bookmarkEnd w:id="43"/>
            <w:bookmarkEnd w:id="44"/>
          </w:p>
        </w:tc>
        <w:tc>
          <w:tcPr>
            <w:tcW w:w="429" w:type="dxa"/>
            <w:tcBorders>
              <w:bottom w:val="single" w:sz="4" w:space="0" w:color="auto"/>
            </w:tcBorders>
            <w:shd w:val="clear" w:color="auto" w:fill="FABF8F"/>
            <w:vAlign w:val="center"/>
          </w:tcPr>
          <w:p w:rsidR="00913A0A" w:rsidRPr="00C83DF5" w:rsidRDefault="005519A5" w:rsidP="009832D3">
            <w:pPr>
              <w:pStyle w:val="TableText"/>
              <w:widowControl w:val="0"/>
              <w:rPr>
                <w:b/>
                <w:color w:val="0000FF"/>
                <w:sz w:val="13"/>
                <w:szCs w:val="13"/>
                <w:u w:val="single"/>
              </w:rPr>
            </w:pPr>
            <w:hyperlink w:anchor="_5_Office_365_1" w:history="1">
              <w:r w:rsidR="00CF5A3E" w:rsidRPr="00C83DF5">
                <w:rPr>
                  <w:rStyle w:val="Hyperlink"/>
                  <w:b/>
                  <w:sz w:val="13"/>
                  <w:szCs w:val="13"/>
                </w:rPr>
                <w:t>5</w:t>
              </w:r>
            </w:hyperlink>
          </w:p>
        </w:tc>
        <w:tc>
          <w:tcPr>
            <w:tcW w:w="429" w:type="dxa"/>
            <w:tcBorders>
              <w:bottom w:val="single" w:sz="4" w:space="0" w:color="auto"/>
            </w:tcBorders>
            <w:shd w:val="clear" w:color="auto" w:fill="FABF8F"/>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2F4807" w:rsidRDefault="00913A0A" w:rsidP="002F4807">
            <w:pPr>
              <w:pStyle w:val="TableText"/>
              <w:widowControl w:val="0"/>
              <w:spacing w:after="10"/>
              <w:rPr>
                <w:rFonts w:ascii="Tahoma" w:hAnsi="Tahoma" w:cs="Tahoma"/>
                <w:sz w:val="13"/>
                <w:lang w:val="de-DE"/>
              </w:rPr>
            </w:pPr>
            <w:r w:rsidRPr="0072501E">
              <w:rPr>
                <w:rFonts w:ascii="Tahoma" w:hAnsi="Tahoma" w:cs="Tahoma"/>
                <w:sz w:val="13"/>
                <w:lang w:val="de-DE"/>
              </w:rPr>
              <w:t>EOLS (nur EES), A</w:t>
            </w:r>
            <w:r w:rsidRPr="002F4807">
              <w:rPr>
                <w:rFonts w:ascii="Tahoma" w:hAnsi="Tahoma" w:cs="Tahoma"/>
                <w:sz w:val="13"/>
                <w:lang w:val="de-DE"/>
              </w:rPr>
              <w:t xml:space="preserve"> (OVS-ES)</w:t>
            </w:r>
          </w:p>
        </w:tc>
        <w:tc>
          <w:tcPr>
            <w:tcW w:w="514"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OL</w:t>
            </w:r>
          </w:p>
        </w:tc>
        <w:tc>
          <w:tcPr>
            <w:tcW w:w="388" w:type="dxa"/>
            <w:tcBorders>
              <w:bottom w:val="single" w:sz="4" w:space="0" w:color="auto"/>
            </w:tcBorders>
            <w:shd w:val="clear" w:color="auto" w:fill="FABF8F"/>
          </w:tcPr>
          <w:p w:rsidR="00913A0A" w:rsidRPr="00C83DF5" w:rsidRDefault="00913A0A" w:rsidP="004B3534">
            <w:pPr>
              <w:pStyle w:val="TableText"/>
              <w:widowControl w:val="0"/>
              <w:rPr>
                <w:rFonts w:ascii="Tahoma" w:hAnsi="Tahoma" w:cs="Tahoma"/>
                <w:sz w:val="13"/>
              </w:rPr>
            </w:pPr>
          </w:p>
        </w:tc>
      </w:tr>
      <w:tr w:rsidR="00913A0A" w:rsidRPr="00C83DF5" w:rsidTr="00D824AF">
        <w:trPr>
          <w:cantSplit/>
          <w:trHeight w:val="287"/>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45" w:name="_Toc370982982"/>
            <w:r w:rsidRPr="00C83DF5">
              <w:rPr>
                <w:rFonts w:ascii="Tahoma" w:hAnsi="Tahoma" w:cs="Tahoma"/>
                <w:b w:val="0"/>
                <w:sz w:val="14"/>
              </w:rPr>
              <w:t>Office 365 Education A4 (Nutzer-AL)</w:t>
            </w:r>
            <w:bookmarkEnd w:id="45"/>
          </w:p>
        </w:tc>
        <w:tc>
          <w:tcPr>
            <w:tcW w:w="429" w:type="dxa"/>
            <w:tcBorders>
              <w:bottom w:val="single" w:sz="4" w:space="0" w:color="auto"/>
            </w:tcBorders>
            <w:shd w:val="clear" w:color="auto" w:fill="auto"/>
            <w:vAlign w:val="center"/>
          </w:tcPr>
          <w:p w:rsidR="00913A0A" w:rsidRPr="00C83DF5" w:rsidRDefault="005519A5" w:rsidP="009578A2">
            <w:pPr>
              <w:pStyle w:val="TableText"/>
              <w:widowControl w:val="0"/>
            </w:pPr>
            <w:hyperlink w:anchor="_5_Office_365_1" w:history="1">
              <w:r w:rsidR="0017602C" w:rsidRPr="00C83DF5">
                <w:rPr>
                  <w:rStyle w:val="Hyperlink"/>
                  <w:b/>
                  <w:sz w:val="13"/>
                  <w:szCs w:val="13"/>
                </w:rPr>
                <w:t>5</w:t>
              </w:r>
            </w:hyperlink>
          </w:p>
        </w:tc>
        <w:tc>
          <w:tcPr>
            <w:tcW w:w="429" w:type="dxa"/>
            <w:tcBorders>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r w:rsidRPr="00C83DF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r w:rsidRPr="00C83DF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2F4807">
            <w:pPr>
              <w:pStyle w:val="TableText"/>
              <w:widowControl w:val="0"/>
              <w:spacing w:after="10"/>
              <w:rPr>
                <w:rFonts w:ascii="Tahoma" w:hAnsi="Tahoma" w:cs="Tahoma"/>
                <w:sz w:val="13"/>
              </w:rPr>
            </w:pPr>
            <w:r w:rsidRPr="00C83DF5">
              <w:rPr>
                <w:rFonts w:ascii="Tahoma" w:hAnsi="Tahoma" w:cs="Tahoma"/>
                <w:sz w:val="13"/>
              </w:rPr>
              <w:t>EOLS (nur EES)</w:t>
            </w:r>
          </w:p>
        </w:tc>
        <w:tc>
          <w:tcPr>
            <w:tcW w:w="514" w:type="dxa"/>
            <w:tcBorders>
              <w:bottom w:val="single" w:sz="4" w:space="0" w:color="auto"/>
            </w:tcBorders>
            <w:shd w:val="clear" w:color="auto" w:fill="auto"/>
            <w:vAlign w:val="center"/>
          </w:tcPr>
          <w:p w:rsidR="00913A0A" w:rsidRPr="00C83DF5" w:rsidRDefault="00913A0A" w:rsidP="009578A2">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9578A2">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46" w:name="_Toc370982983"/>
            <w:r w:rsidRPr="00C83DF5">
              <w:rPr>
                <w:rFonts w:ascii="Tahoma" w:hAnsi="Tahoma" w:cs="Tahoma"/>
                <w:b w:val="0"/>
                <w:sz w:val="14"/>
              </w:rPr>
              <w:t xml:space="preserve">Office 365 Midsize Business </w:t>
            </w:r>
            <w:r w:rsidR="002F4807">
              <w:rPr>
                <w:rFonts w:ascii="Tahoma" w:hAnsi="Tahoma" w:cs="Tahoma"/>
                <w:b w:val="0"/>
                <w:sz w:val="14"/>
              </w:rPr>
              <w:br/>
            </w:r>
            <w:r w:rsidRPr="00C83DF5">
              <w:rPr>
                <w:rFonts w:ascii="Tahoma" w:hAnsi="Tahoma" w:cs="Tahoma"/>
                <w:b w:val="0"/>
                <w:sz w:val="14"/>
              </w:rPr>
              <w:t>(Nutzer-AL)</w:t>
            </w:r>
            <w:bookmarkEnd w:id="46"/>
          </w:p>
        </w:tc>
        <w:tc>
          <w:tcPr>
            <w:tcW w:w="429" w:type="dxa"/>
            <w:tcBorders>
              <w:bottom w:val="single" w:sz="4" w:space="0" w:color="auto"/>
            </w:tcBorders>
            <w:shd w:val="clear" w:color="auto" w:fill="FABF8F"/>
            <w:vAlign w:val="center"/>
          </w:tcPr>
          <w:p w:rsidR="00913A0A" w:rsidRPr="00C83DF5" w:rsidRDefault="005519A5" w:rsidP="009832D3">
            <w:pPr>
              <w:pStyle w:val="TableText"/>
              <w:widowControl w:val="0"/>
              <w:rPr>
                <w:b/>
                <w:sz w:val="13"/>
                <w:szCs w:val="13"/>
              </w:rPr>
            </w:pPr>
            <w:hyperlink w:anchor="_7_Office_365" w:history="1">
              <w:r w:rsidR="00CF5A3E" w:rsidRPr="00C83DF5">
                <w:rPr>
                  <w:rStyle w:val="Hyperlink"/>
                  <w:b/>
                  <w:sz w:val="13"/>
                  <w:szCs w:val="13"/>
                </w:rPr>
                <w:t>6</w:t>
              </w:r>
            </w:hyperlink>
          </w:p>
        </w:tc>
        <w:tc>
          <w:tcPr>
            <w:tcW w:w="429" w:type="dxa"/>
            <w:tcBorders>
              <w:bottom w:val="single" w:sz="4" w:space="0" w:color="auto"/>
            </w:tcBorders>
            <w:shd w:val="clear" w:color="auto" w:fill="FABF8F"/>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4B3534">
            <w:pPr>
              <w:pStyle w:val="TableText"/>
              <w:widowControl w:val="0"/>
              <w:rPr>
                <w:rFonts w:ascii="Tahoma" w:hAnsi="Tahoma" w:cs="Tahoma"/>
                <w:sz w:val="13"/>
              </w:rPr>
            </w:pPr>
            <w:r w:rsidRPr="00C83DF5">
              <w:rPr>
                <w:rFonts w:ascii="Tahoma" w:hAnsi="Tahoma" w:cs="Tahoma"/>
                <w:sz w:val="13"/>
              </w:rPr>
              <w:t>OL/OV</w:t>
            </w:r>
          </w:p>
        </w:tc>
        <w:tc>
          <w:tcPr>
            <w:tcW w:w="388" w:type="dxa"/>
            <w:tcBorders>
              <w:bottom w:val="single" w:sz="4" w:space="0" w:color="auto"/>
            </w:tcBorders>
            <w:shd w:val="clear" w:color="auto" w:fill="FABF8F"/>
          </w:tcPr>
          <w:p w:rsidR="00913A0A" w:rsidRPr="00C83DF5" w:rsidRDefault="00913A0A" w:rsidP="004B3534">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FFFFF" w:themeFill="background1"/>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47" w:name="_Toc370982984"/>
            <w:r w:rsidRPr="00C83DF5">
              <w:rPr>
                <w:rFonts w:ascii="Tahoma" w:hAnsi="Tahoma" w:cs="Tahoma"/>
                <w:b w:val="0"/>
                <w:sz w:val="14"/>
              </w:rPr>
              <w:t>Add-On für Office 365 Enterprise E3, E4 (Nutzer-AL)</w:t>
            </w:r>
            <w:bookmarkEnd w:id="47"/>
          </w:p>
        </w:tc>
        <w:tc>
          <w:tcPr>
            <w:tcW w:w="429" w:type="dxa"/>
            <w:tcBorders>
              <w:bottom w:val="single" w:sz="4" w:space="0" w:color="auto"/>
            </w:tcBorders>
            <w:shd w:val="clear" w:color="auto" w:fill="FFFFFF" w:themeFill="background1"/>
            <w:vAlign w:val="center"/>
          </w:tcPr>
          <w:p w:rsidR="00913A0A" w:rsidRPr="00C83DF5" w:rsidRDefault="005519A5" w:rsidP="009832D3">
            <w:pPr>
              <w:pStyle w:val="TableText"/>
              <w:widowControl w:val="0"/>
              <w:rPr>
                <w:b/>
                <w:sz w:val="13"/>
                <w:szCs w:val="13"/>
              </w:rPr>
            </w:pPr>
            <w:hyperlink w:anchor="_7_Add-on_User" w:history="1">
              <w:r w:rsidR="00CF5A3E" w:rsidRPr="00C83DF5">
                <w:rPr>
                  <w:rStyle w:val="Hyperlink"/>
                  <w:b/>
                  <w:sz w:val="13"/>
                  <w:szCs w:val="13"/>
                </w:rPr>
                <w:t>7</w:t>
              </w:r>
            </w:hyperlink>
          </w:p>
        </w:tc>
        <w:tc>
          <w:tcPr>
            <w:tcW w:w="429" w:type="dxa"/>
            <w:tcBorders>
              <w:bottom w:val="single" w:sz="4" w:space="0" w:color="auto"/>
            </w:tcBorders>
            <w:shd w:val="clear" w:color="auto" w:fill="FFFFFF" w:themeFill="background1"/>
            <w:vAlign w:val="center"/>
          </w:tcPr>
          <w:p w:rsidR="00913A0A" w:rsidRPr="00C83DF5" w:rsidRDefault="00913A0A" w:rsidP="004000C7">
            <w:pPr>
              <w:pStyle w:val="TableText"/>
              <w:widowControl w:val="0"/>
              <w:rPr>
                <w:rFonts w:ascii="Tahoma" w:hAnsi="Tahoma" w:cs="Tahoma"/>
                <w:sz w:val="13"/>
              </w:rPr>
            </w:pPr>
            <w:r w:rsidRPr="00C83DF5">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C83DF5" w:rsidRDefault="00913A0A" w:rsidP="00CC19FC">
            <w:pPr>
              <w:pStyle w:val="TableText"/>
              <w:widowControl w:val="0"/>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C83DF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C83DF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rsidR="00913A0A" w:rsidRPr="00C83DF5" w:rsidRDefault="00913A0A" w:rsidP="004B3534">
            <w:pPr>
              <w:pStyle w:val="TableText"/>
              <w:widowControl w:val="0"/>
              <w:rPr>
                <w:rFonts w:ascii="Tahoma" w:hAnsi="Tahoma" w:cs="Tahoma"/>
                <w:sz w:val="13"/>
              </w:rPr>
            </w:pPr>
          </w:p>
        </w:tc>
      </w:tr>
      <w:tr w:rsidR="000956ED" w:rsidRPr="00C83DF5" w:rsidTr="00D824AF">
        <w:trPr>
          <w:cantSplit/>
          <w:trHeight w:val="287"/>
        </w:trPr>
        <w:tc>
          <w:tcPr>
            <w:tcW w:w="2371" w:type="dxa"/>
            <w:tcBorders>
              <w:bottom w:val="single" w:sz="4" w:space="0" w:color="auto"/>
            </w:tcBorders>
            <w:shd w:val="clear" w:color="auto" w:fill="FABF8F"/>
            <w:vAlign w:val="center"/>
          </w:tcPr>
          <w:p w:rsidR="000956ED" w:rsidRPr="00C83DF5" w:rsidRDefault="000956ED" w:rsidP="00DE02E2">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70982985"/>
            <w:r w:rsidRPr="00C83DF5">
              <w:rPr>
                <w:rFonts w:ascii="Tahoma" w:hAnsi="Tahoma" w:cs="Tahoma"/>
                <w:b w:val="0"/>
                <w:sz w:val="14"/>
              </w:rPr>
              <w:t>Office 365 Enterprise E3 (Nutzer-AL)</w:t>
            </w:r>
            <w:bookmarkEnd w:id="48"/>
            <w:bookmarkEnd w:id="49"/>
            <w:bookmarkEnd w:id="50"/>
          </w:p>
        </w:tc>
        <w:tc>
          <w:tcPr>
            <w:tcW w:w="429" w:type="dxa"/>
            <w:tcBorders>
              <w:bottom w:val="single" w:sz="4" w:space="0" w:color="auto"/>
            </w:tcBorders>
            <w:shd w:val="clear" w:color="auto" w:fill="FABF8F"/>
            <w:vAlign w:val="center"/>
          </w:tcPr>
          <w:p w:rsidR="000956ED" w:rsidRPr="00C83DF5" w:rsidRDefault="005519A5" w:rsidP="00B0065F">
            <w:pPr>
              <w:pStyle w:val="TableText"/>
              <w:widowControl w:val="0"/>
              <w:rPr>
                <w:b/>
                <w:color w:val="0000FF"/>
                <w:sz w:val="13"/>
                <w:szCs w:val="13"/>
                <w:u w:val="single"/>
              </w:rPr>
            </w:pPr>
            <w:hyperlink w:anchor="_7_Office_365_1" w:history="1">
              <w:r w:rsidR="00CF5A3E" w:rsidRPr="00C83DF5">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rsidR="000956ED" w:rsidRPr="00C83DF5" w:rsidRDefault="000956ED" w:rsidP="004000C7">
            <w:pPr>
              <w:pStyle w:val="TableText"/>
              <w:widowControl w:val="0"/>
              <w:rPr>
                <w:rFonts w:ascii="Tahoma" w:hAnsi="Tahoma" w:cs="Tahoma"/>
                <w:sz w:val="13"/>
              </w:rPr>
            </w:pPr>
            <w:r w:rsidRPr="00C83DF5">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r w:rsidRPr="00C83DF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r w:rsidRPr="00C83DF5">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0956ED" w:rsidRPr="00C83DF5"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0956ED" w:rsidRPr="00C83DF5" w:rsidRDefault="000956ED" w:rsidP="004B3534">
            <w:pPr>
              <w:pStyle w:val="TableText"/>
              <w:widowControl w:val="0"/>
              <w:rPr>
                <w:rFonts w:ascii="Tahoma" w:hAnsi="Tahoma" w:cs="Tahoma"/>
                <w:sz w:val="13"/>
              </w:rPr>
            </w:pPr>
            <w:r w:rsidRPr="00C83DF5">
              <w:rPr>
                <w:rFonts w:ascii="Tahoma" w:hAnsi="Tahoma" w:cs="Tahoma"/>
                <w:sz w:val="13"/>
              </w:rPr>
              <w:t>OL/OV</w:t>
            </w:r>
          </w:p>
        </w:tc>
        <w:tc>
          <w:tcPr>
            <w:tcW w:w="388" w:type="dxa"/>
            <w:tcBorders>
              <w:bottom w:val="single" w:sz="4" w:space="0" w:color="auto"/>
            </w:tcBorders>
            <w:shd w:val="clear" w:color="auto" w:fill="FABF8F"/>
          </w:tcPr>
          <w:p w:rsidR="000956ED" w:rsidRPr="00C83DF5" w:rsidRDefault="000956ED" w:rsidP="004B3534">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FFFFF" w:themeFill="background1"/>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51" w:name="_Toc370982986"/>
            <w:r w:rsidRPr="00C83DF5">
              <w:rPr>
                <w:rFonts w:ascii="Tahoma" w:hAnsi="Tahoma" w:cs="Tahoma"/>
                <w:b w:val="0"/>
                <w:sz w:val="14"/>
              </w:rPr>
              <w:t>Office 365 Enterprise E4 (Nutzer-AL)</w:t>
            </w:r>
            <w:bookmarkEnd w:id="51"/>
          </w:p>
        </w:tc>
        <w:tc>
          <w:tcPr>
            <w:tcW w:w="429" w:type="dxa"/>
            <w:tcBorders>
              <w:bottom w:val="single" w:sz="4" w:space="0" w:color="auto"/>
            </w:tcBorders>
            <w:shd w:val="clear" w:color="auto" w:fill="FFFFFF" w:themeFill="background1"/>
            <w:vAlign w:val="center"/>
          </w:tcPr>
          <w:p w:rsidR="00913A0A" w:rsidRPr="00C83DF5" w:rsidRDefault="005519A5" w:rsidP="00D55AB9">
            <w:pPr>
              <w:pStyle w:val="TableText"/>
              <w:widowControl w:val="0"/>
            </w:pPr>
            <w:hyperlink w:anchor="_7_Office_365_1" w:history="1">
              <w:r w:rsidR="007F0E09" w:rsidRPr="00C83DF5">
                <w:rPr>
                  <w:rStyle w:val="Hyperlink"/>
                  <w:b/>
                  <w:sz w:val="13"/>
                  <w:szCs w:val="13"/>
                </w:rPr>
                <w:t>8</w:t>
              </w:r>
            </w:hyperlink>
          </w:p>
        </w:tc>
        <w:tc>
          <w:tcPr>
            <w:tcW w:w="429"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rsidR="00913A0A" w:rsidRPr="00C83DF5" w:rsidRDefault="00913A0A" w:rsidP="00D55AB9">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52" w:name="_Toc370982987"/>
            <w:r w:rsidRPr="00C83DF5">
              <w:rPr>
                <w:rFonts w:ascii="Tahoma" w:hAnsi="Tahoma" w:cs="Tahoma"/>
                <w:b w:val="0"/>
                <w:sz w:val="14"/>
              </w:rPr>
              <w:t>Add-On für Office 365 Government G3, G4 (Nutzer-AL)</w:t>
            </w:r>
            <w:bookmarkEnd w:id="52"/>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pPr>
            <w:hyperlink w:anchor="_7_Add-on_User" w:history="1">
              <w:r w:rsidR="00CF5A3E" w:rsidRPr="00C83DF5">
                <w:rPr>
                  <w:rStyle w:val="Hyperlink"/>
                  <w:b/>
                  <w:sz w:val="13"/>
                  <w:szCs w:val="13"/>
                </w:rPr>
                <w:t>7</w:t>
              </w:r>
            </w:hyperlink>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widowControl w:val="0"/>
              <w:rPr>
                <w:rFonts w:ascii="Tahoma" w:hAnsi="Tahoma" w:cs="Tahoma"/>
                <w:sz w:val="13"/>
              </w:rPr>
            </w:pPr>
          </w:p>
        </w:tc>
      </w:tr>
      <w:tr w:rsidR="00913A0A" w:rsidRPr="00C83DF5" w:rsidTr="00D824AF">
        <w:trPr>
          <w:cantSplit/>
          <w:trHeight w:val="287"/>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53" w:name="_Toc291024474"/>
            <w:bookmarkStart w:id="54" w:name="_Toc336337863"/>
            <w:bookmarkStart w:id="55" w:name="_Toc370982988"/>
            <w:r w:rsidRPr="00C83DF5">
              <w:rPr>
                <w:rFonts w:ascii="Tahoma" w:hAnsi="Tahoma" w:cs="Tahoma"/>
                <w:b w:val="0"/>
                <w:sz w:val="14"/>
              </w:rPr>
              <w:t xml:space="preserve">Office 365 </w:t>
            </w:r>
            <w:bookmarkEnd w:id="53"/>
            <w:bookmarkEnd w:id="54"/>
            <w:r w:rsidRPr="00C83DF5">
              <w:rPr>
                <w:rFonts w:ascii="Tahoma" w:hAnsi="Tahoma" w:cs="Tahoma"/>
                <w:b w:val="0"/>
                <w:sz w:val="14"/>
              </w:rPr>
              <w:t>Government G3 – G4 (Nutzer-AL)</w:t>
            </w:r>
            <w:bookmarkEnd w:id="55"/>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b/>
                <w:color w:val="0000FF"/>
                <w:sz w:val="13"/>
                <w:szCs w:val="13"/>
                <w:u w:val="single"/>
              </w:rPr>
            </w:pPr>
            <w:hyperlink w:anchor="_68_SharePoint_Online" w:history="1">
              <w:r w:rsidR="00CF5A3E" w:rsidRPr="00C83DF5">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D55AB9">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lang w:val="de-DE"/>
              </w:rPr>
            </w:pPr>
            <w:bookmarkStart w:id="56" w:name="_Toc370982989"/>
            <w:r w:rsidRPr="00C83DF5">
              <w:rPr>
                <w:rFonts w:ascii="Tahoma" w:hAnsi="Tahoma" w:cs="Tahoma"/>
                <w:b w:val="0"/>
                <w:sz w:val="14"/>
                <w:lang w:val="de-DE"/>
              </w:rPr>
              <w:t>Kommerzielle Nutzungsrechte für Office Home &amp; Student 2013 RT</w:t>
            </w:r>
            <w:bookmarkEnd w:id="56"/>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b/>
                <w:color w:val="0000FF"/>
                <w:sz w:val="13"/>
                <w:szCs w:val="13"/>
                <w:u w:val="single"/>
                <w:lang w:val="de-DE"/>
              </w:rPr>
            </w:pP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widowControl w:val="0"/>
              <w:rPr>
                <w:rFonts w:ascii="Tahoma" w:hAnsi="Tahoma" w:cs="Tahoma"/>
                <w:sz w:val="13"/>
              </w:rPr>
            </w:pPr>
          </w:p>
        </w:tc>
      </w:tr>
      <w:tr w:rsidR="00913A0A" w:rsidRPr="00C83DF5" w:rsidTr="00D824AF">
        <w:trPr>
          <w:cantSplit/>
          <w:trHeight w:val="287"/>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57" w:name="_Toc336337865"/>
            <w:bookmarkStart w:id="58" w:name="_Toc370982990"/>
            <w:r w:rsidRPr="00C83DF5">
              <w:rPr>
                <w:rFonts w:ascii="Tahoma" w:hAnsi="Tahoma" w:cs="Tahoma"/>
                <w:b w:val="0"/>
                <w:sz w:val="14"/>
              </w:rPr>
              <w:t>Office für Mac Standard 2011</w:t>
            </w:r>
            <w:bookmarkEnd w:id="57"/>
            <w:bookmarkEnd w:id="58"/>
            <w:r w:rsidRPr="00C83DF5">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rStyle w:val="EndnoteReference"/>
                <w:b w:val="0"/>
                <w:color w:val="0000FF"/>
                <w:sz w:val="13"/>
                <w:szCs w:val="13"/>
                <w:u w:val="single"/>
              </w:rPr>
            </w:pPr>
            <w:hyperlink w:anchor="_76_Office_for" w:history="1">
              <w:r w:rsidR="00CF5A3E" w:rsidRPr="00C83DF5">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5</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E</w:t>
            </w:r>
          </w:p>
        </w:tc>
        <w:tc>
          <w:tcPr>
            <w:tcW w:w="514"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D55AB9">
            <w:pPr>
              <w:pStyle w:val="TableText"/>
              <w:widowControl w:val="0"/>
              <w:rPr>
                <w:rFonts w:ascii="Tahoma" w:hAnsi="Tahoma" w:cs="Tahoma"/>
                <w:sz w:val="13"/>
              </w:rPr>
            </w:pPr>
          </w:p>
        </w:tc>
      </w:tr>
      <w:tr w:rsidR="008A0F85" w:rsidRPr="00C83DF5" w:rsidTr="00D824AF">
        <w:trPr>
          <w:cantSplit/>
          <w:trHeight w:val="287"/>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70982991"/>
            <w:bookmarkEnd w:id="59"/>
            <w:r w:rsidRPr="00C83DF5">
              <w:rPr>
                <w:rFonts w:ascii="Tahoma" w:hAnsi="Tahoma" w:cs="Tahoma"/>
                <w:b w:val="0"/>
                <w:sz w:val="14"/>
              </w:rPr>
              <w:t xml:space="preserve">Office Multi-Language Pack </w:t>
            </w:r>
            <w:bookmarkEnd w:id="60"/>
            <w:r w:rsidRPr="00C83DF5">
              <w:rPr>
                <w:rFonts w:ascii="Tahoma" w:hAnsi="Tahoma" w:cs="Tahoma"/>
                <w:b w:val="0"/>
                <w:sz w:val="14"/>
              </w:rPr>
              <w:t>2013</w:t>
            </w:r>
            <w:bookmarkEnd w:id="61"/>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rPr>
                <w:rStyle w:val="EndnoteReference"/>
                <w:b w:val="0"/>
                <w:color w:val="0000FF"/>
                <w:sz w:val="13"/>
                <w:szCs w:val="13"/>
                <w:u w:val="single"/>
              </w:rPr>
            </w:pPr>
            <w:hyperlink w:anchor="_5_Office_Multi-Language" w:history="1">
              <w:r w:rsidR="00CF5A3E" w:rsidRPr="00C83DF5">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A</w:t>
            </w: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A</w:t>
            </w:r>
          </w:p>
        </w:tc>
      </w:tr>
      <w:tr w:rsidR="00913A0A" w:rsidRPr="00C83DF5" w:rsidTr="00D824AF">
        <w:trPr>
          <w:cantSplit/>
          <w:trHeight w:val="422"/>
        </w:trPr>
        <w:tc>
          <w:tcPr>
            <w:tcW w:w="2371" w:type="dxa"/>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62" w:name="_Toc336337867"/>
            <w:bookmarkStart w:id="63" w:name="_Toc370982992"/>
            <w:r w:rsidRPr="00C83DF5">
              <w:rPr>
                <w:rFonts w:ascii="Tahoma" w:hAnsi="Tahoma" w:cs="Tahoma"/>
                <w:position w:val="0"/>
                <w:sz w:val="14"/>
              </w:rPr>
              <w:t xml:space="preserve">Office Professional Plus </w:t>
            </w:r>
            <w:bookmarkEnd w:id="62"/>
            <w:r w:rsidRPr="00C83DF5">
              <w:rPr>
                <w:rFonts w:ascii="Tahoma" w:hAnsi="Tahoma" w:cs="Tahoma"/>
                <w:position w:val="0"/>
                <w:sz w:val="14"/>
              </w:rPr>
              <w:t>2013</w:t>
            </w:r>
            <w:bookmarkEnd w:id="63"/>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rStyle w:val="EndnoteReference"/>
                <w:b w:val="0"/>
                <w:color w:val="0000FF"/>
                <w:sz w:val="13"/>
                <w:szCs w:val="13"/>
                <w:u w:val="single"/>
              </w:rPr>
            </w:pPr>
            <w:hyperlink w:anchor="_98_Office_Professional" w:history="1">
              <w:r w:rsidR="00CF5A3E" w:rsidRPr="00C83DF5">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5</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E, P</w:t>
            </w:r>
          </w:p>
        </w:tc>
        <w:tc>
          <w:tcPr>
            <w:tcW w:w="514"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E,ST</w:t>
            </w:r>
          </w:p>
        </w:tc>
        <w:tc>
          <w:tcPr>
            <w:tcW w:w="514"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D55AB9">
            <w:pPr>
              <w:pStyle w:val="TableText"/>
              <w:widowControl w:val="0"/>
              <w:rPr>
                <w:rFonts w:ascii="Tahoma" w:hAnsi="Tahoma" w:cs="Tahoma"/>
                <w:sz w:val="13"/>
              </w:rPr>
            </w:pPr>
          </w:p>
        </w:tc>
      </w:tr>
      <w:tr w:rsidR="008A0F85" w:rsidRPr="00C83DF5" w:rsidTr="00D824AF">
        <w:trPr>
          <w:cantSplit/>
          <w:trHeight w:val="278"/>
        </w:trPr>
        <w:tc>
          <w:tcPr>
            <w:tcW w:w="2371" w:type="dxa"/>
            <w:tcBorders>
              <w:bottom w:val="single" w:sz="4" w:space="0" w:color="auto"/>
            </w:tcBorders>
            <w:shd w:val="clear" w:color="auto" w:fill="FABF8F"/>
            <w:vAlign w:val="center"/>
          </w:tcPr>
          <w:p w:rsidR="00913A0A" w:rsidRPr="00C83DF5" w:rsidRDefault="00913A0A" w:rsidP="00DE02E2">
            <w:pPr>
              <w:pStyle w:val="Heading3"/>
              <w:spacing w:beforeLines="20" w:before="48" w:afterLines="20" w:after="48"/>
              <w:rPr>
                <w:rFonts w:ascii="Tahoma" w:hAnsi="Tahoma" w:cs="Tahoma"/>
                <w:b w:val="0"/>
                <w:sz w:val="14"/>
              </w:rPr>
            </w:pPr>
            <w:bookmarkStart w:id="64" w:name="_Toc336337868"/>
            <w:bookmarkStart w:id="65" w:name="_Toc370982993"/>
            <w:r w:rsidRPr="00C83DF5">
              <w:rPr>
                <w:rFonts w:ascii="Tahoma" w:hAnsi="Tahoma" w:cs="Tahoma"/>
                <w:b w:val="0"/>
                <w:sz w:val="14"/>
              </w:rPr>
              <w:t xml:space="preserve">Office Standard </w:t>
            </w:r>
            <w:bookmarkEnd w:id="64"/>
            <w:r w:rsidRPr="00C83DF5">
              <w:rPr>
                <w:rFonts w:ascii="Tahoma" w:hAnsi="Tahoma" w:cs="Tahoma"/>
                <w:b w:val="0"/>
                <w:sz w:val="14"/>
              </w:rPr>
              <w:t>2013</w:t>
            </w:r>
            <w:bookmarkEnd w:id="65"/>
            <w:r w:rsidRPr="00C83DF5">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rPr>
                <w:rStyle w:val="EndnoteReference"/>
                <w:b w:val="0"/>
                <w:color w:val="0000FF"/>
                <w:sz w:val="13"/>
                <w:szCs w:val="13"/>
                <w:u w:val="single"/>
              </w:rPr>
            </w:pPr>
            <w:hyperlink w:anchor="_109_Office_Standard" w:history="1">
              <w:r w:rsidR="00CF5A3E" w:rsidRPr="00C83DF5">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b/>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5</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widowControl w:val="0"/>
              <w:rPr>
                <w:rFonts w:ascii="Tahoma" w:hAnsi="Tahoma" w:cs="Tahoma"/>
                <w:sz w:val="13"/>
              </w:rPr>
            </w:pPr>
          </w:p>
        </w:tc>
      </w:tr>
      <w:tr w:rsidR="000956ED" w:rsidRPr="00C83DF5" w:rsidTr="00D824AF">
        <w:trPr>
          <w:cantSplit/>
          <w:trHeight w:val="305"/>
        </w:trPr>
        <w:tc>
          <w:tcPr>
            <w:tcW w:w="2371" w:type="dxa"/>
            <w:tcBorders>
              <w:bottom w:val="single" w:sz="4" w:space="0" w:color="auto"/>
            </w:tcBorders>
            <w:shd w:val="clear" w:color="auto" w:fill="auto"/>
          </w:tcPr>
          <w:p w:rsidR="000956ED" w:rsidRPr="00C83DF5" w:rsidRDefault="000956ED" w:rsidP="00DE02E2">
            <w:pPr>
              <w:pStyle w:val="Heading2"/>
              <w:spacing w:beforeLines="20" w:before="48" w:afterLines="20" w:after="48"/>
              <w:ind w:left="0"/>
              <w:rPr>
                <w:rFonts w:ascii="Tahoma" w:hAnsi="Tahoma" w:cs="Tahoma"/>
                <w:b w:val="0"/>
                <w:sz w:val="14"/>
              </w:rPr>
            </w:pPr>
            <w:bookmarkStart w:id="66" w:name="_Toc336337869"/>
            <w:bookmarkStart w:id="67" w:name="_Toc370982994"/>
            <w:r w:rsidRPr="00C83DF5">
              <w:rPr>
                <w:rFonts w:ascii="Tahoma" w:hAnsi="Tahoma" w:cs="Tahoma"/>
                <w:b w:val="0"/>
                <w:sz w:val="14"/>
              </w:rPr>
              <w:t>Office 365 ProPlus (Nutzer-AL)</w:t>
            </w:r>
            <w:bookmarkEnd w:id="66"/>
            <w:bookmarkEnd w:id="67"/>
          </w:p>
        </w:tc>
        <w:tc>
          <w:tcPr>
            <w:tcW w:w="429" w:type="dxa"/>
            <w:tcBorders>
              <w:bottom w:val="single" w:sz="4" w:space="0" w:color="auto"/>
            </w:tcBorders>
            <w:shd w:val="clear" w:color="auto" w:fill="auto"/>
          </w:tcPr>
          <w:p w:rsidR="000956ED" w:rsidRPr="00C83DF5" w:rsidRDefault="005519A5" w:rsidP="00D55AB9">
            <w:pPr>
              <w:pStyle w:val="TableText"/>
              <w:widowControl w:val="0"/>
              <w:spacing w:before="120"/>
              <w:rPr>
                <w:b/>
                <w:color w:val="0000FF"/>
                <w:sz w:val="13"/>
                <w:szCs w:val="13"/>
                <w:u w:val="single"/>
              </w:rPr>
            </w:pPr>
            <w:hyperlink w:anchor="_110_Office_365" w:history="1">
              <w:r w:rsidR="00CF5A3E" w:rsidRPr="00C83DF5">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0956ED" w:rsidRPr="00C83DF5" w:rsidRDefault="000956ED" w:rsidP="00D55AB9">
            <w:pPr>
              <w:pStyle w:val="TableText"/>
              <w:rPr>
                <w:rFonts w:ascii="Tahoma" w:hAnsi="Tahoma" w:cs="Tahoma"/>
                <w:sz w:val="13"/>
              </w:rPr>
            </w:pPr>
            <w:r w:rsidRPr="00C83DF5">
              <w:rPr>
                <w:rFonts w:ascii="Tahoma" w:hAnsi="Tahoma" w:cs="Tahoma"/>
                <w:sz w:val="13"/>
              </w:rPr>
              <w:t>06/11</w:t>
            </w:r>
          </w:p>
        </w:tc>
        <w:tc>
          <w:tcPr>
            <w:tcW w:w="429" w:type="dxa"/>
            <w:tcBorders>
              <w:bottom w:val="single" w:sz="4" w:space="0" w:color="auto"/>
              <w:right w:val="single" w:sz="18" w:space="0" w:color="auto"/>
            </w:tcBorders>
            <w:shd w:val="clear" w:color="auto" w:fill="auto"/>
          </w:tcPr>
          <w:p w:rsidR="000956ED" w:rsidRPr="00C83DF5" w:rsidRDefault="000956ED"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0956ED" w:rsidRPr="00C83DF5"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C83DF5"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C83DF5"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C83DF5"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C83DF5"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C83DF5" w:rsidRDefault="000956ED"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0956ED" w:rsidRPr="00C83DF5" w:rsidRDefault="000956ED"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tcPr>
          <w:p w:rsidR="000956ED" w:rsidRPr="00C83DF5" w:rsidRDefault="000956ED" w:rsidP="00D55AB9">
            <w:pPr>
              <w:pStyle w:val="TableText"/>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auto"/>
          </w:tcPr>
          <w:p w:rsidR="000956ED" w:rsidRPr="00C83DF5" w:rsidRDefault="000956ED"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0956ED" w:rsidRPr="00C83DF5" w:rsidRDefault="000956ED" w:rsidP="00D55AB9">
            <w:pPr>
              <w:pStyle w:val="TableText"/>
              <w:rPr>
                <w:rFonts w:ascii="Tahoma" w:hAnsi="Tahoma" w:cs="Tahoma"/>
                <w:sz w:val="13"/>
              </w:rPr>
            </w:pPr>
            <w:r w:rsidRPr="00C83DF5">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0956ED" w:rsidRPr="00C83DF5" w:rsidRDefault="000956ED"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0956ED" w:rsidRPr="00C83DF5" w:rsidRDefault="000956ED" w:rsidP="00D55AB9">
            <w:pPr>
              <w:pStyle w:val="TableText"/>
              <w:rPr>
                <w:rFonts w:ascii="Tahoma" w:hAnsi="Tahoma" w:cs="Tahoma"/>
                <w:sz w:val="13"/>
              </w:rPr>
            </w:pPr>
          </w:p>
        </w:tc>
        <w:tc>
          <w:tcPr>
            <w:tcW w:w="514" w:type="dxa"/>
            <w:tcBorders>
              <w:bottom w:val="single" w:sz="4" w:space="0" w:color="auto"/>
            </w:tcBorders>
            <w:shd w:val="clear" w:color="auto" w:fill="auto"/>
          </w:tcPr>
          <w:p w:rsidR="000956ED" w:rsidRPr="00C83DF5" w:rsidRDefault="000956ED" w:rsidP="00D55AB9">
            <w:pPr>
              <w:pStyle w:val="TableText"/>
              <w:rPr>
                <w:rFonts w:ascii="Tahoma" w:hAnsi="Tahoma" w:cs="Tahoma"/>
                <w:sz w:val="13"/>
              </w:rPr>
            </w:pPr>
            <w:r w:rsidRPr="00C83DF5">
              <w:rPr>
                <w:rFonts w:ascii="Tahoma" w:hAnsi="Tahoma" w:cs="Tahoma"/>
                <w:sz w:val="13"/>
              </w:rPr>
              <w:t>OL/OV</w:t>
            </w:r>
          </w:p>
        </w:tc>
        <w:tc>
          <w:tcPr>
            <w:tcW w:w="388" w:type="dxa"/>
            <w:tcBorders>
              <w:bottom w:val="single" w:sz="4" w:space="0" w:color="auto"/>
            </w:tcBorders>
          </w:tcPr>
          <w:p w:rsidR="000956ED" w:rsidRPr="00C83DF5" w:rsidRDefault="000956ED" w:rsidP="00D55AB9">
            <w:pPr>
              <w:pStyle w:val="TableText"/>
              <w:rPr>
                <w:rFonts w:ascii="Tahoma" w:hAnsi="Tahoma" w:cs="Tahoma"/>
                <w:sz w:val="13"/>
              </w:rPr>
            </w:pPr>
          </w:p>
        </w:tc>
      </w:tr>
      <w:tr w:rsidR="008A0F85" w:rsidRPr="00C83DF5" w:rsidTr="00D824AF">
        <w:trPr>
          <w:cantSplit/>
          <w:trHeight w:val="305"/>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lang w:val="de-DE"/>
              </w:rPr>
            </w:pPr>
            <w:bookmarkStart w:id="68" w:name="_Toc370982995"/>
            <w:r w:rsidRPr="00C83DF5">
              <w:rPr>
                <w:rFonts w:ascii="Tahoma" w:hAnsi="Tahoma" w:cs="Tahoma"/>
                <w:b w:val="0"/>
                <w:sz w:val="14"/>
                <w:lang w:val="de-DE"/>
              </w:rPr>
              <w:lastRenderedPageBreak/>
              <w:t>Office 365 ProPlus SA-Übergang (Nutzer-AL)</w:t>
            </w:r>
            <w:bookmarkEnd w:id="68"/>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rPr>
                <w:b/>
                <w:color w:val="0000FF"/>
                <w:sz w:val="13"/>
                <w:szCs w:val="13"/>
                <w:u w:val="single"/>
              </w:rPr>
            </w:pPr>
            <w:hyperlink w:anchor="_110_Office_365" w:history="1">
              <w:r w:rsidR="007F0E09" w:rsidRPr="00C83DF5">
                <w:rPr>
                  <w:rStyle w:val="Hyperlink"/>
                  <w:b/>
                  <w:sz w:val="13"/>
                  <w:szCs w:val="13"/>
                </w:rPr>
                <w:t>13</w:t>
              </w:r>
            </w:hyperlink>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r>
      <w:tr w:rsidR="00913A0A" w:rsidRPr="00C83DF5" w:rsidTr="00D824AF">
        <w:trPr>
          <w:cantSplit/>
          <w:trHeight w:val="305"/>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lang w:val="fr-FR"/>
              </w:rPr>
            </w:pPr>
            <w:bookmarkStart w:id="69" w:name="_Toc336337870"/>
            <w:bookmarkStart w:id="70" w:name="_Toc370982996"/>
            <w:r w:rsidRPr="00C83DF5">
              <w:rPr>
                <w:rFonts w:ascii="Tahoma" w:hAnsi="Tahoma" w:cs="Tahoma"/>
                <w:b w:val="0"/>
                <w:sz w:val="14"/>
                <w:lang w:val="fr-FR"/>
              </w:rPr>
              <w:t>Office Professional Plus-Abonnement A (Nutzer-AL)</w:t>
            </w:r>
            <w:bookmarkEnd w:id="69"/>
            <w:bookmarkEnd w:id="70"/>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color w:val="0000FF"/>
                <w:sz w:val="13"/>
                <w:szCs w:val="13"/>
                <w:u w:val="single"/>
                <w:lang w:val="fr-FR"/>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72501E" w:rsidRDefault="00913A0A" w:rsidP="0072501E">
            <w:pPr>
              <w:pStyle w:val="TableText"/>
              <w:rPr>
                <w:rFonts w:ascii="Tahoma" w:hAnsi="Tahoma" w:cs="Tahoma"/>
                <w:sz w:val="13"/>
                <w:lang w:val="de-DE"/>
              </w:rPr>
            </w:pPr>
            <w:r w:rsidRPr="00C83DF5">
              <w:rPr>
                <w:rFonts w:ascii="Tahoma" w:hAnsi="Tahoma" w:cs="Tahoma"/>
                <w:sz w:val="13"/>
                <w:lang w:val="de-DE"/>
              </w:rPr>
              <w:t>E (nur EES), A</w:t>
            </w:r>
            <w:r w:rsidR="0072501E">
              <w:rPr>
                <w:rFonts w:ascii="Tahoma" w:hAnsi="Tahoma" w:cs="Tahoma"/>
                <w:sz w:val="13"/>
                <w:lang w:val="de-DE"/>
              </w:rPr>
              <w:t> </w:t>
            </w:r>
          </w:p>
          <w:p w:rsidR="00913A0A" w:rsidRPr="00C83DF5" w:rsidRDefault="00913A0A" w:rsidP="0072501E">
            <w:pPr>
              <w:pStyle w:val="TableText"/>
              <w:spacing w:after="10"/>
              <w:rPr>
                <w:rFonts w:ascii="Tahoma" w:hAnsi="Tahoma" w:cs="Tahoma"/>
                <w:sz w:val="13"/>
                <w:lang w:val="de-DE"/>
              </w:rPr>
            </w:pPr>
            <w:r w:rsidRPr="00C83DF5">
              <w:rPr>
                <w:rFonts w:ascii="Tahoma" w:hAnsi="Tahoma" w:cs="Tahoma"/>
                <w:sz w:val="13"/>
                <w:lang w:val="de-DE"/>
              </w:rPr>
              <w:t>(OVS-ES)</w:t>
            </w: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OL</w:t>
            </w: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p>
        </w:tc>
      </w:tr>
      <w:tr w:rsidR="008A0F85" w:rsidRPr="00C83DF5" w:rsidTr="00D824AF">
        <w:trPr>
          <w:cantSplit/>
          <w:trHeight w:val="305"/>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71" w:name="_Toc336337873"/>
            <w:bookmarkStart w:id="72" w:name="_Toc370982997"/>
            <w:r w:rsidRPr="00C83DF5">
              <w:rPr>
                <w:rFonts w:ascii="Tahoma" w:hAnsi="Tahoma" w:cs="Tahoma"/>
                <w:b w:val="0"/>
                <w:sz w:val="14"/>
              </w:rPr>
              <w:t>OneNote</w:t>
            </w:r>
            <w:r w:rsidRPr="00DF3F89">
              <w:rPr>
                <w:rFonts w:ascii="Tahoma" w:hAnsi="Tahoma" w:cs="Tahoma"/>
                <w:b w:val="0"/>
                <w:sz w:val="14"/>
                <w:vertAlign w:val="superscript"/>
              </w:rPr>
              <w:t>®</w:t>
            </w:r>
            <w:r w:rsidRPr="00C83DF5">
              <w:rPr>
                <w:rFonts w:ascii="Tahoma" w:hAnsi="Tahoma" w:cs="Tahoma"/>
                <w:b w:val="0"/>
                <w:sz w:val="14"/>
              </w:rPr>
              <w:t xml:space="preserve"> </w:t>
            </w:r>
            <w:bookmarkEnd w:id="71"/>
            <w:r w:rsidRPr="00C83DF5">
              <w:rPr>
                <w:rFonts w:ascii="Tahoma" w:hAnsi="Tahoma" w:cs="Tahoma"/>
                <w:b w:val="0"/>
                <w:sz w:val="14"/>
              </w:rPr>
              <w:t>2013</w:t>
            </w:r>
            <w:bookmarkEnd w:id="72"/>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r>
      <w:tr w:rsidR="00913A0A" w:rsidRPr="00C83DF5" w:rsidTr="00D824AF">
        <w:trPr>
          <w:cantSplit/>
          <w:trHeight w:val="350"/>
        </w:trPr>
        <w:tc>
          <w:tcPr>
            <w:tcW w:w="2371" w:type="dxa"/>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73" w:name="_Toc336337874"/>
            <w:bookmarkStart w:id="74" w:name="_Toc370982998"/>
            <w:r w:rsidRPr="00C83DF5">
              <w:rPr>
                <w:rFonts w:ascii="Tahoma" w:hAnsi="Tahoma" w:cs="Tahoma"/>
                <w:b w:val="0"/>
                <w:sz w:val="14"/>
              </w:rPr>
              <w:t>Outlook</w:t>
            </w:r>
            <w:r w:rsidRPr="00DF3F89">
              <w:rPr>
                <w:rFonts w:ascii="Tahoma" w:hAnsi="Tahoma" w:cs="Tahoma"/>
                <w:b w:val="0"/>
                <w:sz w:val="14"/>
                <w:vertAlign w:val="superscript"/>
              </w:rPr>
              <w:t>®</w:t>
            </w:r>
            <w:r w:rsidRPr="00C83DF5">
              <w:rPr>
                <w:rFonts w:ascii="Tahoma" w:hAnsi="Tahoma" w:cs="Tahoma"/>
                <w:b w:val="0"/>
                <w:sz w:val="14"/>
              </w:rPr>
              <w:t xml:space="preserve"> </w:t>
            </w:r>
            <w:bookmarkEnd w:id="73"/>
            <w:r w:rsidRPr="00C83DF5">
              <w:rPr>
                <w:rFonts w:ascii="Tahoma" w:hAnsi="Tahoma" w:cs="Tahoma"/>
                <w:b w:val="0"/>
                <w:sz w:val="14"/>
              </w:rPr>
              <w:t>2013</w:t>
            </w:r>
            <w:bookmarkEnd w:id="74"/>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p>
        </w:tc>
      </w:tr>
      <w:tr w:rsidR="008A0F85" w:rsidRPr="00C83DF5" w:rsidTr="00D824AF">
        <w:trPr>
          <w:cantSplit/>
          <w:trHeight w:val="305"/>
        </w:trPr>
        <w:tc>
          <w:tcPr>
            <w:tcW w:w="2371" w:type="dxa"/>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6"/>
                <w:szCs w:val="16"/>
              </w:rPr>
            </w:pPr>
            <w:bookmarkStart w:id="75" w:name="_Toc336337875"/>
            <w:bookmarkStart w:id="76" w:name="_Toc370982999"/>
            <w:r w:rsidRPr="00C83DF5">
              <w:rPr>
                <w:rFonts w:ascii="Tahoma" w:hAnsi="Tahoma" w:cs="Tahoma"/>
                <w:b w:val="0"/>
                <w:sz w:val="14"/>
                <w:szCs w:val="16"/>
              </w:rPr>
              <w:t xml:space="preserve">Outlook </w:t>
            </w:r>
            <w:bookmarkEnd w:id="75"/>
            <w:r w:rsidRPr="00C83DF5">
              <w:rPr>
                <w:rFonts w:ascii="Tahoma" w:hAnsi="Tahoma" w:cs="Tahoma"/>
                <w:b w:val="0"/>
                <w:sz w:val="14"/>
                <w:szCs w:val="16"/>
              </w:rPr>
              <w:t>für Mac 2011</w:t>
            </w:r>
            <w:bookmarkEnd w:id="76"/>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rPr>
                <w:rStyle w:val="EndnoteReference"/>
                <w:b w:val="0"/>
                <w:color w:val="0000FF"/>
                <w:sz w:val="13"/>
                <w:szCs w:val="13"/>
                <w:u w:val="single"/>
              </w:rPr>
            </w:pPr>
            <w:hyperlink w:anchor="_121_Outlook_for" w:history="1">
              <w:r w:rsidR="00CF5A3E" w:rsidRPr="00C83DF5">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widowControl w:val="0"/>
              <w:rPr>
                <w:rFonts w:ascii="Tahoma" w:hAnsi="Tahoma" w:cs="Tahoma"/>
                <w:sz w:val="13"/>
              </w:rPr>
            </w:pPr>
          </w:p>
        </w:tc>
      </w:tr>
      <w:tr w:rsidR="00913A0A" w:rsidRPr="00C83DF5" w:rsidTr="00D824AF">
        <w:trPr>
          <w:cantSplit/>
          <w:trHeight w:val="305"/>
        </w:trPr>
        <w:tc>
          <w:tcPr>
            <w:tcW w:w="2371" w:type="dxa"/>
            <w:tcBorders>
              <w:bottom w:val="single" w:sz="4" w:space="0" w:color="auto"/>
            </w:tcBorders>
            <w:shd w:val="clear" w:color="auto" w:fill="auto"/>
            <w:vAlign w:val="center"/>
          </w:tcPr>
          <w:p w:rsidR="00913A0A" w:rsidRPr="00C83DF5" w:rsidRDefault="00913A0A" w:rsidP="00DE02E2">
            <w:pPr>
              <w:pStyle w:val="Heading3"/>
              <w:spacing w:beforeLines="20" w:before="48" w:afterLines="20" w:after="48"/>
              <w:rPr>
                <w:rFonts w:ascii="Tahoma" w:hAnsi="Tahoma" w:cs="Tahoma"/>
                <w:b w:val="0"/>
                <w:sz w:val="14"/>
              </w:rPr>
            </w:pPr>
            <w:bookmarkStart w:id="77" w:name="_Toc370983000"/>
            <w:r w:rsidRPr="00C83DF5">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widowControl w:val="0"/>
              <w:rPr>
                <w:rFonts w:ascii="Tahoma" w:hAnsi="Tahoma" w:cs="Tahoma"/>
                <w:sz w:val="13"/>
              </w:rPr>
            </w:pPr>
          </w:p>
        </w:tc>
        <w:tc>
          <w:tcPr>
            <w:tcW w:w="388" w:type="dxa"/>
            <w:tcBorders>
              <w:bottom w:val="single" w:sz="4" w:space="0" w:color="auto"/>
            </w:tcBorders>
          </w:tcPr>
          <w:p w:rsidR="00913A0A" w:rsidRPr="00C83DF5" w:rsidRDefault="00913A0A" w:rsidP="00D55AB9">
            <w:pPr>
              <w:pStyle w:val="TableText"/>
              <w:widowControl w:val="0"/>
              <w:rPr>
                <w:rFonts w:ascii="Tahoma" w:hAnsi="Tahoma" w:cs="Tahoma"/>
                <w:sz w:val="13"/>
              </w:rPr>
            </w:pPr>
          </w:p>
        </w:tc>
      </w:tr>
      <w:tr w:rsidR="008A0F85" w:rsidRPr="00C83DF5" w:rsidTr="00D824AF">
        <w:trPr>
          <w:cantSplit/>
          <w:trHeight w:val="145"/>
        </w:trPr>
        <w:tc>
          <w:tcPr>
            <w:tcW w:w="2371" w:type="dxa"/>
            <w:tcBorders>
              <w:bottom w:val="single" w:sz="4" w:space="0" w:color="auto"/>
            </w:tcBorders>
            <w:shd w:val="clear" w:color="auto" w:fill="FABF8F"/>
          </w:tcPr>
          <w:p w:rsidR="00913A0A" w:rsidRPr="00C83DF5" w:rsidRDefault="00913A0A" w:rsidP="00DE02E2">
            <w:pPr>
              <w:pStyle w:val="Heading3"/>
              <w:spacing w:beforeLines="20" w:before="48" w:afterLines="20" w:after="48"/>
              <w:rPr>
                <w:rFonts w:ascii="Tahoma" w:hAnsi="Tahoma" w:cs="Tahoma"/>
                <w:b w:val="0"/>
                <w:sz w:val="14"/>
              </w:rPr>
            </w:pPr>
            <w:bookmarkStart w:id="78" w:name="_Toc336337878"/>
            <w:bookmarkStart w:id="79" w:name="_Toc370983001"/>
            <w:r w:rsidRPr="00C83DF5">
              <w:rPr>
                <w:rFonts w:ascii="Tahoma" w:hAnsi="Tahoma" w:cs="Tahoma"/>
                <w:b w:val="0"/>
                <w:sz w:val="14"/>
              </w:rPr>
              <w:t>PowerPoint für Mac 2011</w:t>
            </w:r>
            <w:bookmarkEnd w:id="78"/>
            <w:bookmarkEnd w:id="79"/>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DE02E2">
            <w:pPr>
              <w:pStyle w:val="Heading3"/>
              <w:spacing w:beforeLines="20" w:before="48" w:afterLines="20" w:after="48"/>
              <w:rPr>
                <w:rFonts w:ascii="Tahoma" w:hAnsi="Tahoma" w:cs="Tahoma"/>
                <w:b w:val="0"/>
                <w:sz w:val="14"/>
              </w:rPr>
            </w:pPr>
            <w:bookmarkStart w:id="80" w:name="_Toc336337879"/>
            <w:bookmarkStart w:id="81" w:name="_Toc370983002"/>
            <w:r w:rsidRPr="00C83DF5">
              <w:rPr>
                <w:rFonts w:ascii="Tahoma" w:hAnsi="Tahoma" w:cs="Tahoma"/>
                <w:b w:val="0"/>
                <w:sz w:val="14"/>
              </w:rPr>
              <w:t>Project Standard</w:t>
            </w:r>
            <w:bookmarkEnd w:id="80"/>
            <w:r w:rsidRPr="00C83DF5">
              <w:rPr>
                <w:rFonts w:ascii="Tahoma" w:hAnsi="Tahoma" w:cs="Tahoma"/>
                <w:b w:val="0"/>
                <w:sz w:val="14"/>
              </w:rPr>
              <w:t xml:space="preserve"> 2013</w:t>
            </w:r>
            <w:bookmarkEnd w:id="81"/>
            <w:r w:rsidRPr="00C83DF5">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5</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4</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r w:rsidRPr="00C83DF5">
              <w:rPr>
                <w:rFonts w:ascii="Tahoma" w:hAnsi="Tahoma" w:cs="Tahoma"/>
                <w:sz w:val="13"/>
              </w:rPr>
              <w:t>A</w:t>
            </w:r>
          </w:p>
        </w:tc>
      </w:tr>
      <w:tr w:rsidR="008A0F85" w:rsidRPr="00C83DF5" w:rsidTr="00D824AF">
        <w:trPr>
          <w:cantSplit/>
          <w:trHeight w:val="145"/>
        </w:trPr>
        <w:tc>
          <w:tcPr>
            <w:tcW w:w="2371" w:type="dxa"/>
            <w:tcBorders>
              <w:bottom w:val="single" w:sz="4" w:space="0" w:color="auto"/>
            </w:tcBorders>
            <w:shd w:val="clear" w:color="auto" w:fill="FABF8F"/>
          </w:tcPr>
          <w:p w:rsidR="00913A0A" w:rsidRPr="00C83DF5" w:rsidRDefault="00913A0A" w:rsidP="00DE02E2">
            <w:pPr>
              <w:pStyle w:val="Heading3"/>
              <w:spacing w:beforeLines="20" w:before="48" w:afterLines="20" w:after="48"/>
              <w:rPr>
                <w:rFonts w:ascii="Tahoma" w:hAnsi="Tahoma" w:cs="Tahoma"/>
                <w:b w:val="0"/>
                <w:sz w:val="14"/>
              </w:rPr>
            </w:pPr>
            <w:bookmarkStart w:id="82" w:name="_Toc336337880"/>
            <w:bookmarkStart w:id="83" w:name="_Toc370983003"/>
            <w:r w:rsidRPr="00C83DF5">
              <w:rPr>
                <w:rFonts w:ascii="Tahoma" w:hAnsi="Tahoma" w:cs="Tahoma"/>
                <w:b w:val="0"/>
                <w:sz w:val="14"/>
              </w:rPr>
              <w:t>Project Professional 2013</w:t>
            </w:r>
            <w:bookmarkEnd w:id="82"/>
            <w:bookmarkEnd w:id="83"/>
            <w:r w:rsidRPr="00C83DF5">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rPr>
                <w:rStyle w:val="EndnoteReference"/>
                <w:b w:val="0"/>
                <w:color w:val="0000FF"/>
                <w:sz w:val="13"/>
                <w:szCs w:val="13"/>
                <w:u w:val="single"/>
              </w:rPr>
            </w:pPr>
            <w:hyperlink w:anchor="_132_Project_2013" w:history="1">
              <w:r w:rsidR="00CF5A3E" w:rsidRPr="00C83DF5">
                <w:rPr>
                  <w:rStyle w:val="Hyperlink"/>
                  <w:b/>
                  <w:sz w:val="13"/>
                  <w:szCs w:val="13"/>
                </w:rPr>
                <w:t>15</w:t>
              </w:r>
            </w:hyperlink>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10</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8</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szCs w:val="13"/>
              </w:rPr>
            </w:pPr>
            <w:r w:rsidRPr="00C83DF5">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 AO, ST</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r w:rsidRPr="00C83DF5">
              <w:rPr>
                <w:rFonts w:ascii="Tahoma" w:hAnsi="Tahoma" w:cs="Tahoma"/>
                <w:sz w:val="13"/>
              </w:rPr>
              <w:t>A</w:t>
            </w: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DE02E2">
            <w:pPr>
              <w:pStyle w:val="Heading3"/>
              <w:spacing w:beforeLines="20" w:before="48" w:afterLines="20" w:after="48"/>
              <w:rPr>
                <w:rFonts w:ascii="Tahoma" w:hAnsi="Tahoma" w:cs="Tahoma"/>
                <w:b w:val="0"/>
                <w:sz w:val="14"/>
              </w:rPr>
            </w:pPr>
            <w:bookmarkStart w:id="84" w:name="_Toc370983004"/>
            <w:r w:rsidRPr="00C83DF5">
              <w:rPr>
                <w:rFonts w:ascii="Tahoma" w:hAnsi="Tahoma" w:cs="Tahoma"/>
                <w:b w:val="0"/>
                <w:sz w:val="14"/>
              </w:rPr>
              <w:t>Project Pro für Office 365</w:t>
            </w:r>
            <w:bookmarkEnd w:id="84"/>
            <w:r w:rsidR="00E71F46" w:rsidRPr="00C83DF5">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b/>
                <w:color w:val="0000FF"/>
                <w:sz w:val="13"/>
                <w:szCs w:val="13"/>
                <w:u w:val="single"/>
              </w:rPr>
            </w:pPr>
            <w:hyperlink w:anchor="_143_Project_Pro" w:history="1">
              <w:r w:rsidR="00CF5A3E" w:rsidRPr="00C83DF5">
                <w:rPr>
                  <w:rStyle w:val="Hyperlink"/>
                  <w:b/>
                  <w:sz w:val="13"/>
                  <w:szCs w:val="13"/>
                </w:rPr>
                <w:t>16</w:t>
              </w:r>
            </w:hyperlink>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r w:rsidRPr="00C83DF5">
              <w:rPr>
                <w:rFonts w:ascii="Tahoma" w:hAnsi="Tahoma" w:cs="Tahoma"/>
                <w:sz w:val="13"/>
              </w:rPr>
              <w:t>A</w:t>
            </w:r>
          </w:p>
        </w:tc>
      </w:tr>
      <w:tr w:rsidR="008A0F85" w:rsidRPr="00C83DF5" w:rsidTr="00D824AF">
        <w:trPr>
          <w:cantSplit/>
          <w:trHeight w:val="145"/>
        </w:trPr>
        <w:tc>
          <w:tcPr>
            <w:tcW w:w="2371" w:type="dxa"/>
            <w:tcBorders>
              <w:bottom w:val="single" w:sz="4" w:space="0" w:color="auto"/>
            </w:tcBorders>
            <w:shd w:val="clear" w:color="auto" w:fill="FABF8F"/>
          </w:tcPr>
          <w:p w:rsidR="00913A0A" w:rsidRPr="00C83DF5" w:rsidRDefault="00913A0A" w:rsidP="00DE02E2">
            <w:pPr>
              <w:pStyle w:val="Heading3"/>
              <w:spacing w:beforeLines="20" w:before="48" w:afterLines="20" w:after="48"/>
              <w:rPr>
                <w:rFonts w:ascii="Tahoma" w:hAnsi="Tahoma" w:cs="Tahoma"/>
                <w:b w:val="0"/>
                <w:sz w:val="14"/>
              </w:rPr>
            </w:pPr>
            <w:bookmarkStart w:id="85" w:name="_Toc370983005"/>
            <w:r w:rsidRPr="00C83DF5">
              <w:rPr>
                <w:rFonts w:ascii="Tahoma" w:hAnsi="Tahoma" w:cs="Tahoma"/>
                <w:b w:val="0"/>
                <w:sz w:val="14"/>
              </w:rPr>
              <w:t>Project Pro für Office 365 A</w:t>
            </w:r>
            <w:bookmarkEnd w:id="85"/>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72501E">
            <w:pPr>
              <w:pStyle w:val="TableText"/>
              <w:spacing w:after="10"/>
              <w:rPr>
                <w:rFonts w:ascii="Tahoma" w:hAnsi="Tahoma" w:cs="Tahoma"/>
                <w:sz w:val="13"/>
              </w:rPr>
            </w:pPr>
            <w:r w:rsidRPr="00C83DF5">
              <w:rPr>
                <w:rFonts w:ascii="Tahoma" w:hAnsi="Tahoma" w:cs="Tahoma"/>
                <w:sz w:val="13"/>
              </w:rPr>
              <w:t>A, ST (nur EES)</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r w:rsidRPr="00C83DF5">
              <w:rPr>
                <w:rFonts w:ascii="Tahoma" w:hAnsi="Tahoma" w:cs="Tahoma"/>
                <w:sz w:val="13"/>
              </w:rPr>
              <w:t>A</w:t>
            </w: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DE02E2">
            <w:pPr>
              <w:pStyle w:val="Heading3"/>
              <w:spacing w:beforeLines="20" w:before="48" w:afterLines="20" w:after="48"/>
              <w:rPr>
                <w:rFonts w:ascii="Tahoma" w:hAnsi="Tahoma" w:cs="Tahoma"/>
                <w:b w:val="0"/>
                <w:sz w:val="14"/>
              </w:rPr>
            </w:pPr>
            <w:bookmarkStart w:id="86" w:name="_Toc370983006"/>
            <w:r w:rsidRPr="00C83DF5">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913A0A" w:rsidRPr="00C83DF5" w:rsidDel="00527D48" w:rsidRDefault="00913A0A" w:rsidP="00D55AB9">
            <w:pPr>
              <w:pStyle w:val="TableText"/>
              <w:spacing w:before="60" w:after="6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r w:rsidRPr="00C83DF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p>
        </w:tc>
      </w:tr>
      <w:tr w:rsidR="008A0F85" w:rsidRPr="00C83DF5" w:rsidTr="00D824AF">
        <w:trPr>
          <w:cantSplit/>
          <w:trHeight w:val="145"/>
        </w:trPr>
        <w:tc>
          <w:tcPr>
            <w:tcW w:w="2371" w:type="dxa"/>
            <w:tcBorders>
              <w:bottom w:val="single" w:sz="4" w:space="0" w:color="auto"/>
            </w:tcBorders>
            <w:shd w:val="clear" w:color="auto" w:fill="FABF8F"/>
          </w:tcPr>
          <w:p w:rsidR="00913A0A" w:rsidRPr="00C83DF5" w:rsidRDefault="00913A0A" w:rsidP="0072501E">
            <w:pPr>
              <w:pStyle w:val="Heading3"/>
              <w:spacing w:beforeLines="20" w:before="48" w:afterLines="20" w:after="48"/>
              <w:rPr>
                <w:rFonts w:ascii="Tahoma" w:hAnsi="Tahoma" w:cs="Tahoma"/>
                <w:b w:val="0"/>
                <w:sz w:val="14"/>
              </w:rPr>
            </w:pPr>
            <w:bookmarkStart w:id="88" w:name="_Toc336337882"/>
            <w:bookmarkStart w:id="89" w:name="_Toc370983007"/>
            <w:r w:rsidRPr="00C83DF5">
              <w:rPr>
                <w:rFonts w:ascii="Tahoma" w:hAnsi="Tahoma" w:cs="Tahoma"/>
                <w:b w:val="0"/>
                <w:sz w:val="14"/>
              </w:rPr>
              <w:t>Vermietungsrechte für Office</w:t>
            </w:r>
            <w:bookmarkEnd w:id="88"/>
            <w:r w:rsidR="0072501E">
              <w:rPr>
                <w:rFonts w:ascii="Tahoma" w:hAnsi="Tahoma" w:cs="Tahoma"/>
                <w:b w:val="0"/>
                <w:sz w:val="14"/>
              </w:rPr>
              <w:t> </w:t>
            </w:r>
            <w:r w:rsidRPr="00C83DF5">
              <w:rPr>
                <w:rFonts w:ascii="Tahoma" w:hAnsi="Tahoma" w:cs="Tahoma"/>
                <w:b w:val="0"/>
                <w:sz w:val="14"/>
              </w:rPr>
              <w:t>Standard</w:t>
            </w:r>
            <w:bookmarkEnd w:id="89"/>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rPr>
                <w:rStyle w:val="EndnoteReference"/>
                <w:b w:val="0"/>
                <w:color w:val="0000FF"/>
                <w:sz w:val="13"/>
                <w:szCs w:val="13"/>
                <w:u w:val="single"/>
              </w:rPr>
            </w:pPr>
            <w:hyperlink w:anchor="_145_Rental_Rights" w:history="1">
              <w:r w:rsidR="00CF5A3E" w:rsidRPr="00C83DF5">
                <w:rPr>
                  <w:rStyle w:val="Hyperlink"/>
                  <w:b/>
                  <w:sz w:val="13"/>
                  <w:szCs w:val="13"/>
                </w:rPr>
                <w:t>17</w:t>
              </w:r>
            </w:hyperlink>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72501E">
            <w:pPr>
              <w:pStyle w:val="Heading3"/>
              <w:spacing w:beforeLines="20" w:before="48" w:afterLines="20" w:after="48"/>
              <w:rPr>
                <w:rFonts w:ascii="Tahoma" w:hAnsi="Tahoma" w:cs="Tahoma"/>
                <w:b w:val="0"/>
                <w:sz w:val="14"/>
                <w:lang w:val="de-DE"/>
              </w:rPr>
            </w:pPr>
            <w:bookmarkStart w:id="90" w:name="_Toc370983008"/>
            <w:r w:rsidRPr="00C83DF5">
              <w:rPr>
                <w:rFonts w:ascii="Tahoma" w:hAnsi="Tahoma" w:cs="Tahoma"/>
                <w:b w:val="0"/>
                <w:sz w:val="14"/>
                <w:lang w:val="de-DE"/>
              </w:rPr>
              <w:t>Vermietungsrechte für Office</w:t>
            </w:r>
            <w:r w:rsidR="0072501E">
              <w:rPr>
                <w:rFonts w:ascii="Tahoma" w:hAnsi="Tahoma" w:cs="Tahoma"/>
                <w:b w:val="0"/>
                <w:sz w:val="14"/>
                <w:lang w:val="de-DE"/>
              </w:rPr>
              <w:t> </w:t>
            </w:r>
            <w:r w:rsidRPr="00C83DF5">
              <w:rPr>
                <w:rFonts w:ascii="Tahoma" w:hAnsi="Tahoma" w:cs="Tahoma"/>
                <w:b w:val="0"/>
                <w:sz w:val="14"/>
                <w:lang w:val="de-DE"/>
              </w:rPr>
              <w:t>Professional Plus</w:t>
            </w:r>
            <w:bookmarkEnd w:id="90"/>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rStyle w:val="EndnoteReference"/>
                <w:b w:val="0"/>
                <w:color w:val="0000FF"/>
                <w:sz w:val="13"/>
                <w:szCs w:val="13"/>
                <w:u w:val="single"/>
              </w:rPr>
            </w:pPr>
            <w:hyperlink w:anchor="_145_Rental_Rights" w:history="1">
              <w:r w:rsidR="007F0E09" w:rsidRPr="00C83DF5">
                <w:rPr>
                  <w:rStyle w:val="Hyperlink"/>
                  <w:b/>
                  <w:sz w:val="13"/>
                  <w:szCs w:val="13"/>
                </w:rPr>
                <w:t>17</w:t>
              </w:r>
            </w:hyperlink>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p>
        </w:tc>
      </w:tr>
      <w:tr w:rsidR="008A0F85" w:rsidRPr="00C83DF5" w:rsidTr="00D824AF">
        <w:trPr>
          <w:cantSplit/>
          <w:trHeight w:val="145"/>
        </w:trPr>
        <w:tc>
          <w:tcPr>
            <w:tcW w:w="2371" w:type="dxa"/>
            <w:tcBorders>
              <w:bottom w:val="single" w:sz="4" w:space="0" w:color="auto"/>
            </w:tcBorders>
            <w:shd w:val="clear" w:color="auto" w:fill="FABF8F"/>
          </w:tcPr>
          <w:p w:rsidR="00913A0A" w:rsidRPr="00C83DF5" w:rsidRDefault="00913A0A" w:rsidP="00DE02E2">
            <w:pPr>
              <w:pStyle w:val="Heading3"/>
              <w:spacing w:beforeLines="20" w:before="48" w:afterLines="20" w:after="48"/>
              <w:rPr>
                <w:rFonts w:ascii="Tahoma" w:hAnsi="Tahoma" w:cs="Tahoma"/>
                <w:b w:val="0"/>
                <w:sz w:val="14"/>
              </w:rPr>
            </w:pPr>
            <w:bookmarkStart w:id="91" w:name="_Toc336337884"/>
            <w:bookmarkStart w:id="92" w:name="_Toc370983009"/>
            <w:r w:rsidRPr="00C83DF5">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 ST</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DE02E2">
            <w:pPr>
              <w:pStyle w:val="Heading3"/>
              <w:spacing w:beforeLines="20" w:before="48" w:afterLines="20" w:after="48"/>
              <w:rPr>
                <w:rFonts w:ascii="Tahoma" w:hAnsi="Tahoma" w:cs="Tahoma"/>
                <w:b w:val="0"/>
                <w:sz w:val="14"/>
              </w:rPr>
            </w:pPr>
            <w:bookmarkStart w:id="93" w:name="_Toc336337886"/>
            <w:bookmarkStart w:id="94" w:name="_Toc370983010"/>
            <w:r w:rsidRPr="00C83DF5">
              <w:rPr>
                <w:rFonts w:ascii="Tahoma" w:hAnsi="Tahoma" w:cs="Tahoma"/>
                <w:b w:val="0"/>
                <w:sz w:val="14"/>
              </w:rPr>
              <w:t>Visio</w:t>
            </w:r>
            <w:r w:rsidRPr="00DF3F89">
              <w:rPr>
                <w:rFonts w:ascii="Tahoma" w:hAnsi="Tahoma" w:cs="Tahoma"/>
                <w:b w:val="0"/>
                <w:sz w:val="14"/>
                <w:vertAlign w:val="superscript"/>
              </w:rPr>
              <w:t>®</w:t>
            </w:r>
            <w:r w:rsidRPr="00C83DF5">
              <w:rPr>
                <w:rFonts w:ascii="Tahoma" w:hAnsi="Tahoma" w:cs="Tahoma"/>
                <w:b w:val="0"/>
                <w:sz w:val="14"/>
              </w:rPr>
              <w:t xml:space="preserve"> 2013 Professional</w:t>
            </w:r>
            <w:bookmarkEnd w:id="93"/>
            <w:bookmarkEnd w:id="94"/>
            <w:r w:rsidR="00E71F46" w:rsidRPr="00C83DF5">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rStyle w:val="EndnoteReference"/>
                <w:b w:val="0"/>
                <w:color w:val="0000FF"/>
                <w:sz w:val="13"/>
                <w:szCs w:val="13"/>
                <w:u w:val="single"/>
              </w:rPr>
            </w:pPr>
            <w:hyperlink w:anchor="_15_Visio_Professional" w:history="1">
              <w:r w:rsidR="00CF5A3E" w:rsidRPr="00C83DF5">
                <w:rPr>
                  <w:rStyle w:val="Hyperlink"/>
                  <w:b/>
                  <w:sz w:val="13"/>
                  <w:szCs w:val="13"/>
                </w:rPr>
                <w:t>18</w:t>
              </w:r>
            </w:hyperlink>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5</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4</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p>
        </w:tc>
      </w:tr>
      <w:tr w:rsidR="008A0F85" w:rsidRPr="00C83DF5" w:rsidTr="00D824AF">
        <w:trPr>
          <w:cantSplit/>
          <w:trHeight w:val="145"/>
        </w:trPr>
        <w:tc>
          <w:tcPr>
            <w:tcW w:w="2371" w:type="dxa"/>
            <w:tcBorders>
              <w:bottom w:val="single" w:sz="4" w:space="0" w:color="auto"/>
            </w:tcBorders>
            <w:shd w:val="clear" w:color="auto" w:fill="FABF8F"/>
          </w:tcPr>
          <w:p w:rsidR="00913A0A" w:rsidRPr="00C83DF5" w:rsidRDefault="00913A0A" w:rsidP="00DE02E2">
            <w:pPr>
              <w:pStyle w:val="Heading3"/>
              <w:spacing w:beforeLines="20" w:before="48" w:afterLines="20" w:after="48"/>
              <w:rPr>
                <w:rFonts w:ascii="Tahoma" w:hAnsi="Tahoma" w:cs="Tahoma"/>
                <w:b w:val="0"/>
                <w:sz w:val="14"/>
              </w:rPr>
            </w:pPr>
            <w:bookmarkStart w:id="95" w:name="_Toc336337887"/>
            <w:bookmarkStart w:id="96" w:name="_Toc370983011"/>
            <w:r w:rsidRPr="00C83DF5">
              <w:rPr>
                <w:rFonts w:ascii="Tahoma" w:hAnsi="Tahoma" w:cs="Tahoma"/>
                <w:b w:val="0"/>
                <w:sz w:val="14"/>
              </w:rPr>
              <w:t>Visio</w:t>
            </w:r>
            <w:r w:rsidRPr="00DF3F89">
              <w:rPr>
                <w:rFonts w:ascii="Tahoma" w:hAnsi="Tahoma" w:cs="Tahoma"/>
                <w:b w:val="0"/>
                <w:sz w:val="14"/>
                <w:vertAlign w:val="superscript"/>
              </w:rPr>
              <w:t>®</w:t>
            </w:r>
            <w:r w:rsidRPr="00C83DF5">
              <w:rPr>
                <w:rFonts w:ascii="Tahoma" w:hAnsi="Tahoma" w:cs="Tahoma"/>
                <w:b w:val="0"/>
                <w:sz w:val="14"/>
              </w:rPr>
              <w:t xml:space="preserve"> 2013 Standard</w:t>
            </w:r>
            <w:bookmarkEnd w:id="95"/>
            <w:bookmarkEnd w:id="96"/>
            <w:r w:rsidRPr="00C83DF5">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rPr>
            </w:pPr>
            <w:bookmarkStart w:id="97" w:name="_Toc370983012"/>
            <w:r w:rsidRPr="00C83DF5">
              <w:rPr>
                <w:rFonts w:ascii="Tahoma" w:hAnsi="Tahoma" w:cs="Tahoma"/>
                <w:position w:val="0"/>
                <w:sz w:val="14"/>
              </w:rPr>
              <w:t>Visio Pro für Office 365</w:t>
            </w:r>
            <w:bookmarkEnd w:id="97"/>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rStyle w:val="EndnoteReference"/>
                <w:rFonts w:cs="Tahoma"/>
                <w:b w:val="0"/>
                <w:color w:val="0000FF"/>
                <w:sz w:val="13"/>
                <w:szCs w:val="13"/>
                <w:u w:val="single"/>
              </w:rPr>
            </w:pPr>
            <w:hyperlink w:anchor="_18_Visio_Pro" w:history="1">
              <w:r w:rsidR="00CF5A3E" w:rsidRPr="00C83DF5">
                <w:rPr>
                  <w:rStyle w:val="Hyperlink"/>
                  <w:rFonts w:cs="Tahoma"/>
                  <w:b/>
                  <w:sz w:val="13"/>
                  <w:szCs w:val="13"/>
                </w:rPr>
                <w:t>19</w:t>
              </w:r>
            </w:hyperlink>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p>
        </w:tc>
      </w:tr>
      <w:tr w:rsidR="008A0F85" w:rsidRPr="00C83DF5" w:rsidTr="00D824AF">
        <w:trPr>
          <w:cantSplit/>
          <w:trHeight w:val="145"/>
        </w:trPr>
        <w:tc>
          <w:tcPr>
            <w:tcW w:w="2371" w:type="dxa"/>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it-IT"/>
              </w:rPr>
            </w:pPr>
            <w:bookmarkStart w:id="98" w:name="_Toc370983013"/>
            <w:r w:rsidRPr="00C83DF5">
              <w:rPr>
                <w:rFonts w:ascii="Tahoma" w:hAnsi="Tahoma" w:cs="Tahoma"/>
                <w:position w:val="0"/>
                <w:sz w:val="14"/>
                <w:lang w:val="it-IT"/>
              </w:rPr>
              <w:t>Visio Pro für Office 365 A</w:t>
            </w:r>
            <w:bookmarkEnd w:id="98"/>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790DE9">
            <w:pPr>
              <w:pStyle w:val="TableText"/>
              <w:spacing w:after="10"/>
              <w:rPr>
                <w:rFonts w:ascii="Tahoma" w:hAnsi="Tahoma" w:cs="Tahoma"/>
                <w:sz w:val="13"/>
              </w:rPr>
            </w:pPr>
            <w:r w:rsidRPr="00C83DF5">
              <w:rPr>
                <w:rFonts w:ascii="Tahoma" w:hAnsi="Tahoma" w:cs="Tahoma"/>
                <w:sz w:val="13"/>
              </w:rPr>
              <w:t>A, ST (nur EES)</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rPr>
            </w:pPr>
            <w:bookmarkStart w:id="99" w:name="_Toc336337889"/>
            <w:bookmarkStart w:id="100" w:name="_Toc370983014"/>
            <w:r w:rsidRPr="00C83DF5">
              <w:rPr>
                <w:rFonts w:ascii="Tahoma" w:hAnsi="Tahoma" w:cs="Tahoma"/>
                <w:position w:val="0"/>
                <w:sz w:val="14"/>
              </w:rPr>
              <w:t>Visual Studio</w:t>
            </w:r>
            <w:r w:rsidRPr="00DF3F89">
              <w:rPr>
                <w:rFonts w:ascii="Tahoma" w:hAnsi="Tahoma" w:cs="Tahoma"/>
                <w:position w:val="0"/>
                <w:sz w:val="14"/>
                <w:vertAlign w:val="superscript"/>
              </w:rPr>
              <w:t>®</w:t>
            </w:r>
            <w:r w:rsidRPr="00C83DF5">
              <w:rPr>
                <w:rFonts w:ascii="Tahoma" w:hAnsi="Tahoma" w:cs="Tahoma"/>
                <w:position w:val="0"/>
                <w:sz w:val="14"/>
              </w:rPr>
              <w:t xml:space="preserve"> Professional </w:t>
            </w:r>
            <w:bookmarkEnd w:id="99"/>
            <w:r w:rsidRPr="00C83DF5">
              <w:rPr>
                <w:rFonts w:ascii="Tahoma" w:hAnsi="Tahoma" w:cs="Tahoma"/>
                <w:position w:val="0"/>
                <w:sz w:val="14"/>
              </w:rPr>
              <w:t>2013</w:t>
            </w:r>
            <w:bookmarkEnd w:id="100"/>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b/>
                <w:color w:val="0000FF"/>
                <w:sz w:val="13"/>
                <w:szCs w:val="13"/>
                <w:u w:val="single"/>
              </w:rPr>
            </w:pPr>
            <w:hyperlink w:anchor="_19_Visual_Studio" w:history="1">
              <w:r w:rsidR="00CF5A3E" w:rsidRPr="00C83DF5">
                <w:rPr>
                  <w:rStyle w:val="Hyperlink"/>
                  <w:b/>
                  <w:sz w:val="13"/>
                  <w:szCs w:val="13"/>
                </w:rPr>
                <w:t>20</w:t>
              </w:r>
            </w:hyperlink>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p>
        </w:tc>
      </w:tr>
      <w:tr w:rsidR="008A0F85" w:rsidRPr="00C83DF5" w:rsidTr="00D824AF">
        <w:trPr>
          <w:cantSplit/>
          <w:trHeight w:val="145"/>
        </w:trPr>
        <w:tc>
          <w:tcPr>
            <w:tcW w:w="2371" w:type="dxa"/>
            <w:tcBorders>
              <w:bottom w:val="single" w:sz="4" w:space="0" w:color="auto"/>
            </w:tcBorders>
            <w:shd w:val="clear" w:color="auto" w:fill="FABF8F"/>
          </w:tcPr>
          <w:p w:rsidR="00913A0A" w:rsidRPr="00C83DF5" w:rsidRDefault="00913A0A" w:rsidP="00DE02E2">
            <w:pPr>
              <w:pStyle w:val="ProductNames"/>
              <w:spacing w:beforeLines="20" w:before="48" w:afterLines="20" w:after="48"/>
              <w:rPr>
                <w:rFonts w:ascii="Tahoma" w:hAnsi="Tahoma" w:cs="Tahoma"/>
                <w:position w:val="0"/>
                <w:sz w:val="14"/>
              </w:rPr>
            </w:pPr>
            <w:bookmarkStart w:id="101" w:name="_Toc336337890"/>
            <w:bookmarkStart w:id="102" w:name="_Toc370983015"/>
            <w:r w:rsidRPr="00C83DF5">
              <w:rPr>
                <w:rFonts w:ascii="Tahoma" w:hAnsi="Tahoma" w:cs="Tahoma"/>
                <w:position w:val="0"/>
                <w:sz w:val="14"/>
              </w:rPr>
              <w:t>Visual Studio</w:t>
            </w:r>
            <w:r w:rsidRPr="00DF3F89">
              <w:rPr>
                <w:rFonts w:ascii="Tahoma" w:hAnsi="Tahoma" w:cs="Tahoma"/>
                <w:position w:val="0"/>
                <w:sz w:val="14"/>
                <w:vertAlign w:val="superscript"/>
              </w:rPr>
              <w:t>®</w:t>
            </w:r>
            <w:r w:rsidRPr="00C83DF5">
              <w:rPr>
                <w:rFonts w:ascii="Tahoma" w:hAnsi="Tahoma" w:cs="Tahoma"/>
                <w:position w:val="0"/>
                <w:sz w:val="14"/>
              </w:rPr>
              <w:t xml:space="preserve"> Professional 2013 mit MSDN</w:t>
            </w:r>
            <w:bookmarkEnd w:id="101"/>
            <w:bookmarkEnd w:id="102"/>
            <w:r w:rsidRPr="00C83DF5">
              <w:rPr>
                <w:rFonts w:ascii="Tahoma" w:hAnsi="Tahoma" w:cs="Tahoma"/>
                <w:position w:val="0"/>
                <w:sz w:val="14"/>
              </w:rPr>
              <w:t xml:space="preserve"> </w:t>
            </w:r>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rPr>
                <w:rStyle w:val="EndnoteReference"/>
                <w:b w:val="0"/>
                <w:color w:val="0000FF"/>
                <w:sz w:val="13"/>
                <w:szCs w:val="13"/>
                <w:u w:val="single"/>
              </w:rPr>
            </w:pPr>
            <w:hyperlink w:anchor="_20_Visual_Studio" w:history="1">
              <w:r w:rsidR="00CF5A3E" w:rsidRPr="00C83DF5">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514" w:type="dxa"/>
            <w:tcBorders>
              <w:bottom w:val="single" w:sz="4" w:space="0" w:color="auto"/>
            </w:tcBorders>
            <w:shd w:val="clear" w:color="auto" w:fill="FABF8F"/>
            <w:vAlign w:val="center"/>
          </w:tcPr>
          <w:p w:rsidR="00913A0A" w:rsidRPr="00C83DF5" w:rsidRDefault="00913A0A" w:rsidP="00D55AB9">
            <w:pPr>
              <w:pStyle w:val="TableText"/>
            </w:pPr>
            <w:r w:rsidRPr="00C83DF5">
              <w:rPr>
                <w:rFonts w:ascii="Tahoma" w:hAnsi="Tahoma" w:cs="Tahoma"/>
                <w:sz w:val="13"/>
              </w:rPr>
              <w:t>OL/SA/</w:t>
            </w:r>
          </w:p>
          <w:p w:rsidR="00913A0A" w:rsidRPr="00C83DF5" w:rsidRDefault="00913A0A" w:rsidP="00D55AB9">
            <w:pPr>
              <w:pStyle w:val="TableText"/>
              <w:rPr>
                <w:rFonts w:ascii="Tahoma" w:hAnsi="Tahoma" w:cs="Tahoma"/>
                <w:sz w:val="13"/>
              </w:rPr>
            </w:pPr>
            <w:r w:rsidRPr="00C83DF5">
              <w:rPr>
                <w:rFonts w:ascii="Tahoma" w:hAnsi="Tahoma" w:cs="Tahoma"/>
                <w:sz w:val="13"/>
              </w:rPr>
              <w:t>OV</w:t>
            </w: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r w:rsidRPr="00C83DF5">
              <w:rPr>
                <w:rFonts w:ascii="Tahoma" w:hAnsi="Tahoma" w:cs="Tahoma"/>
                <w:sz w:val="13"/>
              </w:rPr>
              <w:t>A</w:t>
            </w: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FA2F75">
            <w:pPr>
              <w:pStyle w:val="Heading2"/>
              <w:spacing w:beforeLines="20" w:before="48" w:afterLines="20" w:after="48"/>
              <w:ind w:left="0"/>
              <w:rPr>
                <w:rFonts w:ascii="Tahoma" w:hAnsi="Tahoma" w:cs="Tahoma"/>
                <w:b w:val="0"/>
                <w:sz w:val="14"/>
              </w:rPr>
            </w:pPr>
            <w:bookmarkStart w:id="103" w:name="_Toc336337891"/>
            <w:bookmarkStart w:id="104" w:name="_Toc370983016"/>
            <w:r w:rsidRPr="00C83DF5">
              <w:rPr>
                <w:rFonts w:ascii="Tahoma" w:hAnsi="Tahoma" w:cs="Tahoma"/>
                <w:b w:val="0"/>
                <w:sz w:val="14"/>
              </w:rPr>
              <w:t>Visual Studio</w:t>
            </w:r>
            <w:r w:rsidRPr="00DF3F89">
              <w:rPr>
                <w:rFonts w:ascii="Tahoma" w:hAnsi="Tahoma" w:cs="Tahoma"/>
                <w:sz w:val="14"/>
                <w:vertAlign w:val="superscript"/>
              </w:rPr>
              <w:t>®</w:t>
            </w:r>
            <w:r w:rsidRPr="00C83DF5">
              <w:rPr>
                <w:rFonts w:ascii="Tahoma" w:hAnsi="Tahoma" w:cs="Tahoma"/>
                <w:b w:val="0"/>
                <w:sz w:val="14"/>
              </w:rPr>
              <w:t xml:space="preserve"> Premium 2013 mit</w:t>
            </w:r>
            <w:r w:rsidR="00FA2F75">
              <w:rPr>
                <w:rFonts w:ascii="Tahoma" w:hAnsi="Tahoma" w:cs="Tahoma"/>
                <w:b w:val="0"/>
                <w:sz w:val="14"/>
              </w:rPr>
              <w:t> </w:t>
            </w:r>
            <w:r w:rsidRPr="00C83DF5">
              <w:rPr>
                <w:rFonts w:ascii="Tahoma" w:hAnsi="Tahoma" w:cs="Tahoma"/>
                <w:b w:val="0"/>
                <w:sz w:val="14"/>
              </w:rPr>
              <w:t>MSDN</w:t>
            </w:r>
            <w:bookmarkEnd w:id="103"/>
            <w:bookmarkEnd w:id="104"/>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b/>
                <w:sz w:val="13"/>
                <w:szCs w:val="13"/>
                <w:u w:val="single"/>
              </w:rPr>
            </w:pPr>
            <w:hyperlink w:anchor="_21_Visual_Studio" w:history="1">
              <w:r w:rsidR="00CF5A3E" w:rsidRPr="00C83DF5">
                <w:rPr>
                  <w:rStyle w:val="Hyperlink"/>
                  <w:b/>
                  <w:sz w:val="13"/>
                  <w:szCs w:val="13"/>
                </w:rPr>
                <w:t>22</w:t>
              </w:r>
            </w:hyperlink>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40</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32</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24</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24</w:t>
            </w: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514" w:type="dxa"/>
            <w:tcBorders>
              <w:bottom w:val="single" w:sz="4" w:space="0" w:color="auto"/>
            </w:tcBorders>
            <w:shd w:val="clear" w:color="auto" w:fill="auto"/>
            <w:vAlign w:val="center"/>
          </w:tcPr>
          <w:p w:rsidR="00913A0A" w:rsidRPr="00C83DF5" w:rsidRDefault="00913A0A" w:rsidP="00D55AB9">
            <w:pPr>
              <w:pStyle w:val="TableText"/>
            </w:pPr>
            <w:r w:rsidRPr="00C83DF5">
              <w:rPr>
                <w:rFonts w:ascii="Tahoma" w:hAnsi="Tahoma" w:cs="Tahoma"/>
                <w:sz w:val="13"/>
              </w:rPr>
              <w:t>OL/SA/</w:t>
            </w:r>
          </w:p>
          <w:p w:rsidR="00913A0A" w:rsidRPr="00C83DF5" w:rsidRDefault="00913A0A" w:rsidP="00D55AB9">
            <w:pPr>
              <w:pStyle w:val="TableText"/>
              <w:rPr>
                <w:rFonts w:ascii="Tahoma" w:hAnsi="Tahoma" w:cs="Tahoma"/>
                <w:sz w:val="13"/>
              </w:rPr>
            </w:pPr>
            <w:r w:rsidRPr="00C83DF5">
              <w:rPr>
                <w:rFonts w:ascii="Tahoma" w:hAnsi="Tahoma" w:cs="Tahoma"/>
                <w:sz w:val="13"/>
              </w:rPr>
              <w:t>OV</w:t>
            </w: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r w:rsidRPr="00C83DF5">
              <w:rPr>
                <w:rFonts w:ascii="Tahoma" w:hAnsi="Tahoma" w:cs="Tahoma"/>
                <w:sz w:val="13"/>
              </w:rPr>
              <w:t>STP</w:t>
            </w:r>
          </w:p>
        </w:tc>
      </w:tr>
      <w:tr w:rsidR="008A0F85" w:rsidRPr="00C83DF5" w:rsidTr="00D824AF">
        <w:trPr>
          <w:cantSplit/>
          <w:trHeight w:val="145"/>
        </w:trPr>
        <w:tc>
          <w:tcPr>
            <w:tcW w:w="2371" w:type="dxa"/>
            <w:tcBorders>
              <w:bottom w:val="single" w:sz="4" w:space="0" w:color="auto"/>
            </w:tcBorders>
            <w:shd w:val="clear" w:color="auto" w:fill="FABF8F"/>
          </w:tcPr>
          <w:p w:rsidR="00913A0A" w:rsidRPr="00C83DF5" w:rsidRDefault="00913A0A" w:rsidP="00FA2F75">
            <w:pPr>
              <w:pStyle w:val="Heading2"/>
              <w:spacing w:beforeLines="20" w:before="48" w:afterLines="20" w:after="48"/>
              <w:ind w:left="0"/>
              <w:rPr>
                <w:rFonts w:ascii="Tahoma" w:hAnsi="Tahoma" w:cs="Tahoma"/>
                <w:b w:val="0"/>
                <w:sz w:val="14"/>
              </w:rPr>
            </w:pPr>
            <w:bookmarkStart w:id="105" w:name="_Toc336337892"/>
            <w:bookmarkStart w:id="106" w:name="_Toc370983017"/>
            <w:r w:rsidRPr="00C83DF5">
              <w:rPr>
                <w:rFonts w:ascii="Tahoma" w:hAnsi="Tahoma" w:cs="Tahoma"/>
                <w:b w:val="0"/>
                <w:sz w:val="14"/>
              </w:rPr>
              <w:t>Visual Studio</w:t>
            </w:r>
            <w:r w:rsidRPr="00DF3F89">
              <w:rPr>
                <w:rFonts w:ascii="Tahoma" w:hAnsi="Tahoma" w:cs="Tahoma"/>
                <w:sz w:val="14"/>
                <w:vertAlign w:val="superscript"/>
              </w:rPr>
              <w:t>®</w:t>
            </w:r>
            <w:r w:rsidRPr="00C83DF5">
              <w:rPr>
                <w:rFonts w:ascii="Tahoma" w:hAnsi="Tahoma" w:cs="Tahoma"/>
                <w:b w:val="0"/>
                <w:sz w:val="14"/>
              </w:rPr>
              <w:t xml:space="preserve"> Ultimate 2013 mit</w:t>
            </w:r>
            <w:r w:rsidR="00FA2F75">
              <w:rPr>
                <w:rFonts w:ascii="Tahoma" w:hAnsi="Tahoma" w:cs="Tahoma"/>
                <w:b w:val="0"/>
                <w:sz w:val="14"/>
              </w:rPr>
              <w:t> </w:t>
            </w:r>
            <w:r w:rsidRPr="00C83DF5">
              <w:rPr>
                <w:rFonts w:ascii="Tahoma" w:hAnsi="Tahoma" w:cs="Tahoma"/>
                <w:b w:val="0"/>
                <w:sz w:val="14"/>
              </w:rPr>
              <w:t>MSDN</w:t>
            </w:r>
            <w:bookmarkEnd w:id="105"/>
            <w:bookmarkEnd w:id="106"/>
          </w:p>
        </w:tc>
        <w:tc>
          <w:tcPr>
            <w:tcW w:w="429" w:type="dxa"/>
            <w:tcBorders>
              <w:bottom w:val="single" w:sz="4" w:space="0" w:color="auto"/>
            </w:tcBorders>
            <w:shd w:val="clear" w:color="auto" w:fill="FABF8F"/>
            <w:vAlign w:val="center"/>
          </w:tcPr>
          <w:p w:rsidR="00913A0A" w:rsidRPr="00C83DF5" w:rsidRDefault="005519A5" w:rsidP="00D55AB9">
            <w:pPr>
              <w:pStyle w:val="TableText"/>
              <w:widowControl w:val="0"/>
              <w:rPr>
                <w:b/>
                <w:sz w:val="13"/>
                <w:szCs w:val="13"/>
                <w:u w:val="single"/>
              </w:rPr>
            </w:pPr>
            <w:hyperlink w:anchor="_22_Visual_Studio" w:history="1">
              <w:r w:rsidR="00CF5A3E" w:rsidRPr="00C83DF5">
                <w:rPr>
                  <w:rStyle w:val="Hyperlink"/>
                  <w:b/>
                  <w:sz w:val="13"/>
                  <w:szCs w:val="13"/>
                </w:rPr>
                <w:t>23</w:t>
              </w:r>
            </w:hyperlink>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85</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68</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51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51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514" w:type="dxa"/>
            <w:tcBorders>
              <w:bottom w:val="single" w:sz="4" w:space="0" w:color="auto"/>
            </w:tcBorders>
            <w:shd w:val="clear" w:color="auto" w:fill="FABF8F"/>
            <w:vAlign w:val="center"/>
          </w:tcPr>
          <w:p w:rsidR="00913A0A" w:rsidRPr="00C83DF5" w:rsidRDefault="00913A0A" w:rsidP="00D55AB9">
            <w:pPr>
              <w:pStyle w:val="TableText"/>
            </w:pPr>
            <w:r w:rsidRPr="00C83DF5">
              <w:rPr>
                <w:rFonts w:ascii="Tahoma" w:hAnsi="Tahoma" w:cs="Tahoma"/>
                <w:sz w:val="13"/>
              </w:rPr>
              <w:t>OL/SA/</w:t>
            </w:r>
          </w:p>
          <w:p w:rsidR="00913A0A" w:rsidRPr="00C83DF5" w:rsidRDefault="00913A0A" w:rsidP="00D55AB9">
            <w:pPr>
              <w:pStyle w:val="TableText"/>
              <w:rPr>
                <w:rFonts w:ascii="Tahoma" w:hAnsi="Tahoma" w:cs="Tahoma"/>
                <w:sz w:val="13"/>
              </w:rPr>
            </w:pPr>
            <w:r w:rsidRPr="00C83DF5">
              <w:rPr>
                <w:rFonts w:ascii="Tahoma" w:hAnsi="Tahoma" w:cs="Tahoma"/>
                <w:sz w:val="13"/>
              </w:rPr>
              <w:t>OV</w:t>
            </w: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r w:rsidRPr="00C83DF5">
              <w:rPr>
                <w:rFonts w:ascii="Tahoma" w:hAnsi="Tahoma" w:cs="Tahoma"/>
                <w:sz w:val="13"/>
              </w:rPr>
              <w:t>STP</w:t>
            </w:r>
          </w:p>
        </w:tc>
      </w:tr>
      <w:tr w:rsidR="00913A0A" w:rsidRPr="00C83DF5" w:rsidTr="00D824AF">
        <w:trPr>
          <w:cantSplit/>
          <w:trHeight w:val="145"/>
        </w:trPr>
        <w:tc>
          <w:tcPr>
            <w:tcW w:w="2371" w:type="dxa"/>
            <w:tcBorders>
              <w:bottom w:val="single" w:sz="4" w:space="0" w:color="auto"/>
            </w:tcBorders>
            <w:shd w:val="clear" w:color="auto" w:fill="auto"/>
          </w:tcPr>
          <w:p w:rsidR="00913A0A" w:rsidRPr="00C83DF5" w:rsidRDefault="00913A0A" w:rsidP="00FA2F75">
            <w:pPr>
              <w:pStyle w:val="Heading2"/>
              <w:spacing w:beforeLines="20" w:before="48" w:afterLines="20" w:after="48"/>
              <w:ind w:left="0"/>
              <w:rPr>
                <w:rFonts w:ascii="Tahoma" w:hAnsi="Tahoma" w:cs="Tahoma"/>
                <w:b w:val="0"/>
                <w:sz w:val="14"/>
              </w:rPr>
            </w:pPr>
            <w:bookmarkStart w:id="107" w:name="_Toc336337893"/>
            <w:bookmarkStart w:id="108" w:name="_Toc370983018"/>
            <w:r w:rsidRPr="00C83DF5">
              <w:rPr>
                <w:rFonts w:ascii="Tahoma" w:hAnsi="Tahoma" w:cs="Tahoma"/>
                <w:b w:val="0"/>
                <w:sz w:val="14"/>
              </w:rPr>
              <w:t>Visual Studio</w:t>
            </w:r>
            <w:r w:rsidRPr="00DF3F89">
              <w:rPr>
                <w:rFonts w:ascii="Tahoma" w:hAnsi="Tahoma" w:cs="Tahoma"/>
                <w:sz w:val="14"/>
                <w:vertAlign w:val="superscript"/>
              </w:rPr>
              <w:t>®</w:t>
            </w:r>
            <w:r w:rsidRPr="00C83DF5">
              <w:rPr>
                <w:rFonts w:ascii="Tahoma" w:hAnsi="Tahoma" w:cs="Tahoma"/>
                <w:b w:val="0"/>
                <w:sz w:val="14"/>
              </w:rPr>
              <w:t xml:space="preserve"> Test Professional</w:t>
            </w:r>
            <w:r w:rsidR="00FA2F75">
              <w:rPr>
                <w:rFonts w:ascii="Tahoma" w:hAnsi="Tahoma" w:cs="Tahoma"/>
                <w:b w:val="0"/>
                <w:sz w:val="14"/>
              </w:rPr>
              <w:t> </w:t>
            </w:r>
            <w:r w:rsidRPr="00C83DF5">
              <w:rPr>
                <w:rFonts w:ascii="Tahoma" w:hAnsi="Tahoma" w:cs="Tahoma"/>
                <w:b w:val="0"/>
                <w:sz w:val="14"/>
              </w:rPr>
              <w:t>2013 mit MSDN</w:t>
            </w:r>
            <w:bookmarkEnd w:id="107"/>
            <w:bookmarkEnd w:id="108"/>
          </w:p>
        </w:tc>
        <w:tc>
          <w:tcPr>
            <w:tcW w:w="429" w:type="dxa"/>
            <w:tcBorders>
              <w:bottom w:val="single" w:sz="4" w:space="0" w:color="auto"/>
            </w:tcBorders>
            <w:shd w:val="clear" w:color="auto" w:fill="auto"/>
            <w:vAlign w:val="center"/>
          </w:tcPr>
          <w:p w:rsidR="00913A0A" w:rsidRPr="00C83DF5" w:rsidRDefault="005519A5" w:rsidP="00D55AB9">
            <w:pPr>
              <w:pStyle w:val="TableText"/>
              <w:widowControl w:val="0"/>
              <w:rPr>
                <w:b/>
                <w:sz w:val="13"/>
                <w:szCs w:val="13"/>
                <w:u w:val="single"/>
              </w:rPr>
            </w:pPr>
            <w:hyperlink w:anchor="_23_Visual_Studio" w:history="1">
              <w:r w:rsidR="00CF5A3E" w:rsidRPr="00C83DF5">
                <w:rPr>
                  <w:rStyle w:val="Hyperlink"/>
                  <w:b/>
                  <w:sz w:val="13"/>
                  <w:szCs w:val="13"/>
                </w:rPr>
                <w:t>24</w:t>
              </w:r>
            </w:hyperlink>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15</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9</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9</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A</w:t>
            </w:r>
          </w:p>
        </w:tc>
        <w:tc>
          <w:tcPr>
            <w:tcW w:w="514" w:type="dxa"/>
            <w:tcBorders>
              <w:bottom w:val="single" w:sz="4" w:space="0" w:color="auto"/>
            </w:tcBorders>
            <w:shd w:val="clear" w:color="auto" w:fill="auto"/>
            <w:vAlign w:val="center"/>
          </w:tcPr>
          <w:p w:rsidR="00913A0A" w:rsidRPr="00C83DF5" w:rsidRDefault="00913A0A" w:rsidP="00D55AB9">
            <w:pPr>
              <w:pStyle w:val="TableText"/>
            </w:pPr>
            <w:r w:rsidRPr="00C83DF5">
              <w:rPr>
                <w:rFonts w:ascii="Tahoma" w:hAnsi="Tahoma" w:cs="Tahoma"/>
                <w:sz w:val="13"/>
              </w:rPr>
              <w:t>OL/SA/</w:t>
            </w:r>
          </w:p>
          <w:p w:rsidR="00913A0A" w:rsidRPr="00C83DF5" w:rsidRDefault="00913A0A" w:rsidP="00D55AB9">
            <w:pPr>
              <w:pStyle w:val="TableText"/>
              <w:rPr>
                <w:rFonts w:ascii="Tahoma" w:hAnsi="Tahoma" w:cs="Tahoma"/>
                <w:sz w:val="13"/>
              </w:rPr>
            </w:pPr>
            <w:r w:rsidRPr="00C83DF5">
              <w:rPr>
                <w:rFonts w:ascii="Tahoma" w:hAnsi="Tahoma" w:cs="Tahoma"/>
                <w:sz w:val="13"/>
              </w:rPr>
              <w:t>OV</w:t>
            </w: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r w:rsidRPr="00C83DF5">
              <w:rPr>
                <w:rFonts w:ascii="Tahoma" w:hAnsi="Tahoma" w:cs="Tahoma"/>
                <w:sz w:val="13"/>
              </w:rPr>
              <w:t>STP</w:t>
            </w:r>
          </w:p>
        </w:tc>
      </w:tr>
      <w:tr w:rsidR="008A0F85" w:rsidRPr="00C83DF5" w:rsidTr="00D824AF">
        <w:trPr>
          <w:cantSplit/>
          <w:trHeight w:val="70"/>
        </w:trPr>
        <w:tc>
          <w:tcPr>
            <w:tcW w:w="2371" w:type="dxa"/>
            <w:tcBorders>
              <w:bottom w:val="single" w:sz="4" w:space="0" w:color="auto"/>
            </w:tcBorders>
            <w:shd w:val="clear" w:color="auto" w:fill="FABF8F"/>
          </w:tcPr>
          <w:p w:rsidR="00913A0A" w:rsidRPr="00C83DF5" w:rsidRDefault="00913A0A" w:rsidP="00DE02E2">
            <w:pPr>
              <w:pStyle w:val="Heading2"/>
              <w:spacing w:beforeLines="20" w:before="48" w:afterLines="20" w:after="48"/>
              <w:ind w:left="0"/>
              <w:rPr>
                <w:rFonts w:ascii="Tahoma" w:hAnsi="Tahoma" w:cs="Tahoma"/>
                <w:b w:val="0"/>
                <w:sz w:val="14"/>
              </w:rPr>
            </w:pPr>
            <w:bookmarkStart w:id="109" w:name="_Toc336337894"/>
            <w:bookmarkStart w:id="110" w:name="_Toc370983019"/>
            <w:r w:rsidRPr="00C83DF5">
              <w:rPr>
                <w:rFonts w:ascii="Tahoma" w:hAnsi="Tahoma" w:cs="Tahoma"/>
                <w:b w:val="0"/>
                <w:sz w:val="14"/>
              </w:rPr>
              <w:t xml:space="preserve">Word </w:t>
            </w:r>
            <w:bookmarkEnd w:id="109"/>
            <w:r w:rsidRPr="00C83DF5">
              <w:rPr>
                <w:rFonts w:ascii="Tahoma" w:hAnsi="Tahoma" w:cs="Tahoma"/>
                <w:b w:val="0"/>
                <w:sz w:val="14"/>
              </w:rPr>
              <w:t>2013</w:t>
            </w:r>
            <w:bookmarkEnd w:id="110"/>
          </w:p>
        </w:tc>
        <w:tc>
          <w:tcPr>
            <w:tcW w:w="429" w:type="dxa"/>
            <w:tcBorders>
              <w:bottom w:val="single" w:sz="4" w:space="0" w:color="auto"/>
            </w:tcBorders>
            <w:shd w:val="clear" w:color="auto" w:fill="FABF8F"/>
            <w:vAlign w:val="center"/>
          </w:tcPr>
          <w:p w:rsidR="00913A0A" w:rsidRPr="00C83DF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C83DF5" w:rsidRDefault="00913A0A" w:rsidP="00D55AB9">
            <w:pPr>
              <w:pStyle w:val="TableText"/>
              <w:rPr>
                <w:rFonts w:ascii="Tahoma" w:hAnsi="Tahoma" w:cs="Tahoma"/>
                <w:sz w:val="13"/>
              </w:rPr>
            </w:pPr>
          </w:p>
        </w:tc>
      </w:tr>
      <w:tr w:rsidR="00913A0A" w:rsidRPr="00C83DF5" w:rsidTr="00D824AF">
        <w:trPr>
          <w:cantSplit/>
          <w:trHeight w:val="323"/>
        </w:trPr>
        <w:tc>
          <w:tcPr>
            <w:tcW w:w="2371" w:type="dxa"/>
            <w:tcBorders>
              <w:bottom w:val="single" w:sz="4" w:space="0" w:color="auto"/>
            </w:tcBorders>
            <w:shd w:val="clear" w:color="auto" w:fill="auto"/>
          </w:tcPr>
          <w:p w:rsidR="00913A0A" w:rsidRPr="00C83DF5" w:rsidRDefault="00913A0A" w:rsidP="00DE02E2">
            <w:pPr>
              <w:pStyle w:val="Heading2"/>
              <w:spacing w:beforeLines="20" w:before="48" w:afterLines="20" w:after="48"/>
              <w:ind w:left="0"/>
              <w:rPr>
                <w:rFonts w:ascii="Tahoma" w:hAnsi="Tahoma" w:cs="Tahoma"/>
                <w:b w:val="0"/>
                <w:sz w:val="14"/>
              </w:rPr>
            </w:pPr>
            <w:bookmarkStart w:id="111" w:name="_Toc336337895"/>
            <w:bookmarkStart w:id="112" w:name="_Toc370983020"/>
            <w:r w:rsidRPr="00C83DF5">
              <w:rPr>
                <w:rFonts w:ascii="Tahoma" w:hAnsi="Tahoma" w:cs="Tahoma"/>
                <w:b w:val="0"/>
                <w:sz w:val="14"/>
              </w:rPr>
              <w:t>Word für Mac 2011</w:t>
            </w:r>
            <w:bookmarkEnd w:id="111"/>
            <w:bookmarkEnd w:id="112"/>
          </w:p>
        </w:tc>
        <w:tc>
          <w:tcPr>
            <w:tcW w:w="429" w:type="dxa"/>
            <w:tcBorders>
              <w:bottom w:val="single" w:sz="4" w:space="0" w:color="auto"/>
            </w:tcBorders>
            <w:shd w:val="clear" w:color="auto" w:fill="auto"/>
            <w:vAlign w:val="center"/>
          </w:tcPr>
          <w:p w:rsidR="00913A0A" w:rsidRPr="00C83DF5"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rsidR="00913A0A" w:rsidRPr="00C83DF5" w:rsidRDefault="00913A0A" w:rsidP="00D55AB9">
            <w:pPr>
              <w:pStyle w:val="TableText"/>
              <w:spacing w:before="60" w:after="60"/>
              <w:rPr>
                <w:rFonts w:ascii="Tahoma" w:hAnsi="Tahoma" w:cs="Tahoma"/>
                <w:sz w:val="13"/>
              </w:rPr>
            </w:pPr>
            <w:r w:rsidRPr="00C83DF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spacing w:after="120"/>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3</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55AB9">
            <w:pPr>
              <w:pStyle w:val="TableText"/>
              <w:rPr>
                <w:rFonts w:ascii="Tahoma" w:hAnsi="Tahoma" w:cs="Tahoma"/>
                <w:sz w:val="13"/>
              </w:rPr>
            </w:pPr>
            <w:r w:rsidRPr="00C83DF5">
              <w:rPr>
                <w:rFonts w:ascii="Tahoma" w:hAnsi="Tahoma" w:cs="Tahoma"/>
                <w:sz w:val="13"/>
              </w:rPr>
              <w:t>P</w:t>
            </w: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C83DF5" w:rsidRDefault="00913A0A" w:rsidP="00D55AB9">
            <w:pPr>
              <w:pStyle w:val="TableText"/>
              <w:rPr>
                <w:rFonts w:ascii="Tahoma" w:hAnsi="Tahoma" w:cs="Tahoma"/>
                <w:sz w:val="13"/>
              </w:rPr>
            </w:pPr>
          </w:p>
        </w:tc>
        <w:tc>
          <w:tcPr>
            <w:tcW w:w="388" w:type="dxa"/>
            <w:tcBorders>
              <w:bottom w:val="single" w:sz="4" w:space="0" w:color="auto"/>
            </w:tcBorders>
          </w:tcPr>
          <w:p w:rsidR="00913A0A" w:rsidRPr="00C83DF5" w:rsidRDefault="00913A0A" w:rsidP="00D55AB9">
            <w:pPr>
              <w:pStyle w:val="TableText"/>
              <w:rPr>
                <w:rFonts w:ascii="Tahoma" w:hAnsi="Tahoma" w:cs="Tahoma"/>
                <w:sz w:val="13"/>
              </w:rPr>
            </w:pPr>
          </w:p>
        </w:tc>
      </w:tr>
    </w:tbl>
    <w:p w:rsidR="00023FE7" w:rsidRPr="00C83DF5" w:rsidRDefault="00B525B3">
      <w:pPr>
        <w:pStyle w:val="Bodywithspace"/>
        <w:ind w:left="0"/>
      </w:pPr>
      <w:r>
        <w:rPr>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B91" w:rsidRPr="00E71F46" w:rsidRDefault="00973B91">
                            <w:pPr>
                              <w:rPr>
                                <w:rFonts w:cs="Tahoma"/>
                                <w:i/>
                                <w:color w:val="000000"/>
                                <w:sz w:val="14"/>
                                <w:szCs w:val="14"/>
                                <w:lang w:val="de-DE"/>
                              </w:rPr>
                            </w:pPr>
                            <w:r w:rsidRPr="00E71F46">
                              <w:rPr>
                                <w:rFonts w:cs="Tahoma"/>
                                <w:i/>
                                <w:color w:val="000000"/>
                                <w:sz w:val="14"/>
                                <w:szCs w:val="14"/>
                                <w:lang w:val="de-DE"/>
                              </w:rPr>
                              <w:t>Anmerkung: Wenn die Zelle für das Produkt leer ist, wird das Produkt derzeit nicht im Rahmen des Programms angeboten.</w:t>
                            </w:r>
                          </w:p>
                          <w:p w:rsidR="00973B91" w:rsidRPr="00E71F46" w:rsidRDefault="00973B91">
                            <w:pPr>
                              <w:rPr>
                                <w:rFonts w:cs="Tahoma"/>
                                <w:i/>
                                <w:color w:val="000000"/>
                                <w:sz w:val="14"/>
                                <w:szCs w:val="14"/>
                                <w:lang w:val="de-DE"/>
                              </w:rPr>
                            </w:pPr>
                            <w:r w:rsidRPr="00E71F46">
                              <w:rPr>
                                <w:rFonts w:cs="Tahoma"/>
                                <w:i/>
                                <w:color w:val="000000"/>
                                <w:sz w:val="14"/>
                                <w:szCs w:val="14"/>
                                <w:lang w:val="de-DE"/>
                              </w:rPr>
                              <w:t>*Bei Select Plus werden nur die Werte „L“ und die Dreijahreswerte für „L&amp;SA“/„SA“ verwendet.</w:t>
                            </w:r>
                          </w:p>
                          <w:p w:rsidR="00973B91" w:rsidRPr="00E71F46" w:rsidRDefault="00973B91">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rsidR="00973B91" w:rsidRPr="00E71F46" w:rsidRDefault="00973B91">
                      <w:pPr>
                        <w:rPr>
                          <w:rFonts w:cs="Tahoma"/>
                          <w:i/>
                          <w:color w:val="000000"/>
                          <w:sz w:val="14"/>
                          <w:szCs w:val="14"/>
                          <w:lang w:val="de-DE"/>
                        </w:rPr>
                      </w:pPr>
                      <w:r w:rsidRPr="00E71F46">
                        <w:rPr>
                          <w:rFonts w:cs="Tahoma"/>
                          <w:i/>
                          <w:color w:val="000000"/>
                          <w:sz w:val="14"/>
                          <w:szCs w:val="14"/>
                          <w:lang w:val="de-DE"/>
                        </w:rPr>
                        <w:t>Anmerkung: Wenn die Zelle für das Produkt leer ist, wird das Produkt derzeit nicht im Rahmen des Programms angeboten.</w:t>
                      </w:r>
                    </w:p>
                    <w:p w:rsidR="00973B91" w:rsidRPr="00E71F46" w:rsidRDefault="00973B91">
                      <w:pPr>
                        <w:rPr>
                          <w:rFonts w:cs="Tahoma"/>
                          <w:i/>
                          <w:color w:val="000000"/>
                          <w:sz w:val="14"/>
                          <w:szCs w:val="14"/>
                          <w:lang w:val="de-DE"/>
                        </w:rPr>
                      </w:pPr>
                      <w:r w:rsidRPr="00E71F46">
                        <w:rPr>
                          <w:rFonts w:cs="Tahoma"/>
                          <w:i/>
                          <w:color w:val="000000"/>
                          <w:sz w:val="14"/>
                          <w:szCs w:val="14"/>
                          <w:lang w:val="de-DE"/>
                        </w:rPr>
                        <w:t>*Bei Select Plus werden nur die Werte „L“ und die Dreijahreswerte für „L&amp;SA“/„SA“ verwendet.</w:t>
                      </w:r>
                    </w:p>
                    <w:p w:rsidR="00973B91" w:rsidRPr="00E71F46" w:rsidRDefault="00973B91">
                      <w:pPr>
                        <w:rPr>
                          <w:lang w:val="de-DE"/>
                        </w:rPr>
                      </w:pPr>
                    </w:p>
                  </w:txbxContent>
                </v:textbox>
              </v:shape>
            </w:pict>
          </mc:Fallback>
        </mc:AlternateContent>
      </w:r>
    </w:p>
    <w:p w:rsidR="00023FE7" w:rsidRPr="00C83DF5" w:rsidRDefault="00023FE7">
      <w:pPr>
        <w:pStyle w:val="ProductPool"/>
      </w:pPr>
    </w:p>
    <w:p w:rsidR="00E5334D" w:rsidRPr="00C83DF5" w:rsidRDefault="00E5334D"/>
    <w:p w:rsidR="00023FE7" w:rsidRPr="00C83DF5" w:rsidRDefault="00023FE7" w:rsidP="004E292A">
      <w:pPr>
        <w:pStyle w:val="Heading3"/>
      </w:pPr>
      <w:bookmarkStart w:id="113" w:name="_Toc336337896"/>
      <w:bookmarkStart w:id="114" w:name="_Toc370983021"/>
      <w:r w:rsidRPr="00C83DF5">
        <w:rPr>
          <w:rFonts w:ascii="Tahoma" w:hAnsi="Tahoma" w:cs="Tahoma"/>
          <w:sz w:val="22"/>
        </w:rPr>
        <w:t>SYSTEM-POOL</w:t>
      </w:r>
      <w:bookmarkEnd w:id="113"/>
      <w:bookmarkEnd w:id="114"/>
    </w:p>
    <w:p w:rsidR="00023FE7" w:rsidRPr="00C83DF5"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6"/>
        <w:gridCol w:w="450"/>
        <w:gridCol w:w="360"/>
        <w:gridCol w:w="416"/>
        <w:gridCol w:w="450"/>
        <w:gridCol w:w="450"/>
        <w:gridCol w:w="450"/>
        <w:gridCol w:w="450"/>
        <w:gridCol w:w="450"/>
        <w:gridCol w:w="394"/>
        <w:gridCol w:w="450"/>
        <w:gridCol w:w="450"/>
        <w:gridCol w:w="450"/>
        <w:gridCol w:w="450"/>
        <w:gridCol w:w="450"/>
        <w:gridCol w:w="450"/>
        <w:gridCol w:w="450"/>
        <w:gridCol w:w="540"/>
        <w:gridCol w:w="360"/>
      </w:tblGrid>
      <w:tr w:rsidR="00913A0A" w:rsidRPr="00C83DF5" w:rsidTr="000627B4">
        <w:trPr>
          <w:cantSplit/>
          <w:trHeight w:val="389"/>
          <w:tblHeader/>
        </w:trPr>
        <w:tc>
          <w:tcPr>
            <w:tcW w:w="2430" w:type="dxa"/>
            <w:vMerge w:val="restart"/>
            <w:tcBorders>
              <w:top w:val="single" w:sz="4" w:space="0" w:color="FFFFFF"/>
              <w:left w:val="single" w:sz="4" w:space="0" w:color="FFFFFF"/>
            </w:tcBorders>
          </w:tcPr>
          <w:p w:rsidR="00913A0A" w:rsidRPr="00C83DF5" w:rsidRDefault="00B525B3">
            <w:pPr>
              <w:rPr>
                <w:rFonts w:cs="Tahoma"/>
                <w:sz w:val="20"/>
              </w:rPr>
            </w:pPr>
            <w:r>
              <w:rPr>
                <w:rFonts w:ascii="Trebuchet MS" w:hAnsi="Trebuchet MS" w:cs="Tahoma"/>
                <w:noProof/>
                <w:sz w:val="9"/>
              </w:rPr>
              <mc:AlternateContent>
                <mc:Choice Requires="wps">
                  <w:drawing>
                    <wp:anchor distT="0" distB="0" distL="114300" distR="114300" simplePos="0" relativeHeight="251656704" behindDoc="0" locked="0" layoutInCell="1" allowOverlap="1">
                      <wp:simplePos x="0" y="0"/>
                      <wp:positionH relativeFrom="column">
                        <wp:posOffset>1443355</wp:posOffset>
                      </wp:positionH>
                      <wp:positionV relativeFrom="paragraph">
                        <wp:posOffset>508635</wp:posOffset>
                      </wp:positionV>
                      <wp:extent cx="417830" cy="213995"/>
                      <wp:effectExtent l="0" t="0" r="0" b="0"/>
                      <wp:wrapNone/>
                      <wp:docPr id="1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B91" w:rsidRDefault="00973B91" w:rsidP="005E2A84">
                                  <w:pPr>
                                    <w:ind w:left="43"/>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13.65pt;margin-top:40.05pt;width:32.9pt;height:16.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a9ItgIAAME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" filled="f" stroked="f">
                      <v:textbox style="mso-fit-shape-to-text:t">
                        <w:txbxContent>
                          <w:p w:rsidR="00973B91" w:rsidRDefault="00973B91" w:rsidP="005E2A84">
                            <w:pPr>
                              <w:ind w:left="43"/>
                              <w:rPr>
                                <w:color w:val="0000FF"/>
                                <w:sz w:val="20"/>
                              </w:rPr>
                            </w:pPr>
                            <w:r>
                              <w:rPr>
                                <w:rFonts w:cs="Tahoma"/>
                                <w:b/>
                                <w:color w:val="0000FF"/>
                                <w:sz w:val="8"/>
                              </w:rPr>
                              <w:t>(Strg + Klick)</w:t>
                            </w:r>
                          </w:p>
                        </w:txbxContent>
                      </v:textbox>
                    </v:shape>
                  </w:pict>
                </mc:Fallback>
              </mc:AlternateContent>
            </w:r>
          </w:p>
        </w:tc>
        <w:tc>
          <w:tcPr>
            <w:tcW w:w="416" w:type="dxa"/>
            <w:vMerge w:val="restart"/>
            <w:tcBorders>
              <w:top w:val="single" w:sz="12" w:space="0" w:color="auto"/>
            </w:tcBorders>
            <w:textDirection w:val="btLr"/>
            <w:vAlign w:val="center"/>
          </w:tcPr>
          <w:p w:rsidR="00913A0A" w:rsidRPr="00C83DF5" w:rsidRDefault="00CF5A3E" w:rsidP="00062C47">
            <w:pPr>
              <w:pStyle w:val="TableVerticalText"/>
              <w:rPr>
                <w:rFonts w:ascii="Tahoma" w:hAnsi="Tahoma" w:cs="Tahoma"/>
                <w:sz w:val="9"/>
              </w:rPr>
            </w:pPr>
            <w:r w:rsidRPr="00C83DF5">
              <w:rPr>
                <w:rFonts w:ascii="Tahoma" w:hAnsi="Tahoma" w:cs="Tahoma"/>
                <w:sz w:val="9"/>
              </w:rPr>
              <w:t>Produkthinweise</w:t>
            </w:r>
          </w:p>
        </w:tc>
        <w:tc>
          <w:tcPr>
            <w:tcW w:w="450" w:type="dxa"/>
            <w:vMerge w:val="restart"/>
            <w:tcBorders>
              <w:top w:val="single" w:sz="12" w:space="0" w:color="auto"/>
            </w:tcBorders>
            <w:textDirection w:val="btLr"/>
            <w:vAlign w:val="center"/>
          </w:tcPr>
          <w:p w:rsidR="00913A0A" w:rsidRPr="00C83DF5" w:rsidRDefault="00913A0A" w:rsidP="004711F6">
            <w:pPr>
              <w:pStyle w:val="TableVerticalText"/>
              <w:ind w:left="0" w:right="0"/>
              <w:rPr>
                <w:rFonts w:ascii="Tahoma" w:hAnsi="Tahoma" w:cs="Tahoma"/>
                <w:sz w:val="9"/>
              </w:rPr>
            </w:pPr>
            <w:r w:rsidRPr="00C83DF5">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rsidR="00913A0A" w:rsidRPr="00C83DF5" w:rsidRDefault="00913A0A" w:rsidP="00062C47">
            <w:pPr>
              <w:pStyle w:val="TableVerticalText"/>
              <w:rPr>
                <w:rFonts w:ascii="Tahoma" w:hAnsi="Tahoma" w:cs="Tahoma"/>
                <w:sz w:val="9"/>
              </w:rPr>
            </w:pPr>
            <w:r w:rsidRPr="00C83DF5">
              <w:rPr>
                <w:rFonts w:ascii="Tahoma" w:hAnsi="Tahoma" w:cs="Tahoma"/>
                <w:sz w:val="9"/>
              </w:rPr>
              <w:t>SAV</w:t>
            </w:r>
          </w:p>
        </w:tc>
        <w:tc>
          <w:tcPr>
            <w:tcW w:w="3060" w:type="dxa"/>
            <w:gridSpan w:val="7"/>
            <w:tcBorders>
              <w:top w:val="single" w:sz="12" w:space="0" w:color="auto"/>
              <w:left w:val="single" w:sz="18" w:space="0" w:color="auto"/>
              <w:right w:val="single" w:sz="18" w:space="0" w:color="auto"/>
            </w:tcBorders>
            <w:vAlign w:val="center"/>
          </w:tcPr>
          <w:p w:rsidR="00913A0A" w:rsidRPr="00C83DF5" w:rsidRDefault="00913A0A">
            <w:pPr>
              <w:pStyle w:val="TableHeadingsBlack"/>
              <w:rPr>
                <w:rFonts w:ascii="Tahoma" w:hAnsi="Tahoma" w:cs="Tahoma"/>
                <w:sz w:val="9"/>
              </w:rPr>
            </w:pPr>
            <w:r w:rsidRPr="00C83DF5">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913A0A" w:rsidRPr="00C83DF5" w:rsidRDefault="00913A0A" w:rsidP="00062C47">
            <w:pPr>
              <w:pStyle w:val="TableHeadingsBlack"/>
              <w:spacing w:before="0"/>
              <w:rPr>
                <w:rFonts w:ascii="Tahoma" w:hAnsi="Tahoma" w:cs="Tahoma"/>
                <w:sz w:val="9"/>
              </w:rPr>
            </w:pPr>
            <w:r w:rsidRPr="00C83DF5">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rsidR="00913A0A" w:rsidRPr="00C83DF5" w:rsidRDefault="00913A0A" w:rsidP="00062C47">
            <w:pPr>
              <w:pStyle w:val="TableVerticalText"/>
              <w:rPr>
                <w:rFonts w:ascii="Tahoma" w:hAnsi="Tahoma" w:cs="Tahoma"/>
                <w:sz w:val="9"/>
              </w:rPr>
            </w:pPr>
            <w:r w:rsidRPr="00C83DF5">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913A0A" w:rsidRPr="00C83DF5" w:rsidRDefault="00913A0A" w:rsidP="00062C47">
            <w:pPr>
              <w:pStyle w:val="TableVerticalText"/>
              <w:rPr>
                <w:rFonts w:ascii="Tahoma" w:hAnsi="Tahoma" w:cs="Tahoma"/>
                <w:sz w:val="9"/>
              </w:rPr>
            </w:pPr>
            <w:r w:rsidRPr="00C83DF5">
              <w:rPr>
                <w:rFonts w:ascii="Tahoma" w:hAnsi="Tahoma" w:cs="Tahoma"/>
                <w:sz w:val="9"/>
              </w:rPr>
              <w:t xml:space="preserve">EA und </w:t>
            </w:r>
            <w:r w:rsidRPr="00C83DF5">
              <w:rPr>
                <w:rFonts w:ascii="Tahoma" w:hAnsi="Tahoma" w:cs="Tahoma"/>
                <w:sz w:val="9"/>
              </w:rPr>
              <w:br/>
              <w:t>EA Abo</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C83DF5" w:rsidRDefault="00913A0A" w:rsidP="00062C47">
            <w:pPr>
              <w:pStyle w:val="TableVerticalText"/>
              <w:rPr>
                <w:rFonts w:ascii="Tahoma" w:hAnsi="Tahoma" w:cs="Tahoma"/>
                <w:sz w:val="9"/>
              </w:rPr>
            </w:pPr>
            <w:r w:rsidRPr="00C83DF5">
              <w:rPr>
                <w:rFonts w:ascii="Tahoma" w:hAnsi="Tahoma" w:cs="Tahoma"/>
                <w:sz w:val="9"/>
              </w:rPr>
              <w:t>OV/OVS</w:t>
            </w:r>
          </w:p>
        </w:tc>
        <w:tc>
          <w:tcPr>
            <w:tcW w:w="450" w:type="dxa"/>
            <w:vMerge w:val="restart"/>
            <w:tcBorders>
              <w:top w:val="single" w:sz="12" w:space="0" w:color="auto"/>
            </w:tcBorders>
            <w:textDirection w:val="btLr"/>
            <w:vAlign w:val="center"/>
          </w:tcPr>
          <w:p w:rsidR="00913A0A" w:rsidRPr="00C83DF5" w:rsidRDefault="00913A0A" w:rsidP="00062C47">
            <w:pPr>
              <w:pStyle w:val="TableVerticalText"/>
              <w:rPr>
                <w:rFonts w:ascii="Tahoma" w:hAnsi="Tahoma" w:cs="Tahoma"/>
                <w:sz w:val="9"/>
              </w:rPr>
            </w:pPr>
            <w:r w:rsidRPr="00C83DF5">
              <w:rPr>
                <w:rFonts w:ascii="Tahoma" w:hAnsi="Tahoma" w:cs="Tahoma"/>
                <w:sz w:val="9"/>
              </w:rPr>
              <w:t>EES / OVS-ES</w:t>
            </w:r>
          </w:p>
        </w:tc>
        <w:tc>
          <w:tcPr>
            <w:tcW w:w="540" w:type="dxa"/>
            <w:vMerge w:val="restart"/>
            <w:tcBorders>
              <w:top w:val="single" w:sz="12" w:space="0" w:color="auto"/>
            </w:tcBorders>
            <w:textDirection w:val="btLr"/>
            <w:vAlign w:val="center"/>
          </w:tcPr>
          <w:p w:rsidR="00913A0A" w:rsidRPr="00C83DF5" w:rsidRDefault="00913A0A" w:rsidP="00062C47">
            <w:pPr>
              <w:pStyle w:val="TableVerticalText"/>
              <w:rPr>
                <w:rFonts w:ascii="Tahoma" w:hAnsi="Tahoma" w:cs="Tahoma"/>
                <w:sz w:val="9"/>
              </w:rPr>
            </w:pPr>
            <w:r w:rsidRPr="00C83DF5">
              <w:rPr>
                <w:rFonts w:ascii="Tahoma" w:hAnsi="Tahoma" w:cs="Tahoma"/>
                <w:sz w:val="9"/>
              </w:rPr>
              <w:t>Mindestmenge bei Open-Programmen</w:t>
            </w:r>
          </w:p>
        </w:tc>
        <w:tc>
          <w:tcPr>
            <w:tcW w:w="360" w:type="dxa"/>
            <w:vMerge w:val="restart"/>
            <w:tcBorders>
              <w:top w:val="single" w:sz="12" w:space="0" w:color="auto"/>
            </w:tcBorders>
            <w:textDirection w:val="btLr"/>
            <w:vAlign w:val="center"/>
          </w:tcPr>
          <w:p w:rsidR="00913A0A" w:rsidRPr="00C83DF5" w:rsidRDefault="00913A0A" w:rsidP="00062C47">
            <w:pPr>
              <w:pStyle w:val="TableVerticalText"/>
              <w:rPr>
                <w:rFonts w:ascii="Tahoma" w:hAnsi="Tahoma" w:cs="Tahoma"/>
                <w:sz w:val="9"/>
              </w:rPr>
            </w:pPr>
            <w:r w:rsidRPr="00C83DF5">
              <w:rPr>
                <w:rFonts w:ascii="Tahoma" w:hAnsi="Tahoma" w:cs="Tahoma"/>
                <w:sz w:val="9"/>
              </w:rPr>
              <w:t>SCE</w:t>
            </w:r>
          </w:p>
        </w:tc>
      </w:tr>
      <w:tr w:rsidR="00913A0A" w:rsidRPr="00C83DF5" w:rsidTr="000627B4">
        <w:trPr>
          <w:cantSplit/>
          <w:trHeight w:val="262"/>
          <w:tblHeader/>
        </w:trPr>
        <w:tc>
          <w:tcPr>
            <w:tcW w:w="2430" w:type="dxa"/>
            <w:vMerge/>
            <w:tcBorders>
              <w:left w:val="single" w:sz="4" w:space="0" w:color="FFFFFF"/>
            </w:tcBorders>
          </w:tcPr>
          <w:p w:rsidR="00913A0A" w:rsidRPr="00C83DF5" w:rsidRDefault="00913A0A">
            <w:pPr>
              <w:rPr>
                <w:rFonts w:cs="Tahoma"/>
                <w:sz w:val="20"/>
              </w:rPr>
            </w:pPr>
          </w:p>
        </w:tc>
        <w:tc>
          <w:tcPr>
            <w:tcW w:w="416" w:type="dxa"/>
            <w:vMerge/>
          </w:tcPr>
          <w:p w:rsidR="00913A0A" w:rsidRPr="00C83DF5" w:rsidRDefault="00913A0A">
            <w:pPr>
              <w:rPr>
                <w:rFonts w:cs="Tahoma"/>
                <w:b/>
                <w:sz w:val="20"/>
              </w:rPr>
            </w:pPr>
          </w:p>
        </w:tc>
        <w:tc>
          <w:tcPr>
            <w:tcW w:w="450" w:type="dxa"/>
            <w:vMerge/>
          </w:tcPr>
          <w:p w:rsidR="00913A0A" w:rsidRPr="00C83DF5" w:rsidRDefault="00913A0A">
            <w:pPr>
              <w:rPr>
                <w:rFonts w:cs="Tahoma"/>
                <w:sz w:val="20"/>
              </w:rPr>
            </w:pPr>
          </w:p>
        </w:tc>
        <w:tc>
          <w:tcPr>
            <w:tcW w:w="360" w:type="dxa"/>
            <w:vMerge/>
            <w:tcBorders>
              <w:right w:val="single" w:sz="18" w:space="0" w:color="auto"/>
            </w:tcBorders>
          </w:tcPr>
          <w:p w:rsidR="00913A0A" w:rsidRPr="00C83DF5" w:rsidRDefault="00913A0A">
            <w:pPr>
              <w:rPr>
                <w:rFonts w:cs="Tahoma"/>
                <w:sz w:val="20"/>
              </w:rPr>
            </w:pPr>
          </w:p>
        </w:tc>
        <w:tc>
          <w:tcPr>
            <w:tcW w:w="416" w:type="dxa"/>
            <w:vMerge w:val="restart"/>
            <w:tcBorders>
              <w:left w:val="single" w:sz="18" w:space="0" w:color="auto"/>
            </w:tcBorders>
            <w:vAlign w:val="center"/>
          </w:tcPr>
          <w:p w:rsidR="00913A0A" w:rsidRPr="00C83DF5" w:rsidRDefault="00913A0A">
            <w:pPr>
              <w:pStyle w:val="TableHeadingsRed"/>
              <w:rPr>
                <w:rFonts w:ascii="Tahoma" w:hAnsi="Tahoma" w:cs="Tahoma"/>
                <w:sz w:val="9"/>
              </w:rPr>
            </w:pPr>
            <w:r w:rsidRPr="00C83DF5">
              <w:rPr>
                <w:rFonts w:ascii="Tahoma" w:hAnsi="Tahoma" w:cs="Tahoma"/>
                <w:sz w:val="9"/>
              </w:rPr>
              <w:t>L</w:t>
            </w:r>
          </w:p>
        </w:tc>
        <w:tc>
          <w:tcPr>
            <w:tcW w:w="1350" w:type="dxa"/>
            <w:gridSpan w:val="3"/>
            <w:vAlign w:val="center"/>
          </w:tcPr>
          <w:p w:rsidR="00913A0A" w:rsidRPr="00C83DF5" w:rsidRDefault="00913A0A">
            <w:pPr>
              <w:pStyle w:val="TableHeadingsGreen"/>
              <w:rPr>
                <w:rFonts w:ascii="Tahoma" w:hAnsi="Tahoma" w:cs="Tahoma"/>
                <w:sz w:val="9"/>
              </w:rPr>
            </w:pPr>
            <w:r w:rsidRPr="00C83DF5">
              <w:rPr>
                <w:rFonts w:ascii="Tahoma" w:hAnsi="Tahoma" w:cs="Tahoma"/>
                <w:sz w:val="9"/>
              </w:rPr>
              <w:t>L&amp;SA</w:t>
            </w:r>
          </w:p>
        </w:tc>
        <w:tc>
          <w:tcPr>
            <w:tcW w:w="1294" w:type="dxa"/>
            <w:gridSpan w:val="3"/>
            <w:tcBorders>
              <w:right w:val="single" w:sz="18"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SA</w:t>
            </w:r>
          </w:p>
        </w:tc>
        <w:tc>
          <w:tcPr>
            <w:tcW w:w="450" w:type="dxa"/>
            <w:vMerge w:val="restart"/>
            <w:tcBorders>
              <w:left w:val="single" w:sz="18" w:space="0" w:color="auto"/>
            </w:tcBorders>
            <w:vAlign w:val="center"/>
          </w:tcPr>
          <w:p w:rsidR="00913A0A" w:rsidRPr="00C83DF5" w:rsidRDefault="00913A0A">
            <w:pPr>
              <w:pStyle w:val="TableHeadingsRed"/>
              <w:rPr>
                <w:rFonts w:ascii="Tahoma" w:hAnsi="Tahoma" w:cs="Tahoma"/>
                <w:sz w:val="9"/>
              </w:rPr>
            </w:pPr>
            <w:r w:rsidRPr="00C83DF5">
              <w:rPr>
                <w:rFonts w:ascii="Tahoma" w:hAnsi="Tahoma" w:cs="Tahoma"/>
                <w:sz w:val="9"/>
              </w:rPr>
              <w:t>L</w:t>
            </w:r>
          </w:p>
        </w:tc>
        <w:tc>
          <w:tcPr>
            <w:tcW w:w="450" w:type="dxa"/>
            <w:vAlign w:val="center"/>
          </w:tcPr>
          <w:p w:rsidR="00913A0A" w:rsidRPr="00C83DF5" w:rsidRDefault="00913A0A">
            <w:pPr>
              <w:pStyle w:val="TableHeadingsGreen"/>
              <w:rPr>
                <w:rFonts w:ascii="Tahoma" w:hAnsi="Tahoma" w:cs="Tahoma"/>
                <w:sz w:val="9"/>
              </w:rPr>
            </w:pPr>
            <w:r w:rsidRPr="00C83DF5">
              <w:rPr>
                <w:rFonts w:ascii="Tahoma" w:hAnsi="Tahoma" w:cs="Tahoma"/>
                <w:sz w:val="9"/>
              </w:rPr>
              <w:t>L&amp;SA</w:t>
            </w:r>
          </w:p>
        </w:tc>
        <w:tc>
          <w:tcPr>
            <w:tcW w:w="450" w:type="dxa"/>
            <w:vMerge w:val="restart"/>
            <w:tcBorders>
              <w:right w:val="single" w:sz="18"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SA</w:t>
            </w:r>
          </w:p>
        </w:tc>
        <w:tc>
          <w:tcPr>
            <w:tcW w:w="450" w:type="dxa"/>
            <w:vMerge/>
            <w:tcBorders>
              <w:left w:val="single" w:sz="18" w:space="0" w:color="auto"/>
            </w:tcBorders>
          </w:tcPr>
          <w:p w:rsidR="00913A0A" w:rsidRPr="00C83DF5" w:rsidRDefault="00913A0A">
            <w:pPr>
              <w:rPr>
                <w:rFonts w:cs="Tahoma"/>
                <w:sz w:val="20"/>
              </w:rPr>
            </w:pPr>
          </w:p>
        </w:tc>
        <w:tc>
          <w:tcPr>
            <w:tcW w:w="450" w:type="dxa"/>
            <w:vMerge/>
            <w:tcBorders>
              <w:right w:val="single" w:sz="18" w:space="0" w:color="auto"/>
            </w:tcBorders>
          </w:tcPr>
          <w:p w:rsidR="00913A0A" w:rsidRPr="00C83DF5" w:rsidRDefault="00913A0A">
            <w:pPr>
              <w:rPr>
                <w:rFonts w:cs="Tahoma"/>
                <w:sz w:val="20"/>
              </w:rPr>
            </w:pPr>
          </w:p>
        </w:tc>
        <w:tc>
          <w:tcPr>
            <w:tcW w:w="450" w:type="dxa"/>
            <w:vMerge/>
            <w:tcBorders>
              <w:left w:val="single" w:sz="18" w:space="0" w:color="auto"/>
              <w:right w:val="single" w:sz="18" w:space="0" w:color="auto"/>
            </w:tcBorders>
          </w:tcPr>
          <w:p w:rsidR="00913A0A" w:rsidRPr="00C83DF5" w:rsidRDefault="00913A0A">
            <w:pPr>
              <w:rPr>
                <w:rFonts w:cs="Tahoma"/>
                <w:sz w:val="20"/>
              </w:rPr>
            </w:pPr>
          </w:p>
        </w:tc>
        <w:tc>
          <w:tcPr>
            <w:tcW w:w="450" w:type="dxa"/>
            <w:vMerge/>
          </w:tcPr>
          <w:p w:rsidR="00913A0A" w:rsidRPr="00C83DF5" w:rsidRDefault="00913A0A">
            <w:pPr>
              <w:rPr>
                <w:rFonts w:cs="Tahoma"/>
                <w:sz w:val="20"/>
              </w:rPr>
            </w:pPr>
          </w:p>
        </w:tc>
        <w:tc>
          <w:tcPr>
            <w:tcW w:w="540" w:type="dxa"/>
            <w:vMerge/>
          </w:tcPr>
          <w:p w:rsidR="00913A0A" w:rsidRPr="00C83DF5" w:rsidRDefault="00913A0A">
            <w:pPr>
              <w:rPr>
                <w:rFonts w:cs="Tahoma"/>
                <w:sz w:val="20"/>
              </w:rPr>
            </w:pPr>
          </w:p>
        </w:tc>
        <w:tc>
          <w:tcPr>
            <w:tcW w:w="360" w:type="dxa"/>
            <w:vMerge/>
          </w:tcPr>
          <w:p w:rsidR="00913A0A" w:rsidRPr="00C83DF5" w:rsidRDefault="00913A0A">
            <w:pPr>
              <w:rPr>
                <w:rFonts w:cs="Tahoma"/>
                <w:sz w:val="20"/>
              </w:rPr>
            </w:pPr>
          </w:p>
        </w:tc>
      </w:tr>
      <w:tr w:rsidR="00913A0A" w:rsidRPr="00C83DF5" w:rsidTr="000627B4">
        <w:trPr>
          <w:cantSplit/>
          <w:trHeight w:val="422"/>
          <w:tblHeader/>
        </w:trPr>
        <w:tc>
          <w:tcPr>
            <w:tcW w:w="2430" w:type="dxa"/>
            <w:vMerge/>
            <w:tcBorders>
              <w:left w:val="single" w:sz="4" w:space="0" w:color="FFFFFF"/>
              <w:bottom w:val="single" w:sz="4" w:space="0" w:color="auto"/>
            </w:tcBorders>
          </w:tcPr>
          <w:p w:rsidR="00913A0A" w:rsidRPr="00C83DF5" w:rsidRDefault="00913A0A">
            <w:pPr>
              <w:rPr>
                <w:rFonts w:cs="Tahoma"/>
                <w:sz w:val="20"/>
              </w:rPr>
            </w:pPr>
          </w:p>
        </w:tc>
        <w:tc>
          <w:tcPr>
            <w:tcW w:w="416" w:type="dxa"/>
            <w:vMerge/>
            <w:tcBorders>
              <w:bottom w:val="single" w:sz="4" w:space="0" w:color="auto"/>
            </w:tcBorders>
          </w:tcPr>
          <w:p w:rsidR="00913A0A" w:rsidRPr="00C83DF5" w:rsidRDefault="00913A0A">
            <w:pPr>
              <w:rPr>
                <w:rFonts w:cs="Tahoma"/>
                <w:b/>
                <w:sz w:val="20"/>
              </w:rPr>
            </w:pPr>
          </w:p>
        </w:tc>
        <w:tc>
          <w:tcPr>
            <w:tcW w:w="450" w:type="dxa"/>
            <w:vMerge/>
            <w:tcBorders>
              <w:bottom w:val="single" w:sz="4" w:space="0" w:color="auto"/>
            </w:tcBorders>
          </w:tcPr>
          <w:p w:rsidR="00913A0A" w:rsidRPr="00C83DF5" w:rsidRDefault="00913A0A">
            <w:pPr>
              <w:rPr>
                <w:rFonts w:cs="Tahoma"/>
                <w:sz w:val="20"/>
              </w:rPr>
            </w:pPr>
          </w:p>
        </w:tc>
        <w:tc>
          <w:tcPr>
            <w:tcW w:w="360" w:type="dxa"/>
            <w:vMerge/>
            <w:tcBorders>
              <w:bottom w:val="single" w:sz="4" w:space="0" w:color="auto"/>
              <w:right w:val="single" w:sz="18" w:space="0" w:color="auto"/>
            </w:tcBorders>
          </w:tcPr>
          <w:p w:rsidR="00913A0A" w:rsidRPr="00C83DF5" w:rsidRDefault="00913A0A">
            <w:pPr>
              <w:rPr>
                <w:rFonts w:cs="Tahoma"/>
                <w:sz w:val="20"/>
              </w:rPr>
            </w:pPr>
          </w:p>
        </w:tc>
        <w:tc>
          <w:tcPr>
            <w:tcW w:w="416" w:type="dxa"/>
            <w:vMerge/>
            <w:tcBorders>
              <w:left w:val="single" w:sz="18" w:space="0" w:color="auto"/>
              <w:bottom w:val="single" w:sz="4" w:space="0" w:color="auto"/>
            </w:tcBorders>
            <w:vAlign w:val="center"/>
          </w:tcPr>
          <w:p w:rsidR="00913A0A" w:rsidRPr="00C83DF5" w:rsidRDefault="00913A0A">
            <w:pPr>
              <w:jc w:val="center"/>
              <w:rPr>
                <w:rFonts w:cs="Tahoma"/>
                <w:sz w:val="20"/>
              </w:rPr>
            </w:pPr>
          </w:p>
        </w:tc>
        <w:tc>
          <w:tcPr>
            <w:tcW w:w="450" w:type="dxa"/>
            <w:tcBorders>
              <w:bottom w:val="single" w:sz="4" w:space="0" w:color="auto"/>
            </w:tcBorders>
            <w:vAlign w:val="center"/>
          </w:tcPr>
          <w:p w:rsidR="00913A0A" w:rsidRPr="00C83DF5" w:rsidRDefault="00913A0A">
            <w:pPr>
              <w:pStyle w:val="TableHeadingsGreen"/>
              <w:rPr>
                <w:rFonts w:ascii="Tahoma" w:hAnsi="Tahoma" w:cs="Tahoma"/>
                <w:sz w:val="9"/>
              </w:rPr>
            </w:pPr>
            <w:r w:rsidRPr="00C83DF5">
              <w:rPr>
                <w:rFonts w:ascii="Tahoma" w:hAnsi="Tahoma" w:cs="Tahoma"/>
                <w:sz w:val="9"/>
              </w:rPr>
              <w:t>3 Jahre</w:t>
            </w:r>
          </w:p>
        </w:tc>
        <w:tc>
          <w:tcPr>
            <w:tcW w:w="450" w:type="dxa"/>
            <w:tcBorders>
              <w:bottom w:val="single" w:sz="4" w:space="0" w:color="auto"/>
            </w:tcBorders>
            <w:vAlign w:val="center"/>
          </w:tcPr>
          <w:p w:rsidR="00913A0A" w:rsidRPr="00C83DF5" w:rsidRDefault="00913A0A">
            <w:pPr>
              <w:pStyle w:val="TableHeadingsGreen"/>
              <w:rPr>
                <w:rFonts w:ascii="Tahoma" w:hAnsi="Tahoma" w:cs="Tahoma"/>
                <w:sz w:val="9"/>
              </w:rPr>
            </w:pPr>
            <w:r w:rsidRPr="00C83DF5">
              <w:rPr>
                <w:rFonts w:ascii="Tahoma" w:hAnsi="Tahoma" w:cs="Tahoma"/>
                <w:sz w:val="9"/>
              </w:rPr>
              <w:t>2 Jahre</w:t>
            </w:r>
          </w:p>
        </w:tc>
        <w:tc>
          <w:tcPr>
            <w:tcW w:w="450" w:type="dxa"/>
            <w:tcBorders>
              <w:bottom w:val="single" w:sz="4" w:space="0" w:color="auto"/>
            </w:tcBorders>
            <w:vAlign w:val="center"/>
          </w:tcPr>
          <w:p w:rsidR="00913A0A" w:rsidRPr="00C83DF5" w:rsidRDefault="00913A0A">
            <w:pPr>
              <w:pStyle w:val="TableHeadingsGreen"/>
              <w:rPr>
                <w:rFonts w:ascii="Tahoma" w:hAnsi="Tahoma" w:cs="Tahoma"/>
                <w:sz w:val="9"/>
              </w:rPr>
            </w:pPr>
            <w:r w:rsidRPr="00C83DF5">
              <w:rPr>
                <w:rFonts w:ascii="Tahoma" w:hAnsi="Tahoma" w:cs="Tahoma"/>
                <w:sz w:val="9"/>
              </w:rPr>
              <w:t>1 Jahr</w:t>
            </w:r>
          </w:p>
        </w:tc>
        <w:tc>
          <w:tcPr>
            <w:tcW w:w="450" w:type="dxa"/>
            <w:tcBorders>
              <w:bottom w:val="single" w:sz="4"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3 Jahre</w:t>
            </w:r>
          </w:p>
        </w:tc>
        <w:tc>
          <w:tcPr>
            <w:tcW w:w="450" w:type="dxa"/>
            <w:tcBorders>
              <w:bottom w:val="single" w:sz="4"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2 Jahre</w:t>
            </w:r>
          </w:p>
        </w:tc>
        <w:tc>
          <w:tcPr>
            <w:tcW w:w="394" w:type="dxa"/>
            <w:tcBorders>
              <w:bottom w:val="single" w:sz="4" w:space="0" w:color="auto"/>
              <w:right w:val="single" w:sz="18"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1 Jahr</w:t>
            </w:r>
          </w:p>
        </w:tc>
        <w:tc>
          <w:tcPr>
            <w:tcW w:w="450" w:type="dxa"/>
            <w:vMerge/>
            <w:tcBorders>
              <w:left w:val="single" w:sz="18" w:space="0" w:color="auto"/>
              <w:bottom w:val="single" w:sz="4" w:space="0" w:color="auto"/>
            </w:tcBorders>
            <w:vAlign w:val="center"/>
          </w:tcPr>
          <w:p w:rsidR="00913A0A" w:rsidRPr="00C83DF5" w:rsidRDefault="00913A0A">
            <w:pPr>
              <w:jc w:val="center"/>
              <w:rPr>
                <w:rFonts w:cs="Tahoma"/>
                <w:sz w:val="20"/>
              </w:rPr>
            </w:pPr>
          </w:p>
        </w:tc>
        <w:tc>
          <w:tcPr>
            <w:tcW w:w="450" w:type="dxa"/>
            <w:tcBorders>
              <w:bottom w:val="single" w:sz="4" w:space="0" w:color="auto"/>
            </w:tcBorders>
            <w:vAlign w:val="center"/>
          </w:tcPr>
          <w:p w:rsidR="00913A0A" w:rsidRPr="00C83DF5" w:rsidRDefault="00913A0A">
            <w:pPr>
              <w:pStyle w:val="TableHeadingsGreen"/>
              <w:rPr>
                <w:rFonts w:ascii="Tahoma" w:hAnsi="Tahoma" w:cs="Tahoma"/>
                <w:sz w:val="9"/>
              </w:rPr>
            </w:pPr>
            <w:r w:rsidRPr="00C83DF5">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C83DF5" w:rsidRDefault="00913A0A">
            <w:pPr>
              <w:jc w:val="center"/>
              <w:rPr>
                <w:rFonts w:cs="Tahoma"/>
                <w:sz w:val="20"/>
              </w:rPr>
            </w:pPr>
          </w:p>
        </w:tc>
        <w:tc>
          <w:tcPr>
            <w:tcW w:w="450" w:type="dxa"/>
            <w:vMerge/>
            <w:tcBorders>
              <w:left w:val="single" w:sz="18" w:space="0" w:color="auto"/>
              <w:bottom w:val="single" w:sz="4" w:space="0" w:color="auto"/>
            </w:tcBorders>
          </w:tcPr>
          <w:p w:rsidR="00913A0A" w:rsidRPr="00C83DF5" w:rsidRDefault="00913A0A">
            <w:pPr>
              <w:rPr>
                <w:rFonts w:cs="Tahoma"/>
                <w:sz w:val="20"/>
              </w:rPr>
            </w:pPr>
          </w:p>
        </w:tc>
        <w:tc>
          <w:tcPr>
            <w:tcW w:w="450" w:type="dxa"/>
            <w:vMerge/>
            <w:tcBorders>
              <w:bottom w:val="single" w:sz="4" w:space="0" w:color="auto"/>
              <w:right w:val="single" w:sz="18" w:space="0" w:color="auto"/>
            </w:tcBorders>
          </w:tcPr>
          <w:p w:rsidR="00913A0A" w:rsidRPr="00C83DF5" w:rsidRDefault="00913A0A">
            <w:pPr>
              <w:rPr>
                <w:rFonts w:cs="Tahoma"/>
                <w:sz w:val="20"/>
              </w:rPr>
            </w:pPr>
          </w:p>
        </w:tc>
        <w:tc>
          <w:tcPr>
            <w:tcW w:w="450" w:type="dxa"/>
            <w:vMerge/>
            <w:tcBorders>
              <w:left w:val="single" w:sz="18" w:space="0" w:color="auto"/>
              <w:bottom w:val="single" w:sz="4" w:space="0" w:color="auto"/>
              <w:right w:val="single" w:sz="18" w:space="0" w:color="auto"/>
            </w:tcBorders>
          </w:tcPr>
          <w:p w:rsidR="00913A0A" w:rsidRPr="00C83DF5" w:rsidRDefault="00913A0A">
            <w:pPr>
              <w:rPr>
                <w:rFonts w:cs="Tahoma"/>
                <w:sz w:val="20"/>
              </w:rPr>
            </w:pPr>
          </w:p>
        </w:tc>
        <w:tc>
          <w:tcPr>
            <w:tcW w:w="450" w:type="dxa"/>
            <w:vMerge/>
            <w:tcBorders>
              <w:bottom w:val="single" w:sz="4" w:space="0" w:color="auto"/>
            </w:tcBorders>
          </w:tcPr>
          <w:p w:rsidR="00913A0A" w:rsidRPr="00C83DF5" w:rsidRDefault="00913A0A">
            <w:pPr>
              <w:rPr>
                <w:rFonts w:cs="Tahoma"/>
                <w:sz w:val="20"/>
              </w:rPr>
            </w:pPr>
          </w:p>
        </w:tc>
        <w:tc>
          <w:tcPr>
            <w:tcW w:w="540" w:type="dxa"/>
            <w:vMerge/>
            <w:tcBorders>
              <w:bottom w:val="single" w:sz="4" w:space="0" w:color="auto"/>
            </w:tcBorders>
          </w:tcPr>
          <w:p w:rsidR="00913A0A" w:rsidRPr="00C83DF5" w:rsidRDefault="00913A0A">
            <w:pPr>
              <w:rPr>
                <w:rFonts w:cs="Tahoma"/>
                <w:sz w:val="20"/>
              </w:rPr>
            </w:pPr>
          </w:p>
        </w:tc>
        <w:tc>
          <w:tcPr>
            <w:tcW w:w="360" w:type="dxa"/>
            <w:vMerge/>
            <w:tcBorders>
              <w:bottom w:val="single" w:sz="4" w:space="0" w:color="auto"/>
            </w:tcBorders>
          </w:tcPr>
          <w:p w:rsidR="00913A0A" w:rsidRPr="00C83DF5" w:rsidRDefault="00913A0A">
            <w:pPr>
              <w:rPr>
                <w:rFonts w:cs="Tahoma"/>
                <w:sz w:val="20"/>
              </w:rPr>
            </w:pPr>
          </w:p>
        </w:tc>
      </w:tr>
      <w:tr w:rsidR="008A0F85" w:rsidRPr="00C83DF5" w:rsidTr="000627B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rsidR="00913A0A" w:rsidRPr="00C83DF5" w:rsidRDefault="00913A0A" w:rsidP="00F70479">
            <w:pPr>
              <w:pStyle w:val="ProductNames"/>
              <w:rPr>
                <w:rFonts w:ascii="Tahoma" w:hAnsi="Tahoma" w:cs="Tahoma"/>
                <w:position w:val="0"/>
                <w:sz w:val="14"/>
              </w:rPr>
            </w:pPr>
            <w:bookmarkStart w:id="115" w:name="_Toc370983022"/>
            <w:r w:rsidRPr="00C83DF5">
              <w:rPr>
                <w:rFonts w:ascii="Tahoma" w:hAnsi="Tahoma" w:cs="Tahoma"/>
                <w:position w:val="0"/>
                <w:sz w:val="14"/>
              </w:rPr>
              <w:t>Microsoft Desktop Optimization Pack für Software Assurance</w:t>
            </w:r>
            <w:bookmarkEnd w:id="115"/>
          </w:p>
        </w:tc>
        <w:tc>
          <w:tcPr>
            <w:tcW w:w="416" w:type="dxa"/>
            <w:tcBorders>
              <w:bottom w:val="single" w:sz="3" w:space="0" w:color="auto"/>
            </w:tcBorders>
            <w:shd w:val="clear" w:color="auto" w:fill="FABF8F"/>
            <w:vAlign w:val="center"/>
          </w:tcPr>
          <w:p w:rsidR="00913A0A" w:rsidRPr="00C83DF5" w:rsidRDefault="005519A5" w:rsidP="009D43FB">
            <w:pPr>
              <w:pStyle w:val="TableText"/>
              <w:widowControl w:val="0"/>
              <w:rPr>
                <w:b/>
                <w:color w:val="0000FF"/>
                <w:sz w:val="13"/>
                <w:szCs w:val="13"/>
                <w:u w:val="single"/>
              </w:rPr>
            </w:pPr>
            <w:hyperlink w:anchor="_24_Microsoft_Desktop" w:history="1">
              <w:r w:rsidR="00CF5A3E" w:rsidRPr="00C83DF5">
                <w:rPr>
                  <w:rStyle w:val="Hyperlink"/>
                  <w:b/>
                  <w:sz w:val="13"/>
                  <w:szCs w:val="13"/>
                </w:rPr>
                <w:t>25</w:t>
              </w:r>
            </w:hyperlink>
          </w:p>
        </w:tc>
        <w:tc>
          <w:tcPr>
            <w:tcW w:w="450" w:type="dxa"/>
            <w:tcBorders>
              <w:bottom w:val="single" w:sz="3" w:space="0" w:color="auto"/>
            </w:tcBorders>
            <w:shd w:val="clear" w:color="auto" w:fill="FABF8F"/>
            <w:vAlign w:val="center"/>
          </w:tcPr>
          <w:p w:rsidR="00913A0A" w:rsidRPr="00C83DF5" w:rsidRDefault="00913A0A" w:rsidP="004D199A">
            <w:pPr>
              <w:pStyle w:val="TableText"/>
              <w:rPr>
                <w:rFonts w:ascii="Tahoma" w:hAnsi="Tahoma" w:cs="Tahoma"/>
                <w:sz w:val="13"/>
              </w:rPr>
            </w:pPr>
            <w:r w:rsidRPr="00C83DF5">
              <w:rPr>
                <w:rFonts w:ascii="Tahoma" w:hAnsi="Tahoma" w:cs="Tahoma"/>
                <w:sz w:val="13"/>
              </w:rPr>
              <w:t>11/12</w:t>
            </w:r>
          </w:p>
        </w:tc>
        <w:tc>
          <w:tcPr>
            <w:tcW w:w="360" w:type="dxa"/>
            <w:tcBorders>
              <w:bottom w:val="single" w:sz="3" w:space="0" w:color="auto"/>
              <w:right w:val="single" w:sz="15" w:space="0" w:color="auto"/>
            </w:tcBorders>
            <w:shd w:val="clear" w:color="auto" w:fill="FABF8F"/>
            <w:vAlign w:val="center"/>
          </w:tcPr>
          <w:p w:rsidR="00913A0A" w:rsidRPr="00C83DF5" w:rsidRDefault="00913A0A">
            <w:pPr>
              <w:pStyle w:val="TableText"/>
              <w:rPr>
                <w:rFonts w:ascii="Tahoma" w:hAnsi="Tahoma" w:cs="Tahoma"/>
                <w:sz w:val="13"/>
              </w:rPr>
            </w:pPr>
          </w:p>
        </w:tc>
        <w:tc>
          <w:tcPr>
            <w:tcW w:w="3060" w:type="dxa"/>
            <w:gridSpan w:val="7"/>
            <w:tcBorders>
              <w:left w:val="single" w:sz="15" w:space="0" w:color="auto"/>
              <w:bottom w:val="single" w:sz="3" w:space="0" w:color="auto"/>
              <w:right w:val="single" w:sz="15"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1</w:t>
            </w:r>
          </w:p>
        </w:tc>
        <w:tc>
          <w:tcPr>
            <w:tcW w:w="450" w:type="dxa"/>
            <w:tcBorders>
              <w:left w:val="single" w:sz="15" w:space="0" w:color="auto"/>
              <w:bottom w:val="single" w:sz="3"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3"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3" w:space="0" w:color="auto"/>
              <w:right w:val="single" w:sz="15"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5" w:space="0" w:color="auto"/>
              <w:bottom w:val="single" w:sz="3" w:space="0" w:color="auto"/>
            </w:tcBorders>
            <w:shd w:val="clear" w:color="auto" w:fill="FABF8F"/>
            <w:vAlign w:val="center"/>
          </w:tcPr>
          <w:p w:rsidR="00913A0A" w:rsidRPr="00C83DF5" w:rsidRDefault="00913A0A" w:rsidP="004479EA">
            <w:pPr>
              <w:pStyle w:val="TableText"/>
              <w:rPr>
                <w:rFonts w:ascii="Tahoma" w:hAnsi="Tahoma" w:cs="Tahoma"/>
                <w:sz w:val="13"/>
              </w:rPr>
            </w:pPr>
            <w:r w:rsidRPr="00C83DF5">
              <w:rPr>
                <w:rFonts w:ascii="Tahoma" w:hAnsi="Tahoma" w:cs="Tahoma"/>
                <w:sz w:val="13"/>
              </w:rPr>
              <w:t>1, E</w:t>
            </w:r>
          </w:p>
        </w:tc>
        <w:tc>
          <w:tcPr>
            <w:tcW w:w="450" w:type="dxa"/>
            <w:tcBorders>
              <w:bottom w:val="single" w:sz="3" w:space="0" w:color="auto"/>
              <w:right w:val="single" w:sz="15" w:space="0" w:color="auto"/>
            </w:tcBorders>
            <w:shd w:val="clear" w:color="auto" w:fill="FABF8F"/>
            <w:vAlign w:val="center"/>
          </w:tcPr>
          <w:p w:rsidR="00913A0A" w:rsidRPr="00C83DF5" w:rsidRDefault="00913A0A" w:rsidP="008925CF">
            <w:pPr>
              <w:pStyle w:val="TableText"/>
              <w:rPr>
                <w:rFonts w:ascii="Tahoma" w:hAnsi="Tahoma" w:cs="Tahoma"/>
                <w:sz w:val="13"/>
              </w:rPr>
            </w:pPr>
            <w:r w:rsidRPr="00C83DF5">
              <w:rPr>
                <w:rFonts w:ascii="Tahoma" w:hAnsi="Tahoma" w:cs="Tahoma"/>
                <w:sz w:val="13"/>
              </w:rPr>
              <w:t>E, 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P</w:t>
            </w:r>
          </w:p>
        </w:tc>
        <w:tc>
          <w:tcPr>
            <w:tcW w:w="450" w:type="dxa"/>
            <w:tcBorders>
              <w:bottom w:val="single" w:sz="3" w:space="0" w:color="auto"/>
            </w:tcBorders>
            <w:shd w:val="clear" w:color="auto" w:fill="FABF8F"/>
            <w:vAlign w:val="center"/>
          </w:tcPr>
          <w:p w:rsidR="00913A0A" w:rsidRPr="00C83DF5" w:rsidRDefault="00913A0A" w:rsidP="009A015E">
            <w:pPr>
              <w:pStyle w:val="TableText"/>
              <w:rPr>
                <w:rFonts w:ascii="Tahoma" w:hAnsi="Tahoma" w:cs="Tahoma"/>
                <w:sz w:val="13"/>
              </w:rPr>
            </w:pPr>
            <w:r w:rsidRPr="00C83DF5">
              <w:rPr>
                <w:rFonts w:ascii="Tahoma" w:hAnsi="Tahoma" w:cs="Tahoma"/>
                <w:sz w:val="13"/>
              </w:rPr>
              <w:t>A, ST</w:t>
            </w:r>
          </w:p>
        </w:tc>
        <w:tc>
          <w:tcPr>
            <w:tcW w:w="540" w:type="dxa"/>
            <w:tcBorders>
              <w:bottom w:val="single" w:sz="3" w:space="0" w:color="auto"/>
            </w:tcBorders>
            <w:shd w:val="clear" w:color="auto" w:fill="FABF8F"/>
            <w:vAlign w:val="center"/>
          </w:tcPr>
          <w:p w:rsidR="00913A0A" w:rsidRPr="00C83DF5" w:rsidRDefault="00913A0A">
            <w:pPr>
              <w:pStyle w:val="TableText"/>
              <w:rPr>
                <w:rFonts w:ascii="Tahoma" w:hAnsi="Tahoma" w:cs="Tahoma"/>
                <w:sz w:val="13"/>
              </w:rPr>
            </w:pPr>
          </w:p>
        </w:tc>
        <w:tc>
          <w:tcPr>
            <w:tcW w:w="360" w:type="dxa"/>
            <w:tcBorders>
              <w:bottom w:val="single" w:sz="3" w:space="0" w:color="auto"/>
            </w:tcBorders>
            <w:shd w:val="clear" w:color="auto" w:fill="FABF8F"/>
          </w:tcPr>
          <w:p w:rsidR="00913A0A" w:rsidRPr="00C83DF5" w:rsidRDefault="00913A0A">
            <w:pPr>
              <w:pStyle w:val="TableText"/>
              <w:rPr>
                <w:rFonts w:ascii="Tahoma" w:hAnsi="Tahoma" w:cs="Tahoma"/>
                <w:sz w:val="13"/>
              </w:rPr>
            </w:pPr>
            <w:r w:rsidRPr="00C83DF5">
              <w:rPr>
                <w:rFonts w:ascii="Tahoma" w:hAnsi="Tahoma" w:cs="Tahoma"/>
                <w:sz w:val="13"/>
              </w:rPr>
              <w:t>A</w:t>
            </w:r>
          </w:p>
        </w:tc>
      </w:tr>
      <w:tr w:rsidR="00913A0A" w:rsidRPr="00C83DF5" w:rsidTr="000627B4">
        <w:trPr>
          <w:trHeight w:val="145"/>
        </w:trPr>
        <w:tc>
          <w:tcPr>
            <w:tcW w:w="2430" w:type="dxa"/>
            <w:tcBorders>
              <w:bottom w:val="single" w:sz="4" w:space="0" w:color="auto"/>
            </w:tcBorders>
            <w:shd w:val="clear" w:color="auto" w:fill="auto"/>
          </w:tcPr>
          <w:p w:rsidR="00913A0A" w:rsidRPr="00C83DF5" w:rsidRDefault="00913A0A" w:rsidP="00F70479">
            <w:pPr>
              <w:pStyle w:val="ProductNames"/>
              <w:rPr>
                <w:rFonts w:ascii="Tahoma" w:hAnsi="Tahoma" w:cs="Tahoma"/>
                <w:position w:val="0"/>
                <w:sz w:val="14"/>
              </w:rPr>
            </w:pPr>
            <w:bookmarkStart w:id="116" w:name="_Toc336337897"/>
            <w:bookmarkStart w:id="117" w:name="_Toc370983023"/>
            <w:r w:rsidRPr="00C83DF5">
              <w:rPr>
                <w:rFonts w:ascii="Tahoma" w:hAnsi="Tahoma" w:cs="Tahoma"/>
                <w:position w:val="0"/>
                <w:sz w:val="14"/>
              </w:rPr>
              <w:t>Windows Companion-Abonnementlizenz</w:t>
            </w:r>
            <w:bookmarkEnd w:id="116"/>
            <w:bookmarkEnd w:id="117"/>
          </w:p>
        </w:tc>
        <w:tc>
          <w:tcPr>
            <w:tcW w:w="416" w:type="dxa"/>
            <w:tcBorders>
              <w:bottom w:val="single" w:sz="4" w:space="0" w:color="auto"/>
            </w:tcBorders>
            <w:shd w:val="clear" w:color="auto" w:fill="auto"/>
            <w:vAlign w:val="center"/>
          </w:tcPr>
          <w:p w:rsidR="00913A0A" w:rsidRPr="00C83DF5" w:rsidRDefault="005519A5" w:rsidP="006D5161">
            <w:pPr>
              <w:pStyle w:val="TableText"/>
              <w:widowControl w:val="0"/>
              <w:rPr>
                <w:b/>
                <w:color w:val="0000FF"/>
                <w:sz w:val="13"/>
                <w:szCs w:val="13"/>
                <w:u w:val="single"/>
              </w:rPr>
            </w:pPr>
            <w:hyperlink w:anchor="_25_Windows®_Companion" w:history="1">
              <w:r w:rsidR="00CF5A3E" w:rsidRPr="00C83DF5">
                <w:rPr>
                  <w:rStyle w:val="Hyperlink"/>
                  <w:b/>
                  <w:sz w:val="13"/>
                  <w:szCs w:val="13"/>
                </w:rPr>
                <w:t>29</w:t>
              </w:r>
            </w:hyperlink>
            <w:hyperlink w:anchor="_25_Windows®_Companion" w:history="1"/>
          </w:p>
        </w:tc>
        <w:tc>
          <w:tcPr>
            <w:tcW w:w="450" w:type="dxa"/>
            <w:tcBorders>
              <w:bottom w:val="single" w:sz="4" w:space="0" w:color="auto"/>
            </w:tcBorders>
            <w:shd w:val="clear" w:color="auto" w:fill="auto"/>
            <w:vAlign w:val="center"/>
          </w:tcPr>
          <w:p w:rsidR="00913A0A" w:rsidRPr="00C83DF5" w:rsidRDefault="00913A0A" w:rsidP="004D199A">
            <w:pPr>
              <w:pStyle w:val="TableText"/>
              <w:rPr>
                <w:rFonts w:ascii="Tahoma" w:hAnsi="Tahoma" w:cs="Tahoma"/>
                <w:sz w:val="13"/>
              </w:rPr>
            </w:pPr>
            <w:r w:rsidRPr="00C83DF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4479EA">
            <w:pPr>
              <w:pStyle w:val="TableText"/>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8925CF">
            <w:pPr>
              <w:pStyle w:val="TableText"/>
              <w:rPr>
                <w:rFonts w:ascii="Tahoma" w:hAnsi="Tahoma" w:cs="Tahoma"/>
                <w:sz w:val="13"/>
              </w:rPr>
            </w:pPr>
            <w:r w:rsidRPr="00C83D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tcPr>
          <w:p w:rsidR="00913A0A" w:rsidRPr="00C83DF5" w:rsidRDefault="00913A0A">
            <w:pPr>
              <w:pStyle w:val="TableText"/>
              <w:rPr>
                <w:rFonts w:ascii="Tahoma" w:hAnsi="Tahoma" w:cs="Tahoma"/>
                <w:sz w:val="13"/>
              </w:rPr>
            </w:pPr>
            <w:r w:rsidRPr="00C83DF5">
              <w:rPr>
                <w:rFonts w:ascii="Tahoma" w:hAnsi="Tahoma" w:cs="Tahoma"/>
                <w:sz w:val="13"/>
              </w:rPr>
              <w:t>A (nur EES)</w:t>
            </w:r>
          </w:p>
        </w:tc>
        <w:tc>
          <w:tcPr>
            <w:tcW w:w="54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360" w:type="dxa"/>
            <w:tcBorders>
              <w:bottom w:val="single" w:sz="4" w:space="0" w:color="auto"/>
            </w:tcBorders>
          </w:tcPr>
          <w:p w:rsidR="00913A0A" w:rsidRPr="00C83DF5" w:rsidRDefault="00913A0A">
            <w:pPr>
              <w:pStyle w:val="TableText"/>
              <w:rPr>
                <w:rFonts w:ascii="Tahoma" w:hAnsi="Tahoma" w:cs="Tahoma"/>
                <w:sz w:val="13"/>
              </w:rPr>
            </w:pPr>
          </w:p>
        </w:tc>
      </w:tr>
      <w:tr w:rsidR="008A0F85" w:rsidRPr="00C83DF5" w:rsidTr="000627B4">
        <w:trPr>
          <w:trHeight w:val="145"/>
        </w:trPr>
        <w:tc>
          <w:tcPr>
            <w:tcW w:w="2430" w:type="dxa"/>
            <w:tcBorders>
              <w:bottom w:val="single" w:sz="4" w:space="0" w:color="auto"/>
            </w:tcBorders>
            <w:shd w:val="clear" w:color="auto" w:fill="FABF8F"/>
          </w:tcPr>
          <w:p w:rsidR="00913A0A" w:rsidRPr="00C83DF5" w:rsidRDefault="00913A0A" w:rsidP="00D45433">
            <w:pPr>
              <w:pStyle w:val="ProductNames"/>
              <w:rPr>
                <w:rFonts w:ascii="Tahoma" w:hAnsi="Tahoma" w:cs="Tahoma"/>
                <w:position w:val="0"/>
                <w:sz w:val="14"/>
              </w:rPr>
            </w:pPr>
            <w:bookmarkStart w:id="118" w:name="_Toc370983024"/>
            <w:r w:rsidRPr="00C83DF5">
              <w:rPr>
                <w:rFonts w:ascii="Tahoma" w:hAnsi="Tahoma" w:cs="Tahoma"/>
                <w:position w:val="0"/>
                <w:sz w:val="14"/>
              </w:rPr>
              <w:t>Windows</w:t>
            </w:r>
            <w:r w:rsidRPr="00DF3F89">
              <w:rPr>
                <w:rFonts w:ascii="Tahoma" w:hAnsi="Tahoma" w:cs="Tahoma"/>
                <w:position w:val="0"/>
                <w:sz w:val="14"/>
                <w:vertAlign w:val="superscript"/>
              </w:rPr>
              <w:t>®</w:t>
            </w:r>
            <w:r w:rsidRPr="00C83DF5">
              <w:rPr>
                <w:rFonts w:ascii="Tahoma" w:hAnsi="Tahoma" w:cs="Tahoma"/>
                <w:position w:val="0"/>
                <w:sz w:val="14"/>
              </w:rPr>
              <w:t xml:space="preserve"> Embedded 8.1</w:t>
            </w:r>
            <w:r w:rsidR="00D45433">
              <w:rPr>
                <w:rFonts w:ascii="Tahoma" w:hAnsi="Tahoma" w:cs="Tahoma"/>
                <w:position w:val="0"/>
                <w:sz w:val="14"/>
              </w:rPr>
              <w:t xml:space="preserve"> </w:t>
            </w:r>
            <w:r w:rsidR="00D45433">
              <w:rPr>
                <w:rFonts w:ascii="Tahoma" w:hAnsi="Tahoma" w:cs="Tahoma"/>
                <w:position w:val="0"/>
                <w:sz w:val="14"/>
              </w:rPr>
              <w:br/>
            </w:r>
            <w:r w:rsidRPr="00C83DF5">
              <w:rPr>
                <w:rFonts w:ascii="Tahoma" w:hAnsi="Tahoma" w:cs="Tahoma"/>
                <w:position w:val="0"/>
                <w:sz w:val="14"/>
              </w:rPr>
              <w:t>Industry Pro</w:t>
            </w:r>
            <w:bookmarkEnd w:id="118"/>
          </w:p>
        </w:tc>
        <w:tc>
          <w:tcPr>
            <w:tcW w:w="416" w:type="dxa"/>
            <w:tcBorders>
              <w:bottom w:val="single" w:sz="4" w:space="0" w:color="auto"/>
            </w:tcBorders>
            <w:shd w:val="clear" w:color="auto" w:fill="FABF8F"/>
            <w:vAlign w:val="center"/>
          </w:tcPr>
          <w:p w:rsidR="00913A0A" w:rsidRPr="00C83DF5" w:rsidRDefault="005519A5" w:rsidP="003D5C46">
            <w:pPr>
              <w:pStyle w:val="TableText"/>
              <w:widowControl w:val="0"/>
              <w:rPr>
                <w:b/>
                <w:sz w:val="13"/>
                <w:szCs w:val="13"/>
              </w:rPr>
            </w:pPr>
            <w:hyperlink w:anchor="_27_Windows®_Embedded" w:history="1">
              <w:r w:rsidR="00CF5A3E" w:rsidRPr="00C83DF5">
                <w:rPr>
                  <w:rStyle w:val="Hyperlink"/>
                  <w:b/>
                  <w:sz w:val="13"/>
                  <w:szCs w:val="13"/>
                </w:rPr>
                <w:t>28</w:t>
              </w:r>
            </w:hyperlink>
          </w:p>
        </w:tc>
        <w:tc>
          <w:tcPr>
            <w:tcW w:w="450" w:type="dxa"/>
            <w:tcBorders>
              <w:bottom w:val="single" w:sz="4" w:space="0" w:color="auto"/>
            </w:tcBorders>
            <w:shd w:val="clear" w:color="auto" w:fill="FABF8F"/>
            <w:vAlign w:val="center"/>
          </w:tcPr>
          <w:p w:rsidR="00913A0A" w:rsidRPr="00C83DF5" w:rsidRDefault="00ED3095" w:rsidP="004D199A">
            <w:pPr>
              <w:pStyle w:val="TableText"/>
              <w:rPr>
                <w:rFonts w:ascii="Tahoma" w:hAnsi="Tahoma" w:cs="Tahoma"/>
                <w:sz w:val="13"/>
              </w:rPr>
            </w:pPr>
            <w:r w:rsidRPr="00C83DF5">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C83DF5" w:rsidRDefault="00913A0A" w:rsidP="004479EA">
            <w:pPr>
              <w:pStyle w:val="TableText"/>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8925CF">
            <w:pPr>
              <w:pStyle w:val="TableText"/>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C83DF5" w:rsidRDefault="00913A0A">
            <w:pPr>
              <w:pStyle w:val="TableText"/>
              <w:rPr>
                <w:rFonts w:ascii="Tahoma" w:hAnsi="Tahoma" w:cs="Tahoma"/>
                <w:sz w:val="13"/>
              </w:rPr>
            </w:pPr>
            <w:r w:rsidRPr="00C83DF5">
              <w:rPr>
                <w:rFonts w:ascii="Tahoma" w:hAnsi="Tahoma" w:cs="Tahoma"/>
                <w:sz w:val="13"/>
              </w:rPr>
              <w:t>A</w:t>
            </w:r>
          </w:p>
        </w:tc>
      </w:tr>
      <w:tr w:rsidR="00ED3095" w:rsidRPr="00C83DF5" w:rsidTr="000627B4">
        <w:trPr>
          <w:trHeight w:val="145"/>
        </w:trPr>
        <w:tc>
          <w:tcPr>
            <w:tcW w:w="2430" w:type="dxa"/>
            <w:tcBorders>
              <w:bottom w:val="single" w:sz="4" w:space="0" w:color="auto"/>
            </w:tcBorders>
            <w:shd w:val="clear" w:color="auto" w:fill="auto"/>
          </w:tcPr>
          <w:p w:rsidR="00ED3095" w:rsidRPr="00C83DF5" w:rsidRDefault="00ED3095" w:rsidP="00B119D3">
            <w:pPr>
              <w:pStyle w:val="ProductNames"/>
              <w:rPr>
                <w:rFonts w:ascii="Tahoma" w:hAnsi="Tahoma" w:cs="Tahoma"/>
                <w:position w:val="0"/>
                <w:sz w:val="14"/>
              </w:rPr>
            </w:pPr>
            <w:bookmarkStart w:id="119" w:name="_Toc370983025"/>
            <w:r w:rsidRPr="00C83DF5">
              <w:rPr>
                <w:rFonts w:ascii="Tahoma" w:hAnsi="Tahoma" w:cs="Tahoma"/>
                <w:position w:val="0"/>
                <w:sz w:val="14"/>
              </w:rPr>
              <w:t>Windows</w:t>
            </w:r>
            <w:r w:rsidRPr="00DF3F89">
              <w:rPr>
                <w:rFonts w:ascii="Tahoma" w:hAnsi="Tahoma" w:cs="Tahoma"/>
                <w:position w:val="0"/>
                <w:sz w:val="14"/>
                <w:vertAlign w:val="superscript"/>
              </w:rPr>
              <w:t>®</w:t>
            </w:r>
            <w:r w:rsidRPr="00C83DF5">
              <w:rPr>
                <w:rFonts w:ascii="Tahoma" w:hAnsi="Tahoma" w:cs="Tahoma"/>
                <w:position w:val="0"/>
                <w:sz w:val="14"/>
              </w:rPr>
              <w:t xml:space="preserve"> Embedded 8.1</w:t>
            </w:r>
            <w:r w:rsidR="00B119D3">
              <w:rPr>
                <w:rFonts w:ascii="Tahoma" w:hAnsi="Tahoma" w:cs="Tahoma"/>
                <w:position w:val="0"/>
                <w:sz w:val="14"/>
              </w:rPr>
              <w:t> </w:t>
            </w:r>
            <w:r w:rsidRPr="00C83DF5">
              <w:rPr>
                <w:rFonts w:ascii="Tahoma" w:hAnsi="Tahoma" w:cs="Tahoma"/>
                <w:position w:val="0"/>
                <w:sz w:val="14"/>
              </w:rPr>
              <w:t>Industry Pro Sideloading</w:t>
            </w:r>
            <w:bookmarkEnd w:id="119"/>
          </w:p>
        </w:tc>
        <w:tc>
          <w:tcPr>
            <w:tcW w:w="416" w:type="dxa"/>
            <w:tcBorders>
              <w:bottom w:val="single" w:sz="4" w:space="0" w:color="auto"/>
            </w:tcBorders>
            <w:shd w:val="clear" w:color="auto" w:fill="auto"/>
            <w:vAlign w:val="center"/>
          </w:tcPr>
          <w:p w:rsidR="00ED3095" w:rsidRPr="00C83DF5" w:rsidRDefault="005519A5" w:rsidP="003D5C46">
            <w:pPr>
              <w:pStyle w:val="TableText"/>
              <w:widowControl w:val="0"/>
              <w:rPr>
                <w:b/>
                <w:sz w:val="13"/>
                <w:szCs w:val="13"/>
              </w:rPr>
            </w:pPr>
            <w:hyperlink w:anchor="_26_Windows_Embedded" w:history="1">
              <w:r w:rsidR="00CF5A3E" w:rsidRPr="00C83DF5">
                <w:rPr>
                  <w:rStyle w:val="Hyperlink"/>
                  <w:b/>
                  <w:sz w:val="13"/>
                  <w:szCs w:val="13"/>
                </w:rPr>
                <w:t>27</w:t>
              </w:r>
            </w:hyperlink>
          </w:p>
        </w:tc>
        <w:tc>
          <w:tcPr>
            <w:tcW w:w="450" w:type="dxa"/>
            <w:tcBorders>
              <w:bottom w:val="single" w:sz="4" w:space="0" w:color="auto"/>
            </w:tcBorders>
            <w:shd w:val="clear" w:color="auto" w:fill="auto"/>
            <w:vAlign w:val="center"/>
          </w:tcPr>
          <w:p w:rsidR="00ED3095" w:rsidRPr="00C83DF5" w:rsidRDefault="00ED3095" w:rsidP="004D199A">
            <w:pPr>
              <w:pStyle w:val="TableText"/>
              <w:rPr>
                <w:rFonts w:ascii="Tahoma" w:hAnsi="Tahoma" w:cs="Tahoma"/>
                <w:sz w:val="13"/>
              </w:rPr>
            </w:pPr>
            <w:r w:rsidRPr="00C83DF5">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C83DF5" w:rsidRDefault="00ED3095">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ED3095" w:rsidRPr="00C83DF5" w:rsidRDefault="00ED3095">
            <w:pPr>
              <w:pStyle w:val="TableText"/>
              <w:rPr>
                <w:rFonts w:ascii="Tahoma" w:hAnsi="Tahoma" w:cs="Tahoma"/>
                <w:sz w:val="13"/>
              </w:rPr>
            </w:pPr>
            <w:r w:rsidRPr="00C83DF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ED3095" w:rsidRPr="00C83DF5" w:rsidRDefault="00ED3095">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tcBorders>
            <w:shd w:val="clear" w:color="auto" w:fill="auto"/>
            <w:vAlign w:val="center"/>
          </w:tcPr>
          <w:p w:rsidR="00ED3095" w:rsidRPr="00C83DF5" w:rsidRDefault="00ED3095">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C83DF5" w:rsidRDefault="00ED3095">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C83DF5" w:rsidRDefault="00ED3095"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C83DF5" w:rsidRDefault="00ED3095"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C83DF5" w:rsidRDefault="00ED3095">
            <w:pPr>
              <w:pStyle w:val="TableText"/>
              <w:rPr>
                <w:rFonts w:ascii="Tahoma" w:hAnsi="Tahoma" w:cs="Tahoma"/>
                <w:sz w:val="13"/>
              </w:rPr>
            </w:pPr>
          </w:p>
        </w:tc>
        <w:tc>
          <w:tcPr>
            <w:tcW w:w="450" w:type="dxa"/>
            <w:tcBorders>
              <w:bottom w:val="single" w:sz="4" w:space="0" w:color="auto"/>
            </w:tcBorders>
            <w:shd w:val="clear" w:color="auto" w:fill="auto"/>
          </w:tcPr>
          <w:p w:rsidR="00ED3095" w:rsidRPr="00C83DF5" w:rsidRDefault="00ED3095">
            <w:pPr>
              <w:pStyle w:val="TableText"/>
              <w:rPr>
                <w:rFonts w:ascii="Tahoma" w:hAnsi="Tahoma" w:cs="Tahoma"/>
                <w:sz w:val="13"/>
              </w:rPr>
            </w:pPr>
          </w:p>
        </w:tc>
        <w:tc>
          <w:tcPr>
            <w:tcW w:w="540" w:type="dxa"/>
            <w:tcBorders>
              <w:bottom w:val="single" w:sz="4" w:space="0" w:color="auto"/>
            </w:tcBorders>
            <w:shd w:val="clear" w:color="auto" w:fill="auto"/>
            <w:vAlign w:val="center"/>
          </w:tcPr>
          <w:p w:rsidR="00ED3095" w:rsidRPr="00C83DF5" w:rsidRDefault="00ED3095">
            <w:pPr>
              <w:pStyle w:val="TableText"/>
              <w:rPr>
                <w:rFonts w:ascii="Tahoma" w:hAnsi="Tahoma" w:cs="Tahoma"/>
                <w:sz w:val="13"/>
              </w:rPr>
            </w:pPr>
          </w:p>
        </w:tc>
        <w:tc>
          <w:tcPr>
            <w:tcW w:w="360" w:type="dxa"/>
            <w:tcBorders>
              <w:bottom w:val="single" w:sz="4" w:space="0" w:color="auto"/>
            </w:tcBorders>
          </w:tcPr>
          <w:p w:rsidR="00ED3095" w:rsidRPr="00C83DF5" w:rsidRDefault="00ED3095">
            <w:pPr>
              <w:pStyle w:val="TableText"/>
              <w:rPr>
                <w:rFonts w:ascii="Tahoma" w:hAnsi="Tahoma" w:cs="Tahoma"/>
                <w:sz w:val="13"/>
              </w:rPr>
            </w:pPr>
          </w:p>
        </w:tc>
      </w:tr>
      <w:tr w:rsidR="008A0F85" w:rsidRPr="00C83DF5" w:rsidTr="000627B4">
        <w:trPr>
          <w:trHeight w:val="145"/>
        </w:trPr>
        <w:tc>
          <w:tcPr>
            <w:tcW w:w="2430" w:type="dxa"/>
            <w:tcBorders>
              <w:bottom w:val="single" w:sz="4" w:space="0" w:color="auto"/>
            </w:tcBorders>
            <w:shd w:val="clear" w:color="auto" w:fill="FABF8F"/>
          </w:tcPr>
          <w:p w:rsidR="00913A0A" w:rsidRPr="00C83DF5" w:rsidRDefault="00913A0A" w:rsidP="003234A7">
            <w:pPr>
              <w:pStyle w:val="ProductNames"/>
              <w:rPr>
                <w:rFonts w:ascii="Tahoma" w:hAnsi="Tahoma" w:cs="Tahoma"/>
                <w:position w:val="0"/>
                <w:sz w:val="14"/>
              </w:rPr>
            </w:pPr>
            <w:bookmarkStart w:id="120" w:name="_Toc370983026"/>
            <w:r w:rsidRPr="00C83DF5">
              <w:rPr>
                <w:rFonts w:ascii="Tahoma" w:hAnsi="Tahoma" w:cs="Tahoma"/>
                <w:position w:val="0"/>
                <w:sz w:val="14"/>
              </w:rPr>
              <w:t>Windows</w:t>
            </w:r>
            <w:r w:rsidRPr="00DF3F89">
              <w:rPr>
                <w:rFonts w:ascii="Tahoma" w:hAnsi="Tahoma" w:cs="Tahoma"/>
                <w:position w:val="0"/>
                <w:sz w:val="14"/>
                <w:vertAlign w:val="superscript"/>
              </w:rPr>
              <w:t>®</w:t>
            </w:r>
            <w:r w:rsidRPr="00C83DF5">
              <w:rPr>
                <w:rFonts w:ascii="Tahoma" w:hAnsi="Tahoma" w:cs="Tahoma"/>
                <w:position w:val="0"/>
                <w:sz w:val="14"/>
              </w:rPr>
              <w:t xml:space="preserve"> Embedded 8 Standard Enterprise Kit</w:t>
            </w:r>
            <w:bookmarkEnd w:id="120"/>
          </w:p>
        </w:tc>
        <w:tc>
          <w:tcPr>
            <w:tcW w:w="416" w:type="dxa"/>
            <w:tcBorders>
              <w:bottom w:val="single" w:sz="4" w:space="0" w:color="auto"/>
            </w:tcBorders>
            <w:shd w:val="clear" w:color="auto" w:fill="FABF8F"/>
            <w:vAlign w:val="center"/>
          </w:tcPr>
          <w:p w:rsidR="00913A0A" w:rsidRPr="00C83DF5" w:rsidRDefault="005519A5" w:rsidP="003D5C46">
            <w:pPr>
              <w:pStyle w:val="TableText"/>
              <w:widowControl w:val="0"/>
              <w:rPr>
                <w:b/>
                <w:sz w:val="13"/>
                <w:szCs w:val="13"/>
              </w:rPr>
            </w:pPr>
            <w:hyperlink w:anchor="_25_Windows_Embedded" w:history="1">
              <w:r w:rsidR="00CF5A3E" w:rsidRPr="00C83DF5">
                <w:rPr>
                  <w:rStyle w:val="Hyperlink"/>
                  <w:b/>
                  <w:sz w:val="13"/>
                  <w:szCs w:val="13"/>
                </w:rPr>
                <w:t>26</w:t>
              </w:r>
            </w:hyperlink>
          </w:p>
        </w:tc>
        <w:tc>
          <w:tcPr>
            <w:tcW w:w="450" w:type="dxa"/>
            <w:tcBorders>
              <w:bottom w:val="single" w:sz="4" w:space="0" w:color="auto"/>
            </w:tcBorders>
            <w:shd w:val="clear" w:color="auto" w:fill="FABF8F"/>
            <w:vAlign w:val="center"/>
          </w:tcPr>
          <w:p w:rsidR="00913A0A" w:rsidRPr="00C83DF5" w:rsidRDefault="00913A0A" w:rsidP="004D199A">
            <w:pPr>
              <w:pStyle w:val="TableText"/>
              <w:rPr>
                <w:rFonts w:ascii="Tahoma" w:hAnsi="Tahoma" w:cs="Tahoma"/>
                <w:sz w:val="13"/>
              </w:rPr>
            </w:pPr>
            <w:r w:rsidRPr="00C83DF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FABF8F"/>
          </w:tcPr>
          <w:p w:rsidR="00913A0A" w:rsidRPr="00C83DF5" w:rsidRDefault="00913A0A">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C83DF5" w:rsidRDefault="00913A0A">
            <w:pPr>
              <w:pStyle w:val="TableText"/>
              <w:rPr>
                <w:rFonts w:ascii="Tahoma" w:hAnsi="Tahoma" w:cs="Tahoma"/>
                <w:sz w:val="13"/>
              </w:rPr>
            </w:pPr>
          </w:p>
        </w:tc>
      </w:tr>
      <w:tr w:rsidR="0045693C" w:rsidRPr="00C83DF5" w:rsidTr="000627B4">
        <w:trPr>
          <w:trHeight w:val="145"/>
        </w:trPr>
        <w:tc>
          <w:tcPr>
            <w:tcW w:w="2430" w:type="dxa"/>
            <w:tcBorders>
              <w:bottom w:val="single" w:sz="4" w:space="0" w:color="auto"/>
            </w:tcBorders>
            <w:shd w:val="clear" w:color="auto" w:fill="auto"/>
          </w:tcPr>
          <w:p w:rsidR="00913A0A" w:rsidRPr="00C83DF5" w:rsidRDefault="00913A0A" w:rsidP="00F70479">
            <w:pPr>
              <w:pStyle w:val="ProductNames"/>
              <w:rPr>
                <w:rFonts w:ascii="Tahoma" w:hAnsi="Tahoma" w:cs="Tahoma"/>
                <w:position w:val="0"/>
                <w:sz w:val="14"/>
              </w:rPr>
            </w:pPr>
            <w:bookmarkStart w:id="121" w:name="_Toc336337901"/>
            <w:bookmarkStart w:id="122" w:name="_Toc370983027"/>
            <w:r w:rsidRPr="00C83DF5">
              <w:rPr>
                <w:rFonts w:ascii="Tahoma" w:hAnsi="Tahoma" w:cs="Tahoma"/>
                <w:position w:val="0"/>
                <w:sz w:val="14"/>
              </w:rPr>
              <w:t>Vermietungsrechte für Windows</w:t>
            </w:r>
            <w:bookmarkEnd w:id="121"/>
            <w:bookmarkEnd w:id="122"/>
          </w:p>
        </w:tc>
        <w:tc>
          <w:tcPr>
            <w:tcW w:w="416" w:type="dxa"/>
            <w:tcBorders>
              <w:bottom w:val="single" w:sz="4" w:space="0" w:color="auto"/>
            </w:tcBorders>
            <w:shd w:val="clear" w:color="auto" w:fill="auto"/>
            <w:vAlign w:val="center"/>
          </w:tcPr>
          <w:p w:rsidR="00913A0A" w:rsidRPr="00C83DF5" w:rsidRDefault="00913A0A" w:rsidP="008A7B14">
            <w:pPr>
              <w:pStyle w:val="TableText"/>
              <w:widowControl w:val="0"/>
              <w:rPr>
                <w:b/>
                <w:sz w:val="13"/>
                <w:szCs w:val="13"/>
              </w:rPr>
            </w:pPr>
          </w:p>
        </w:tc>
        <w:tc>
          <w:tcPr>
            <w:tcW w:w="450" w:type="dxa"/>
            <w:tcBorders>
              <w:bottom w:val="single" w:sz="4" w:space="0" w:color="auto"/>
            </w:tcBorders>
            <w:shd w:val="clear" w:color="auto" w:fill="auto"/>
            <w:vAlign w:val="center"/>
          </w:tcPr>
          <w:p w:rsidR="00913A0A" w:rsidRPr="00C83DF5" w:rsidRDefault="00913A0A" w:rsidP="004D199A">
            <w:pPr>
              <w:pStyle w:val="TableText"/>
              <w:rPr>
                <w:rFonts w:ascii="Tahoma" w:hAnsi="Tahoma" w:cs="Tahoma"/>
                <w:sz w:val="13"/>
              </w:rPr>
            </w:pPr>
            <w:r w:rsidRPr="00C83DF5">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360" w:type="dxa"/>
            <w:tcBorders>
              <w:bottom w:val="single" w:sz="4" w:space="0" w:color="auto"/>
            </w:tcBorders>
            <w:shd w:val="clear" w:color="auto" w:fill="auto"/>
          </w:tcPr>
          <w:p w:rsidR="00913A0A" w:rsidRPr="00C83DF5" w:rsidRDefault="00913A0A">
            <w:pPr>
              <w:pStyle w:val="TableText"/>
              <w:rPr>
                <w:rFonts w:ascii="Tahoma" w:hAnsi="Tahoma" w:cs="Tahoma"/>
                <w:sz w:val="13"/>
              </w:rPr>
            </w:pPr>
          </w:p>
        </w:tc>
      </w:tr>
      <w:tr w:rsidR="00913A0A" w:rsidRPr="00C83DF5" w:rsidTr="000627B4">
        <w:trPr>
          <w:trHeight w:val="145"/>
        </w:trPr>
        <w:tc>
          <w:tcPr>
            <w:tcW w:w="2430" w:type="dxa"/>
            <w:tcBorders>
              <w:bottom w:val="single" w:sz="4" w:space="0" w:color="auto"/>
            </w:tcBorders>
            <w:shd w:val="clear" w:color="auto" w:fill="FABF8F"/>
          </w:tcPr>
          <w:p w:rsidR="00913A0A" w:rsidRPr="00C83DF5" w:rsidRDefault="00913A0A" w:rsidP="00D513A8">
            <w:pPr>
              <w:pStyle w:val="ProductNames"/>
              <w:rPr>
                <w:rFonts w:ascii="Tahoma" w:hAnsi="Tahoma" w:cs="Tahoma"/>
                <w:position w:val="0"/>
                <w:sz w:val="14"/>
              </w:rPr>
            </w:pPr>
            <w:bookmarkStart w:id="123" w:name="_Toc336337903"/>
            <w:bookmarkStart w:id="124" w:name="_Toc336337902"/>
            <w:bookmarkStart w:id="125" w:name="_Toc370983028"/>
            <w:r w:rsidRPr="00C83DF5">
              <w:rPr>
                <w:rFonts w:ascii="Tahoma" w:hAnsi="Tahoma" w:cs="Tahoma"/>
                <w:position w:val="0"/>
                <w:sz w:val="14"/>
              </w:rPr>
              <w:t>Windows</w:t>
            </w:r>
            <w:r w:rsidRPr="00DF3F89">
              <w:rPr>
                <w:rFonts w:ascii="Tahoma" w:hAnsi="Tahoma" w:cs="Tahoma"/>
                <w:position w:val="0"/>
                <w:sz w:val="14"/>
                <w:vertAlign w:val="superscript"/>
              </w:rPr>
              <w:t>®</w:t>
            </w:r>
            <w:r w:rsidRPr="00C83DF5">
              <w:rPr>
                <w:rFonts w:ascii="Tahoma" w:hAnsi="Tahoma" w:cs="Tahoma"/>
                <w:position w:val="0"/>
                <w:sz w:val="14"/>
              </w:rPr>
              <w:t xml:space="preserve"> 7 Partners in Learning</w:t>
            </w:r>
            <w:bookmarkEnd w:id="123"/>
            <w:bookmarkEnd w:id="125"/>
            <w:r w:rsidRPr="00C83DF5">
              <w:rPr>
                <w:rFonts w:ascii="Tahoma" w:hAnsi="Tahoma" w:cs="Tahoma"/>
                <w:position w:val="0"/>
                <w:sz w:val="14"/>
              </w:rPr>
              <w:t xml:space="preserve"> </w:t>
            </w:r>
            <w:bookmarkEnd w:id="124"/>
          </w:p>
        </w:tc>
        <w:tc>
          <w:tcPr>
            <w:tcW w:w="416" w:type="dxa"/>
            <w:tcBorders>
              <w:bottom w:val="single" w:sz="4" w:space="0" w:color="auto"/>
            </w:tcBorders>
            <w:shd w:val="clear" w:color="auto" w:fill="FABF8F"/>
            <w:vAlign w:val="center"/>
          </w:tcPr>
          <w:p w:rsidR="00913A0A" w:rsidRPr="00C83DF5" w:rsidRDefault="005519A5" w:rsidP="003D4F46">
            <w:pPr>
              <w:pStyle w:val="TableText"/>
              <w:widowControl w:val="0"/>
              <w:rPr>
                <w:b/>
                <w:sz w:val="13"/>
                <w:szCs w:val="13"/>
                <w:u w:val="single"/>
              </w:rPr>
            </w:pPr>
            <w:hyperlink w:anchor="_26_Windows_Vista" w:history="1">
              <w:r w:rsidR="00CF5A3E" w:rsidRPr="00C83DF5">
                <w:rPr>
                  <w:rStyle w:val="Hyperlink"/>
                  <w:b/>
                  <w:sz w:val="13"/>
                  <w:szCs w:val="13"/>
                </w:rPr>
                <w:t>30</w:t>
              </w:r>
            </w:hyperlink>
          </w:p>
        </w:tc>
        <w:tc>
          <w:tcPr>
            <w:tcW w:w="450" w:type="dxa"/>
            <w:tcBorders>
              <w:bottom w:val="single" w:sz="4" w:space="0" w:color="auto"/>
            </w:tcBorders>
            <w:shd w:val="clear" w:color="auto" w:fill="FABF8F"/>
          </w:tcPr>
          <w:p w:rsidR="00913A0A" w:rsidRPr="00C83DF5" w:rsidRDefault="00913A0A" w:rsidP="009124DC">
            <w:pPr>
              <w:pStyle w:val="TableText"/>
              <w:spacing w:before="120"/>
              <w:rPr>
                <w:rFonts w:ascii="Tahoma" w:hAnsi="Tahoma" w:cs="Tahoma"/>
                <w:sz w:val="13"/>
              </w:rPr>
            </w:pPr>
            <w:r w:rsidRPr="00C83DF5">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 xml:space="preserve">2 </w:t>
            </w:r>
            <w:r w:rsidRPr="00C83DF5">
              <w:rPr>
                <w:rFonts w:ascii="Tahoma" w:hAnsi="Tahoma" w:cs="Tahoma"/>
                <w:sz w:val="10"/>
                <w:szCs w:val="12"/>
              </w:rPr>
              <w:t>(nur School</w:t>
            </w: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C83DF5" w:rsidRDefault="00913A0A">
            <w:pPr>
              <w:pStyle w:val="TableText"/>
              <w:rPr>
                <w:rFonts w:ascii="Tahoma" w:hAnsi="Tahoma" w:cs="Tahoma"/>
                <w:sz w:val="13"/>
              </w:rPr>
            </w:pPr>
          </w:p>
        </w:tc>
      </w:tr>
      <w:tr w:rsidR="0045693C" w:rsidRPr="00C83DF5" w:rsidTr="000627B4">
        <w:trPr>
          <w:trHeight w:val="145"/>
        </w:trPr>
        <w:tc>
          <w:tcPr>
            <w:tcW w:w="2430" w:type="dxa"/>
            <w:tcBorders>
              <w:bottom w:val="single" w:sz="4" w:space="0" w:color="auto"/>
            </w:tcBorders>
            <w:shd w:val="clear" w:color="auto" w:fill="auto"/>
          </w:tcPr>
          <w:p w:rsidR="00913A0A" w:rsidRPr="00C83DF5" w:rsidRDefault="00913A0A" w:rsidP="00F70479">
            <w:pPr>
              <w:pStyle w:val="ProductNames"/>
              <w:rPr>
                <w:rFonts w:ascii="Tahoma" w:hAnsi="Tahoma" w:cs="Tahoma"/>
                <w:position w:val="0"/>
                <w:sz w:val="14"/>
              </w:rPr>
            </w:pPr>
            <w:bookmarkStart w:id="126" w:name="_Toc370983029"/>
            <w:r w:rsidRPr="00C83DF5">
              <w:rPr>
                <w:rFonts w:ascii="Tahoma" w:hAnsi="Tahoma" w:cs="Tahoma"/>
                <w:position w:val="0"/>
                <w:sz w:val="14"/>
              </w:rPr>
              <w:t>Windows 8.1 Enterprise Sideloading (100 Pack)</w:t>
            </w:r>
            <w:bookmarkEnd w:id="126"/>
          </w:p>
        </w:tc>
        <w:tc>
          <w:tcPr>
            <w:tcW w:w="416" w:type="dxa"/>
            <w:tcBorders>
              <w:bottom w:val="single" w:sz="4" w:space="0" w:color="auto"/>
            </w:tcBorders>
            <w:shd w:val="clear" w:color="auto" w:fill="auto"/>
            <w:vAlign w:val="center"/>
          </w:tcPr>
          <w:p w:rsidR="00913A0A" w:rsidRPr="00C83DF5" w:rsidRDefault="005519A5" w:rsidP="003D4F46">
            <w:pPr>
              <w:pStyle w:val="TableText"/>
              <w:widowControl w:val="0"/>
            </w:pPr>
            <w:hyperlink w:anchor="_28_Windows®_8" w:history="1">
              <w:r w:rsidR="00CF5A3E" w:rsidRPr="00C83DF5">
                <w:rPr>
                  <w:rStyle w:val="Hyperlink"/>
                  <w:b/>
                  <w:sz w:val="13"/>
                  <w:szCs w:val="13"/>
                </w:rPr>
                <w:t>31</w:t>
              </w:r>
            </w:hyperlink>
          </w:p>
        </w:tc>
        <w:tc>
          <w:tcPr>
            <w:tcW w:w="450" w:type="dxa"/>
            <w:tcBorders>
              <w:bottom w:val="single" w:sz="4" w:space="0" w:color="auto"/>
            </w:tcBorders>
            <w:shd w:val="clear" w:color="auto" w:fill="auto"/>
          </w:tcPr>
          <w:p w:rsidR="00913A0A" w:rsidRPr="00C83DF5" w:rsidRDefault="00913A0A" w:rsidP="009124DC">
            <w:pPr>
              <w:pStyle w:val="TableText"/>
              <w:spacing w:before="120"/>
              <w:rPr>
                <w:rFonts w:ascii="Tahoma" w:hAnsi="Tahoma" w:cs="Tahoma"/>
                <w:sz w:val="13"/>
              </w:rPr>
            </w:pPr>
            <w:r w:rsidRPr="00C83DF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913A0A" w:rsidRPr="00C83DF5" w:rsidRDefault="00913A0A">
            <w:pPr>
              <w:pStyle w:val="TableText"/>
              <w:rPr>
                <w:rFonts w:ascii="Tahoma" w:hAnsi="Tahoma" w:cs="Tahoma"/>
                <w:sz w:val="13"/>
              </w:rPr>
            </w:pPr>
            <w:r w:rsidRPr="00C83DF5">
              <w:rPr>
                <w:rFonts w:ascii="Tahoma" w:hAnsi="Tahoma" w:cs="Tahoma"/>
                <w:sz w:val="13"/>
              </w:rPr>
              <w:t>12</w:t>
            </w: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pPr>
              <w:pStyle w:val="TableText"/>
              <w:rPr>
                <w:rFonts w:ascii="Tahoma" w:hAnsi="Tahoma" w:cs="Tahoma"/>
                <w:sz w:val="13"/>
              </w:rPr>
            </w:pPr>
            <w:r w:rsidRPr="00C83DF5">
              <w:rPr>
                <w:rFonts w:ascii="Tahoma" w:hAnsi="Tahoma" w:cs="Tahoma"/>
                <w:sz w:val="13"/>
              </w:rPr>
              <w:t>12</w:t>
            </w:r>
          </w:p>
        </w:tc>
        <w:tc>
          <w:tcPr>
            <w:tcW w:w="45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4000C7">
            <w:pPr>
              <w:pStyle w:val="TableText"/>
              <w:rPr>
                <w:rFonts w:ascii="Tahoma" w:hAnsi="Tahoma" w:cs="Tahoma"/>
                <w:sz w:val="13"/>
              </w:rPr>
            </w:pPr>
          </w:p>
        </w:tc>
        <w:tc>
          <w:tcPr>
            <w:tcW w:w="540" w:type="dxa"/>
            <w:tcBorders>
              <w:bottom w:val="single" w:sz="4" w:space="0" w:color="auto"/>
            </w:tcBorders>
            <w:shd w:val="clear" w:color="auto" w:fill="auto"/>
            <w:vAlign w:val="center"/>
          </w:tcPr>
          <w:p w:rsidR="00913A0A" w:rsidRPr="00C83DF5" w:rsidRDefault="00913A0A">
            <w:pPr>
              <w:pStyle w:val="TableText"/>
              <w:rPr>
                <w:rFonts w:ascii="Tahoma" w:hAnsi="Tahoma" w:cs="Tahoma"/>
                <w:sz w:val="13"/>
              </w:rPr>
            </w:pPr>
            <w:r w:rsidRPr="00C83DF5">
              <w:rPr>
                <w:rFonts w:ascii="Tahoma" w:hAnsi="Tahoma" w:cs="Tahoma"/>
                <w:sz w:val="13"/>
              </w:rPr>
              <w:t>OL</w:t>
            </w:r>
          </w:p>
        </w:tc>
        <w:tc>
          <w:tcPr>
            <w:tcW w:w="360" w:type="dxa"/>
            <w:tcBorders>
              <w:bottom w:val="single" w:sz="4" w:space="0" w:color="auto"/>
            </w:tcBorders>
            <w:shd w:val="clear" w:color="auto" w:fill="auto"/>
          </w:tcPr>
          <w:p w:rsidR="00913A0A" w:rsidRPr="00C83DF5" w:rsidRDefault="00913A0A">
            <w:pPr>
              <w:pStyle w:val="TableText"/>
              <w:rPr>
                <w:rFonts w:ascii="Tahoma" w:hAnsi="Tahoma" w:cs="Tahoma"/>
                <w:sz w:val="13"/>
              </w:rPr>
            </w:pPr>
          </w:p>
        </w:tc>
      </w:tr>
      <w:tr w:rsidR="00913A0A" w:rsidRPr="00C83DF5" w:rsidTr="000627B4">
        <w:trPr>
          <w:trHeight w:val="145"/>
        </w:trPr>
        <w:tc>
          <w:tcPr>
            <w:tcW w:w="2430" w:type="dxa"/>
            <w:tcBorders>
              <w:bottom w:val="single" w:sz="4" w:space="0" w:color="auto"/>
            </w:tcBorders>
            <w:shd w:val="clear" w:color="auto" w:fill="FABF8F"/>
          </w:tcPr>
          <w:p w:rsidR="00913A0A" w:rsidRPr="00C83DF5" w:rsidRDefault="00913A0A" w:rsidP="00F70479">
            <w:pPr>
              <w:pStyle w:val="ProductNames"/>
              <w:rPr>
                <w:rFonts w:ascii="Tahoma" w:hAnsi="Tahoma" w:cs="Tahoma"/>
                <w:position w:val="0"/>
                <w:sz w:val="14"/>
              </w:rPr>
            </w:pPr>
            <w:bookmarkStart w:id="127" w:name="_Toc336337904"/>
            <w:bookmarkStart w:id="128" w:name="_Toc370983030"/>
            <w:r w:rsidRPr="00C83DF5">
              <w:rPr>
                <w:rFonts w:ascii="Tahoma" w:hAnsi="Tahoma" w:cs="Tahoma"/>
                <w:position w:val="0"/>
                <w:sz w:val="14"/>
              </w:rPr>
              <w:t>Windows</w:t>
            </w:r>
            <w:r w:rsidRPr="00DF3F89">
              <w:rPr>
                <w:rFonts w:ascii="Tahoma" w:hAnsi="Tahoma" w:cs="Tahoma"/>
                <w:position w:val="0"/>
                <w:sz w:val="14"/>
                <w:vertAlign w:val="superscript"/>
              </w:rPr>
              <w:t>®</w:t>
            </w:r>
            <w:r w:rsidRPr="00C83DF5">
              <w:rPr>
                <w:rFonts w:ascii="Tahoma" w:hAnsi="Tahoma" w:cs="Tahoma"/>
                <w:position w:val="0"/>
                <w:sz w:val="14"/>
              </w:rPr>
              <w:t xml:space="preserve"> 8.1 Pro</w:t>
            </w:r>
            <w:bookmarkEnd w:id="127"/>
            <w:bookmarkEnd w:id="128"/>
            <w:r w:rsidRPr="00C83DF5">
              <w:rPr>
                <w:rFonts w:ascii="Tahoma" w:hAnsi="Tahoma" w:cs="Tahoma"/>
                <w:position w:val="0"/>
                <w:sz w:val="14"/>
              </w:rPr>
              <w:t xml:space="preserve"> </w:t>
            </w:r>
          </w:p>
        </w:tc>
        <w:tc>
          <w:tcPr>
            <w:tcW w:w="416"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b w:val="0"/>
                <w:color w:val="0000FF"/>
                <w:sz w:val="13"/>
                <w:szCs w:val="13"/>
                <w:u w:val="single"/>
              </w:rPr>
            </w:pPr>
            <w:hyperlink w:anchor="_29_Windows®_8" w:history="1">
              <w:r w:rsidR="00CF5A3E" w:rsidRPr="00C83DF5">
                <w:rPr>
                  <w:rStyle w:val="Hyperlink"/>
                  <w:b/>
                  <w:sz w:val="13"/>
                  <w:szCs w:val="13"/>
                </w:rPr>
                <w:t>32</w:t>
              </w:r>
            </w:hyperlink>
            <w:hyperlink w:anchor="_29_Windows®_8" w:history="1"/>
          </w:p>
        </w:tc>
        <w:tc>
          <w:tcPr>
            <w:tcW w:w="450" w:type="dxa"/>
            <w:tcBorders>
              <w:bottom w:val="single" w:sz="4" w:space="0" w:color="auto"/>
            </w:tcBorders>
            <w:shd w:val="clear" w:color="auto" w:fill="FABF8F"/>
          </w:tcPr>
          <w:p w:rsidR="00913A0A" w:rsidRPr="00C83DF5" w:rsidRDefault="00ED3095" w:rsidP="009124DC">
            <w:pPr>
              <w:pStyle w:val="TableText"/>
              <w:spacing w:before="120"/>
              <w:rPr>
                <w:rFonts w:ascii="Tahoma" w:hAnsi="Tahoma" w:cs="Tahoma"/>
                <w:sz w:val="13"/>
              </w:rPr>
            </w:pPr>
            <w:r w:rsidRPr="00C83DF5">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5</w:t>
            </w: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4</w:t>
            </w: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3</w:t>
            </w: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3</w:t>
            </w: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E, P</w:t>
            </w:r>
          </w:p>
        </w:tc>
        <w:tc>
          <w:tcPr>
            <w:tcW w:w="450" w:type="dxa"/>
            <w:tcBorders>
              <w:bottom w:val="single" w:sz="4" w:space="0" w:color="auto"/>
            </w:tcBorders>
            <w:shd w:val="clear" w:color="auto" w:fill="FABF8F"/>
            <w:vAlign w:val="center"/>
          </w:tcPr>
          <w:p w:rsidR="00913A0A" w:rsidRPr="00C83DF5" w:rsidRDefault="00913A0A" w:rsidP="004000C7">
            <w:pPr>
              <w:pStyle w:val="TableText"/>
              <w:rPr>
                <w:rFonts w:ascii="Tahoma" w:hAnsi="Tahoma" w:cs="Tahoma"/>
                <w:sz w:val="13"/>
              </w:rPr>
            </w:pPr>
            <w:r w:rsidRPr="00C83DF5">
              <w:rPr>
                <w:rFonts w:ascii="Tahoma" w:hAnsi="Tahoma" w:cs="Tahoma"/>
                <w:sz w:val="13"/>
              </w:rPr>
              <w:t>E,ST</w:t>
            </w:r>
          </w:p>
        </w:tc>
        <w:tc>
          <w:tcPr>
            <w:tcW w:w="54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C83DF5" w:rsidRDefault="00913A0A">
            <w:pPr>
              <w:pStyle w:val="TableText"/>
              <w:rPr>
                <w:rFonts w:ascii="Tahoma" w:hAnsi="Tahoma" w:cs="Tahoma"/>
                <w:sz w:val="13"/>
              </w:rPr>
            </w:pPr>
          </w:p>
        </w:tc>
      </w:tr>
      <w:tr w:rsidR="0045693C" w:rsidRPr="00C83DF5" w:rsidTr="000627B4">
        <w:trPr>
          <w:trHeight w:val="145"/>
        </w:trPr>
        <w:tc>
          <w:tcPr>
            <w:tcW w:w="2430" w:type="dxa"/>
            <w:tcBorders>
              <w:bottom w:val="single" w:sz="4" w:space="0" w:color="auto"/>
            </w:tcBorders>
            <w:shd w:val="clear" w:color="auto" w:fill="auto"/>
          </w:tcPr>
          <w:p w:rsidR="00913A0A" w:rsidRPr="00C83DF5" w:rsidRDefault="00913A0A" w:rsidP="00F70479">
            <w:pPr>
              <w:pStyle w:val="ProductNames"/>
              <w:rPr>
                <w:rFonts w:ascii="Tahoma" w:hAnsi="Tahoma" w:cs="Tahoma"/>
                <w:position w:val="0"/>
                <w:sz w:val="14"/>
              </w:rPr>
            </w:pPr>
            <w:bookmarkStart w:id="129" w:name="_Toc336337905"/>
            <w:bookmarkStart w:id="130" w:name="_Toc370983031"/>
            <w:r w:rsidRPr="00C83DF5">
              <w:rPr>
                <w:rFonts w:ascii="Tahoma" w:hAnsi="Tahoma" w:cs="Tahoma"/>
                <w:position w:val="0"/>
                <w:sz w:val="14"/>
              </w:rPr>
              <w:t>Windows</w:t>
            </w:r>
            <w:r w:rsidRPr="00DF3F89">
              <w:rPr>
                <w:rFonts w:ascii="Tahoma" w:hAnsi="Tahoma" w:cs="Tahoma"/>
                <w:position w:val="0"/>
                <w:sz w:val="14"/>
                <w:vertAlign w:val="superscript"/>
              </w:rPr>
              <w:t>®</w:t>
            </w:r>
            <w:r w:rsidRPr="00C83DF5">
              <w:rPr>
                <w:rFonts w:ascii="Tahoma" w:hAnsi="Tahoma" w:cs="Tahoma"/>
                <w:position w:val="0"/>
                <w:sz w:val="14"/>
              </w:rPr>
              <w:t xml:space="preserve"> 8.1 Pro mit MDOP</w:t>
            </w:r>
            <w:bookmarkEnd w:id="129"/>
            <w:bookmarkEnd w:id="130"/>
            <w:r w:rsidRPr="00C83DF5">
              <w:rPr>
                <w:rFonts w:ascii="Tahoma" w:hAnsi="Tahoma" w:cs="Tahoma"/>
                <w:position w:val="0"/>
                <w:sz w:val="14"/>
              </w:rPr>
              <w:t xml:space="preserve"> </w:t>
            </w:r>
          </w:p>
        </w:tc>
        <w:tc>
          <w:tcPr>
            <w:tcW w:w="416" w:type="dxa"/>
            <w:tcBorders>
              <w:bottom w:val="single" w:sz="4" w:space="0" w:color="auto"/>
            </w:tcBorders>
            <w:shd w:val="clear" w:color="auto" w:fill="auto"/>
            <w:vAlign w:val="center"/>
          </w:tcPr>
          <w:p w:rsidR="00913A0A" w:rsidRPr="00C83DF5" w:rsidRDefault="00913A0A"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913A0A" w:rsidRPr="00C83DF5" w:rsidRDefault="00ED3095" w:rsidP="00690165">
            <w:pPr>
              <w:pStyle w:val="TableText"/>
              <w:spacing w:before="120"/>
              <w:rPr>
                <w:rFonts w:ascii="Tahoma" w:hAnsi="Tahoma" w:cs="Tahoma"/>
                <w:sz w:val="13"/>
              </w:rPr>
            </w:pPr>
            <w:r w:rsidRPr="00C83DF5">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6</w:t>
            </w:r>
          </w:p>
        </w:tc>
        <w:tc>
          <w:tcPr>
            <w:tcW w:w="450" w:type="dxa"/>
            <w:tcBorders>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5</w:t>
            </w:r>
          </w:p>
        </w:tc>
        <w:tc>
          <w:tcPr>
            <w:tcW w:w="450" w:type="dxa"/>
            <w:tcBorders>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4</w:t>
            </w:r>
          </w:p>
        </w:tc>
        <w:tc>
          <w:tcPr>
            <w:tcW w:w="450" w:type="dxa"/>
            <w:tcBorders>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3</w:t>
            </w:r>
          </w:p>
        </w:tc>
        <w:tc>
          <w:tcPr>
            <w:tcW w:w="450" w:type="dxa"/>
            <w:tcBorders>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5D1AD1">
            <w:pPr>
              <w:pStyle w:val="TableText"/>
              <w:rPr>
                <w:rFonts w:ascii="Tahoma" w:hAnsi="Tahoma" w:cs="Tahoma"/>
                <w:sz w:val="13"/>
              </w:rPr>
            </w:pPr>
            <w:r w:rsidRPr="00C83DF5">
              <w:rPr>
                <w:rFonts w:ascii="Tahoma" w:hAnsi="Tahoma" w:cs="Tahoma"/>
                <w:sz w:val="13"/>
              </w:rPr>
              <w:t>E, P</w:t>
            </w:r>
          </w:p>
        </w:tc>
        <w:tc>
          <w:tcPr>
            <w:tcW w:w="450" w:type="dxa"/>
            <w:tcBorders>
              <w:bottom w:val="single" w:sz="4" w:space="0" w:color="auto"/>
            </w:tcBorders>
            <w:shd w:val="clear" w:color="auto" w:fill="auto"/>
            <w:vAlign w:val="center"/>
          </w:tcPr>
          <w:p w:rsidR="00913A0A" w:rsidRPr="00C83DF5" w:rsidRDefault="00913A0A" w:rsidP="004000C7">
            <w:pPr>
              <w:pStyle w:val="TableText"/>
              <w:rPr>
                <w:rFonts w:ascii="Tahoma" w:hAnsi="Tahoma" w:cs="Tahoma"/>
                <w:sz w:val="13"/>
              </w:rPr>
            </w:pPr>
            <w:r w:rsidRPr="00C83DF5">
              <w:rPr>
                <w:rFonts w:ascii="Tahoma" w:hAnsi="Tahoma" w:cs="Tahoma"/>
                <w:sz w:val="13"/>
              </w:rPr>
              <w:t>E,ST</w:t>
            </w:r>
          </w:p>
        </w:tc>
        <w:tc>
          <w:tcPr>
            <w:tcW w:w="540" w:type="dxa"/>
            <w:tcBorders>
              <w:bottom w:val="single" w:sz="4" w:space="0" w:color="auto"/>
            </w:tcBorders>
            <w:shd w:val="clear" w:color="auto" w:fill="auto"/>
            <w:vAlign w:val="center"/>
          </w:tcPr>
          <w:p w:rsidR="00913A0A" w:rsidRPr="00C83DF5" w:rsidRDefault="00913A0A" w:rsidP="005D1AD1">
            <w:pPr>
              <w:pStyle w:val="TableText"/>
              <w:rPr>
                <w:rFonts w:ascii="Tahoma" w:hAnsi="Tahoma" w:cs="Tahoma"/>
                <w:sz w:val="13"/>
              </w:rPr>
            </w:pPr>
          </w:p>
        </w:tc>
        <w:tc>
          <w:tcPr>
            <w:tcW w:w="360" w:type="dxa"/>
            <w:tcBorders>
              <w:bottom w:val="single" w:sz="4" w:space="0" w:color="auto"/>
            </w:tcBorders>
            <w:shd w:val="clear" w:color="auto" w:fill="auto"/>
          </w:tcPr>
          <w:p w:rsidR="00913A0A" w:rsidRPr="00C83DF5" w:rsidRDefault="00913A0A" w:rsidP="005D1AD1">
            <w:pPr>
              <w:pStyle w:val="TableText"/>
              <w:rPr>
                <w:rFonts w:ascii="Tahoma" w:hAnsi="Tahoma" w:cs="Tahoma"/>
                <w:sz w:val="13"/>
              </w:rPr>
            </w:pPr>
          </w:p>
        </w:tc>
      </w:tr>
      <w:tr w:rsidR="00913A0A" w:rsidRPr="00C83DF5" w:rsidTr="000627B4">
        <w:trPr>
          <w:trHeight w:val="123"/>
        </w:trPr>
        <w:tc>
          <w:tcPr>
            <w:tcW w:w="2430" w:type="dxa"/>
            <w:shd w:val="clear" w:color="auto" w:fill="FABF8F"/>
          </w:tcPr>
          <w:p w:rsidR="00913A0A" w:rsidRPr="00C83DF5" w:rsidRDefault="00913A0A" w:rsidP="00B119D3">
            <w:pPr>
              <w:pStyle w:val="ProductNames"/>
              <w:spacing w:before="40" w:after="40"/>
              <w:rPr>
                <w:rFonts w:ascii="Tahoma" w:hAnsi="Tahoma" w:cs="Tahoma"/>
                <w:position w:val="0"/>
                <w:sz w:val="14"/>
              </w:rPr>
            </w:pPr>
            <w:bookmarkStart w:id="131" w:name="_Toc336337906"/>
            <w:bookmarkStart w:id="132" w:name="_Toc370983032"/>
            <w:r w:rsidRPr="00C83DF5">
              <w:rPr>
                <w:rFonts w:ascii="Tahoma" w:hAnsi="Tahoma" w:cs="Tahoma"/>
                <w:position w:val="0"/>
                <w:sz w:val="14"/>
              </w:rPr>
              <w:t>Windows Virtual Desktop Access</w:t>
            </w:r>
            <w:r w:rsidR="00B119D3">
              <w:rPr>
                <w:rFonts w:ascii="Tahoma" w:hAnsi="Tahoma" w:cs="Tahoma"/>
                <w:position w:val="0"/>
                <w:sz w:val="14"/>
              </w:rPr>
              <w:t> </w:t>
            </w:r>
            <w:r w:rsidRPr="00C83DF5">
              <w:rPr>
                <w:rFonts w:ascii="Tahoma" w:hAnsi="Tahoma" w:cs="Tahoma"/>
                <w:position w:val="0"/>
                <w:sz w:val="14"/>
              </w:rPr>
              <w:t>(VDA)</w:t>
            </w:r>
            <w:bookmarkEnd w:id="131"/>
            <w:bookmarkEnd w:id="132"/>
          </w:p>
        </w:tc>
        <w:tc>
          <w:tcPr>
            <w:tcW w:w="416" w:type="dxa"/>
            <w:shd w:val="clear" w:color="auto" w:fill="FABF8F"/>
            <w:vAlign w:val="center"/>
          </w:tcPr>
          <w:p w:rsidR="00913A0A" w:rsidRPr="00C83DF5" w:rsidRDefault="00913A0A">
            <w:pPr>
              <w:pStyle w:val="TableText"/>
              <w:widowControl w:val="0"/>
              <w:rPr>
                <w:rStyle w:val="EndnoteReference"/>
                <w:rFonts w:ascii="Tahoma" w:hAnsi="Tahoma"/>
                <w:color w:val="0000FF"/>
                <w:sz w:val="13"/>
                <w:szCs w:val="13"/>
              </w:rPr>
            </w:pPr>
          </w:p>
        </w:tc>
        <w:tc>
          <w:tcPr>
            <w:tcW w:w="450" w:type="dxa"/>
            <w:shd w:val="clear" w:color="auto" w:fill="FABF8F"/>
            <w:vAlign w:val="center"/>
          </w:tcPr>
          <w:p w:rsidR="00913A0A" w:rsidRPr="00C83DF5" w:rsidRDefault="00913A0A" w:rsidP="007E466C">
            <w:pPr>
              <w:pStyle w:val="TableText"/>
              <w:rPr>
                <w:rFonts w:ascii="Tahoma" w:hAnsi="Tahoma" w:cs="Tahoma"/>
                <w:sz w:val="13"/>
              </w:rPr>
            </w:pPr>
            <w:r w:rsidRPr="00C83DF5">
              <w:rPr>
                <w:rFonts w:ascii="Tahoma" w:hAnsi="Tahoma" w:cs="Tahoma"/>
                <w:sz w:val="13"/>
              </w:rPr>
              <w:t>07/10</w:t>
            </w:r>
          </w:p>
        </w:tc>
        <w:tc>
          <w:tcPr>
            <w:tcW w:w="360" w:type="dxa"/>
            <w:tcBorders>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2</w:t>
            </w:r>
          </w:p>
        </w:tc>
        <w:tc>
          <w:tcPr>
            <w:tcW w:w="450" w:type="dxa"/>
            <w:tcBorders>
              <w:lef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shd w:val="clear" w:color="auto" w:fill="FABF8F"/>
            <w:vAlign w:val="center"/>
          </w:tcPr>
          <w:p w:rsidR="00913A0A" w:rsidRPr="00C83DF5" w:rsidRDefault="00913A0A">
            <w:pPr>
              <w:pStyle w:val="TableText"/>
              <w:rPr>
                <w:rFonts w:ascii="Tahoma" w:hAnsi="Tahoma" w:cs="Tahoma"/>
                <w:sz w:val="13"/>
              </w:rPr>
            </w:pPr>
          </w:p>
        </w:tc>
        <w:tc>
          <w:tcPr>
            <w:tcW w:w="450" w:type="dxa"/>
            <w:tcBorders>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1)</w:t>
            </w:r>
          </w:p>
        </w:tc>
        <w:tc>
          <w:tcPr>
            <w:tcW w:w="450" w:type="dxa"/>
            <w:tcBorders>
              <w:right w:val="single" w:sz="18" w:space="0" w:color="auto"/>
            </w:tcBorders>
            <w:shd w:val="clear" w:color="auto" w:fill="FABF8F"/>
            <w:vAlign w:val="center"/>
          </w:tcPr>
          <w:p w:rsidR="00913A0A" w:rsidRPr="00C83DF5" w:rsidRDefault="00913A0A" w:rsidP="00BD5039">
            <w:pPr>
              <w:pStyle w:val="TableText"/>
              <w:rPr>
                <w:rFonts w:ascii="Tahoma" w:hAnsi="Tahoma" w:cs="Tahoma"/>
                <w:sz w:val="13"/>
              </w:rPr>
            </w:pPr>
            <w:r w:rsidRPr="00C83DF5">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r w:rsidRPr="00C83DF5">
              <w:rPr>
                <w:rFonts w:ascii="Tahoma" w:hAnsi="Tahoma" w:cs="Tahoma"/>
                <w:sz w:val="13"/>
              </w:rPr>
              <w:t>P</w:t>
            </w:r>
          </w:p>
        </w:tc>
        <w:tc>
          <w:tcPr>
            <w:tcW w:w="450" w:type="dxa"/>
            <w:shd w:val="clear" w:color="auto" w:fill="FABF8F"/>
            <w:vAlign w:val="center"/>
          </w:tcPr>
          <w:p w:rsidR="00913A0A" w:rsidRPr="00C83DF5" w:rsidRDefault="00913A0A" w:rsidP="00722522">
            <w:pPr>
              <w:pStyle w:val="TableText"/>
              <w:rPr>
                <w:rFonts w:ascii="Tahoma" w:hAnsi="Tahoma" w:cs="Tahoma"/>
                <w:sz w:val="13"/>
              </w:rPr>
            </w:pPr>
            <w:r w:rsidRPr="00C83DF5">
              <w:rPr>
                <w:rFonts w:ascii="Tahoma" w:hAnsi="Tahoma" w:cs="Tahoma"/>
                <w:sz w:val="13"/>
              </w:rPr>
              <w:t>A</w:t>
            </w:r>
          </w:p>
        </w:tc>
        <w:tc>
          <w:tcPr>
            <w:tcW w:w="540" w:type="dxa"/>
            <w:shd w:val="clear" w:color="auto" w:fill="FABF8F"/>
            <w:vAlign w:val="center"/>
          </w:tcPr>
          <w:p w:rsidR="00913A0A" w:rsidRPr="00C83DF5" w:rsidRDefault="00913A0A">
            <w:pPr>
              <w:pStyle w:val="TableText"/>
              <w:rPr>
                <w:rFonts w:ascii="Tahoma" w:hAnsi="Tahoma" w:cs="Tahoma"/>
                <w:sz w:val="13"/>
              </w:rPr>
            </w:pPr>
          </w:p>
        </w:tc>
        <w:tc>
          <w:tcPr>
            <w:tcW w:w="360" w:type="dxa"/>
            <w:shd w:val="clear" w:color="auto" w:fill="FABF8F"/>
          </w:tcPr>
          <w:p w:rsidR="00913A0A" w:rsidRPr="00C83DF5" w:rsidRDefault="00913A0A">
            <w:pPr>
              <w:pStyle w:val="TableText"/>
              <w:rPr>
                <w:rFonts w:ascii="Tahoma" w:hAnsi="Tahoma" w:cs="Tahoma"/>
                <w:sz w:val="13"/>
              </w:rPr>
            </w:pPr>
          </w:p>
        </w:tc>
      </w:tr>
      <w:tr w:rsidR="008A0F85" w:rsidRPr="00C83DF5" w:rsidTr="000627B4">
        <w:trPr>
          <w:trHeight w:val="123"/>
        </w:trPr>
        <w:tc>
          <w:tcPr>
            <w:tcW w:w="2430" w:type="dxa"/>
            <w:shd w:val="clear" w:color="auto" w:fill="auto"/>
          </w:tcPr>
          <w:p w:rsidR="00913A0A" w:rsidRPr="00C83DF5" w:rsidRDefault="00913A0A" w:rsidP="00F70479">
            <w:pPr>
              <w:pStyle w:val="ProductNames"/>
              <w:rPr>
                <w:rFonts w:ascii="Tahoma" w:hAnsi="Tahoma" w:cs="Tahoma"/>
                <w:position w:val="0"/>
                <w:sz w:val="14"/>
              </w:rPr>
            </w:pPr>
            <w:bookmarkStart w:id="133" w:name="_Toc370983033"/>
            <w:r w:rsidRPr="00C83DF5">
              <w:rPr>
                <w:rFonts w:ascii="Tahoma" w:hAnsi="Tahoma" w:cs="Tahoma"/>
                <w:position w:val="0"/>
                <w:sz w:val="14"/>
              </w:rPr>
              <w:t>Windows Intune (Pro Gerät)</w:t>
            </w:r>
            <w:bookmarkEnd w:id="133"/>
          </w:p>
        </w:tc>
        <w:tc>
          <w:tcPr>
            <w:tcW w:w="416" w:type="dxa"/>
            <w:shd w:val="clear" w:color="auto" w:fill="auto"/>
            <w:vAlign w:val="center"/>
          </w:tcPr>
          <w:p w:rsidR="00913A0A" w:rsidRPr="00C83DF5" w:rsidRDefault="005519A5" w:rsidP="003D4F46">
            <w:pPr>
              <w:pStyle w:val="TableText"/>
              <w:widowControl w:val="0"/>
              <w:rPr>
                <w:rStyle w:val="EndnoteReference"/>
                <w:b w:val="0"/>
                <w:color w:val="0000FF"/>
                <w:sz w:val="13"/>
                <w:szCs w:val="13"/>
              </w:rPr>
            </w:pPr>
            <w:hyperlink w:anchor="_29_Windows®_8" w:history="1">
              <w:r w:rsidR="00CF5A3E" w:rsidRPr="00C83DF5">
                <w:rPr>
                  <w:rStyle w:val="Hyperlink"/>
                  <w:b/>
                  <w:sz w:val="13"/>
                  <w:szCs w:val="13"/>
                </w:rPr>
                <w:t>32</w:t>
              </w:r>
            </w:hyperlink>
          </w:p>
        </w:tc>
        <w:tc>
          <w:tcPr>
            <w:tcW w:w="450" w:type="dxa"/>
            <w:shd w:val="clear" w:color="auto" w:fill="auto"/>
          </w:tcPr>
          <w:p w:rsidR="00913A0A" w:rsidRPr="00C83DF5" w:rsidRDefault="00913A0A" w:rsidP="006640D1">
            <w:pPr>
              <w:pStyle w:val="TableText"/>
              <w:spacing w:before="120"/>
              <w:rPr>
                <w:rFonts w:ascii="Tahoma" w:hAnsi="Tahoma" w:cs="Tahoma"/>
                <w:sz w:val="13"/>
              </w:rPr>
            </w:pPr>
            <w:r w:rsidRPr="00C83DF5">
              <w:rPr>
                <w:rFonts w:ascii="Tahoma" w:hAnsi="Tahoma" w:cs="Tahoma"/>
                <w:sz w:val="13"/>
              </w:rPr>
              <w:t>04/11</w:t>
            </w:r>
          </w:p>
        </w:tc>
        <w:tc>
          <w:tcPr>
            <w:tcW w:w="360" w:type="dxa"/>
            <w:tcBorders>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shd w:val="clear" w:color="auto" w:fill="auto"/>
            <w:vAlign w:val="center"/>
          </w:tcPr>
          <w:p w:rsidR="00913A0A" w:rsidRPr="00C83DF5" w:rsidRDefault="00913A0A">
            <w:pPr>
              <w:pStyle w:val="TableText"/>
              <w:rPr>
                <w:rFonts w:ascii="Tahoma" w:hAnsi="Tahoma" w:cs="Tahoma"/>
                <w:sz w:val="13"/>
              </w:rPr>
            </w:pPr>
          </w:p>
        </w:tc>
        <w:tc>
          <w:tcPr>
            <w:tcW w:w="450" w:type="dxa"/>
            <w:tcBorders>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lef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tcBorders>
              <w:right w:val="single" w:sz="18" w:space="0" w:color="auto"/>
            </w:tcBorders>
            <w:shd w:val="clear" w:color="auto" w:fill="auto"/>
            <w:vAlign w:val="center"/>
          </w:tcPr>
          <w:p w:rsidR="00913A0A" w:rsidRPr="00C83DF5" w:rsidRDefault="00913A0A"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C83DF5" w:rsidRDefault="00913A0A">
            <w:pPr>
              <w:pStyle w:val="TableText"/>
              <w:rPr>
                <w:rFonts w:ascii="Tahoma" w:hAnsi="Tahoma" w:cs="Tahoma"/>
                <w:sz w:val="13"/>
              </w:rPr>
            </w:pPr>
          </w:p>
        </w:tc>
        <w:tc>
          <w:tcPr>
            <w:tcW w:w="450" w:type="dxa"/>
            <w:shd w:val="clear" w:color="auto" w:fill="auto"/>
            <w:vAlign w:val="center"/>
          </w:tcPr>
          <w:p w:rsidR="00913A0A" w:rsidRPr="00C83DF5" w:rsidRDefault="00913A0A" w:rsidP="00722522">
            <w:pPr>
              <w:pStyle w:val="TableText"/>
              <w:rPr>
                <w:rFonts w:ascii="Tahoma" w:hAnsi="Tahoma" w:cs="Tahoma"/>
                <w:sz w:val="13"/>
              </w:rPr>
            </w:pPr>
          </w:p>
        </w:tc>
        <w:tc>
          <w:tcPr>
            <w:tcW w:w="540" w:type="dxa"/>
            <w:shd w:val="clear" w:color="auto" w:fill="auto"/>
            <w:vAlign w:val="center"/>
          </w:tcPr>
          <w:p w:rsidR="00913A0A" w:rsidRPr="00C83DF5" w:rsidRDefault="00913A0A">
            <w:pPr>
              <w:pStyle w:val="TableText"/>
              <w:rPr>
                <w:rFonts w:ascii="Tahoma" w:hAnsi="Tahoma" w:cs="Tahoma"/>
                <w:sz w:val="13"/>
              </w:rPr>
            </w:pPr>
          </w:p>
        </w:tc>
        <w:tc>
          <w:tcPr>
            <w:tcW w:w="360" w:type="dxa"/>
            <w:shd w:val="clear" w:color="auto" w:fill="auto"/>
          </w:tcPr>
          <w:p w:rsidR="00913A0A" w:rsidRPr="00C83DF5" w:rsidRDefault="00913A0A">
            <w:pPr>
              <w:pStyle w:val="TableText"/>
              <w:rPr>
                <w:rFonts w:ascii="Tahoma" w:hAnsi="Tahoma" w:cs="Tahoma"/>
                <w:sz w:val="13"/>
              </w:rPr>
            </w:pPr>
          </w:p>
        </w:tc>
      </w:tr>
      <w:tr w:rsidR="00913A0A" w:rsidRPr="00C83DF5" w:rsidTr="000627B4">
        <w:trPr>
          <w:trHeight w:val="123"/>
        </w:trPr>
        <w:tc>
          <w:tcPr>
            <w:tcW w:w="2430" w:type="dxa"/>
            <w:tcBorders>
              <w:bottom w:val="single" w:sz="4" w:space="0" w:color="auto"/>
            </w:tcBorders>
            <w:shd w:val="clear" w:color="auto" w:fill="FABF8F"/>
          </w:tcPr>
          <w:p w:rsidR="00913A0A" w:rsidRPr="00C83DF5" w:rsidRDefault="00913A0A" w:rsidP="00837184">
            <w:pPr>
              <w:pStyle w:val="ProductNames"/>
              <w:rPr>
                <w:rFonts w:ascii="Tahoma" w:hAnsi="Tahoma" w:cs="Tahoma"/>
                <w:position w:val="0"/>
                <w:sz w:val="14"/>
              </w:rPr>
            </w:pPr>
            <w:bookmarkStart w:id="134" w:name="_Toc370983034"/>
            <w:r w:rsidRPr="00C83DF5">
              <w:rPr>
                <w:rFonts w:ascii="Tahoma" w:hAnsi="Tahoma" w:cs="Tahoma"/>
                <w:position w:val="0"/>
                <w:sz w:val="14"/>
              </w:rPr>
              <w:t>Windows Intune-Add-On (Pro</w:t>
            </w:r>
            <w:r w:rsidR="00837184">
              <w:rPr>
                <w:rFonts w:ascii="Tahoma" w:hAnsi="Tahoma" w:cs="Tahoma"/>
                <w:position w:val="0"/>
                <w:sz w:val="14"/>
              </w:rPr>
              <w:t> </w:t>
            </w:r>
            <w:r w:rsidRPr="00C83DF5">
              <w:rPr>
                <w:rFonts w:ascii="Tahoma" w:hAnsi="Tahoma" w:cs="Tahoma"/>
                <w:position w:val="0"/>
                <w:sz w:val="14"/>
              </w:rPr>
              <w:t>Gerät)</w:t>
            </w:r>
            <w:bookmarkEnd w:id="134"/>
          </w:p>
        </w:tc>
        <w:tc>
          <w:tcPr>
            <w:tcW w:w="416"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b w:val="0"/>
                <w:color w:val="0000FF"/>
                <w:sz w:val="13"/>
                <w:szCs w:val="13"/>
              </w:rPr>
            </w:pPr>
            <w:hyperlink w:anchor="_98_Windows_Multipoint" w:history="1">
              <w:r w:rsidR="00CF5A3E" w:rsidRPr="00C83DF5">
                <w:rPr>
                  <w:rStyle w:val="Hyperlink"/>
                  <w:b/>
                  <w:sz w:val="13"/>
                  <w:szCs w:val="13"/>
                </w:rPr>
                <w:t>33</w:t>
              </w:r>
            </w:hyperlink>
            <w:hyperlink w:anchor="Sys_27WindowsVistaProUpgrade" w:history="1"/>
          </w:p>
        </w:tc>
        <w:tc>
          <w:tcPr>
            <w:tcW w:w="450" w:type="dxa"/>
            <w:tcBorders>
              <w:bottom w:val="single" w:sz="4" w:space="0" w:color="auto"/>
            </w:tcBorders>
            <w:shd w:val="clear" w:color="auto" w:fill="FABF8F"/>
          </w:tcPr>
          <w:p w:rsidR="00913A0A" w:rsidRPr="00C83DF5" w:rsidRDefault="00913A0A" w:rsidP="00163658">
            <w:pPr>
              <w:pStyle w:val="TableText"/>
              <w:spacing w:before="120"/>
              <w:rPr>
                <w:rFonts w:ascii="Tahoma" w:hAnsi="Tahoma" w:cs="Tahoma"/>
                <w:sz w:val="13"/>
              </w:rPr>
            </w:pPr>
            <w:r w:rsidRPr="00C83DF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C83DF5"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C83DF5" w:rsidRDefault="00913A0A">
            <w:pPr>
              <w:pStyle w:val="TableText"/>
              <w:rPr>
                <w:rFonts w:ascii="Tahoma" w:hAnsi="Tahoma" w:cs="Tahoma"/>
                <w:sz w:val="13"/>
              </w:rPr>
            </w:pPr>
          </w:p>
        </w:tc>
      </w:tr>
    </w:tbl>
    <w:p w:rsidR="00091558" w:rsidRPr="00C83DF5" w:rsidRDefault="00091558">
      <w:pPr>
        <w:pStyle w:val="ProductPool"/>
      </w:pPr>
    </w:p>
    <w:p w:rsidR="0021637C" w:rsidRDefault="0021637C" w:rsidP="004E292A">
      <w:pPr>
        <w:pStyle w:val="Heading3"/>
      </w:pPr>
    </w:p>
    <w:p w:rsidR="00A66202" w:rsidRDefault="00A66202" w:rsidP="00A66202"/>
    <w:p w:rsidR="00A66202" w:rsidRDefault="00A66202" w:rsidP="00A66202"/>
    <w:p w:rsidR="00A66202" w:rsidRDefault="00A66202" w:rsidP="00A66202"/>
    <w:p w:rsidR="00A66202" w:rsidRDefault="00A66202" w:rsidP="00A66202"/>
    <w:p w:rsidR="00A66202" w:rsidRPr="00A66202" w:rsidRDefault="00A66202" w:rsidP="00A66202"/>
    <w:p w:rsidR="00023FE7" w:rsidRPr="00C83DF5" w:rsidRDefault="00023FE7" w:rsidP="004E292A">
      <w:pPr>
        <w:pStyle w:val="Heading3"/>
      </w:pPr>
      <w:bookmarkStart w:id="135" w:name="_Toc336337908"/>
      <w:bookmarkStart w:id="136" w:name="_Toc370983035"/>
      <w:r w:rsidRPr="00C83DF5">
        <w:rPr>
          <w:rFonts w:ascii="Tahoma" w:hAnsi="Tahoma" w:cs="Tahoma"/>
          <w:sz w:val="22"/>
          <w:szCs w:val="22"/>
        </w:rPr>
        <w:t>SERVER-POOL</w:t>
      </w:r>
      <w:bookmarkEnd w:id="135"/>
      <w:bookmarkEnd w:id="136"/>
    </w:p>
    <w:p w:rsidR="00023FE7" w:rsidRPr="00C83DF5"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7"/>
        <w:gridCol w:w="2529"/>
        <w:gridCol w:w="414"/>
        <w:gridCol w:w="449"/>
        <w:gridCol w:w="360"/>
        <w:gridCol w:w="360"/>
        <w:gridCol w:w="7"/>
        <w:gridCol w:w="57"/>
        <w:gridCol w:w="386"/>
        <w:gridCol w:w="7"/>
        <w:gridCol w:w="31"/>
        <w:gridCol w:w="412"/>
        <w:gridCol w:w="12"/>
        <w:gridCol w:w="429"/>
        <w:gridCol w:w="9"/>
        <w:gridCol w:w="415"/>
        <w:gridCol w:w="35"/>
        <w:gridCol w:w="389"/>
        <w:gridCol w:w="66"/>
        <w:gridCol w:w="366"/>
        <w:gridCol w:w="450"/>
        <w:gridCol w:w="450"/>
        <w:gridCol w:w="450"/>
        <w:gridCol w:w="450"/>
        <w:gridCol w:w="450"/>
        <w:gridCol w:w="450"/>
        <w:gridCol w:w="450"/>
        <w:gridCol w:w="506"/>
        <w:gridCol w:w="484"/>
      </w:tblGrid>
      <w:tr w:rsidR="00913A0A" w:rsidRPr="00C83DF5" w:rsidTr="004909D7">
        <w:trPr>
          <w:cantSplit/>
          <w:trHeight w:val="389"/>
          <w:tblHeader/>
        </w:trPr>
        <w:tc>
          <w:tcPr>
            <w:tcW w:w="2546" w:type="dxa"/>
            <w:gridSpan w:val="2"/>
            <w:vMerge w:val="restart"/>
            <w:tcBorders>
              <w:top w:val="single" w:sz="4" w:space="0" w:color="FFFFFF"/>
              <w:left w:val="single" w:sz="4" w:space="0" w:color="FFFFFF"/>
            </w:tcBorders>
          </w:tcPr>
          <w:p w:rsidR="00913A0A" w:rsidRPr="00C83DF5" w:rsidRDefault="00B525B3">
            <w:pPr>
              <w:rPr>
                <w:rFonts w:cs="Tahoma"/>
                <w:sz w:val="20"/>
              </w:rPr>
            </w:pPr>
            <w:r>
              <w:rPr>
                <w:rFonts w:ascii="Trebuchet MS" w:hAnsi="Trebuchet MS" w:cs="Tahoma"/>
                <w:noProof/>
                <w:sz w:val="11"/>
              </w:rPr>
              <mc:AlternateContent>
                <mc:Choice Requires="wps">
                  <w:drawing>
                    <wp:anchor distT="0" distB="0" distL="114300" distR="114300" simplePos="0" relativeHeight="251657728" behindDoc="0" locked="0" layoutInCell="1" allowOverlap="1" wp14:anchorId="37B8A666" wp14:editId="41D45F36">
                      <wp:simplePos x="0" y="0"/>
                      <wp:positionH relativeFrom="column">
                        <wp:posOffset>1538605</wp:posOffset>
                      </wp:positionH>
                      <wp:positionV relativeFrom="paragraph">
                        <wp:posOffset>528955</wp:posOffset>
                      </wp:positionV>
                      <wp:extent cx="405130" cy="213995"/>
                      <wp:effectExtent l="0" t="0" r="0" b="0"/>
                      <wp:wrapNone/>
                      <wp:docPr id="1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B91" w:rsidRDefault="00973B91">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7B8A666" id="Text Box 64" o:spid="_x0000_s1028" type="#_x0000_t202" style="position:absolute;margin-left:121.15pt;margin-top:41.65pt;width:31.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C4twIAAME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" filled="f" stroked="f">
                      <v:textbox style="mso-fit-shape-to-text:t">
                        <w:txbxContent>
                          <w:p w:rsidR="00973B91" w:rsidRDefault="00973B91">
                            <w:pPr>
                              <w:rPr>
                                <w:color w:val="0000FF"/>
                                <w:sz w:val="20"/>
                              </w:rPr>
                            </w:pPr>
                            <w:r>
                              <w:rPr>
                                <w:rFonts w:cs="Tahoma"/>
                                <w:b/>
                                <w:color w:val="0000FF"/>
                                <w:sz w:val="8"/>
                              </w:rPr>
                              <w:t>(Strg + Klick)</w:t>
                            </w:r>
                          </w:p>
                        </w:txbxContent>
                      </v:textbox>
                    </v:shape>
                  </w:pict>
                </mc:Fallback>
              </mc:AlternateContent>
            </w:r>
          </w:p>
        </w:tc>
        <w:tc>
          <w:tcPr>
            <w:tcW w:w="414" w:type="dxa"/>
            <w:vMerge w:val="restart"/>
            <w:tcBorders>
              <w:top w:val="single" w:sz="12" w:space="0" w:color="auto"/>
            </w:tcBorders>
            <w:textDirection w:val="btLr"/>
            <w:vAlign w:val="center"/>
          </w:tcPr>
          <w:p w:rsidR="00913A0A" w:rsidRPr="00C83DF5" w:rsidRDefault="00CF5A3E" w:rsidP="00A66202">
            <w:pPr>
              <w:pStyle w:val="TableVerticalText"/>
              <w:ind w:left="0" w:right="0"/>
              <w:rPr>
                <w:rFonts w:ascii="Tahoma" w:hAnsi="Tahoma" w:cs="Tahoma"/>
                <w:sz w:val="9"/>
              </w:rPr>
            </w:pPr>
            <w:r w:rsidRPr="00C83DF5">
              <w:rPr>
                <w:rFonts w:ascii="Tahoma" w:hAnsi="Tahoma" w:cs="Tahoma"/>
                <w:sz w:val="9"/>
              </w:rPr>
              <w:t>Produkthinweise</w:t>
            </w:r>
          </w:p>
        </w:tc>
        <w:tc>
          <w:tcPr>
            <w:tcW w:w="449" w:type="dxa"/>
            <w:vMerge w:val="restart"/>
            <w:tcBorders>
              <w:top w:val="single" w:sz="12" w:space="0" w:color="auto"/>
            </w:tcBorders>
            <w:textDirection w:val="btLr"/>
            <w:vAlign w:val="center"/>
          </w:tcPr>
          <w:p w:rsidR="00913A0A" w:rsidRPr="00C83DF5" w:rsidRDefault="00913A0A" w:rsidP="00A66202">
            <w:pPr>
              <w:pStyle w:val="TableVerticalText"/>
              <w:ind w:left="0" w:right="0"/>
              <w:rPr>
                <w:rFonts w:ascii="Tahoma" w:hAnsi="Tahoma" w:cs="Tahoma"/>
                <w:sz w:val="9"/>
              </w:rPr>
            </w:pPr>
            <w:r w:rsidRPr="00C83DF5">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rsidR="00913A0A" w:rsidRPr="00C83DF5" w:rsidRDefault="00913A0A" w:rsidP="00A66202">
            <w:pPr>
              <w:pStyle w:val="TableVerticalText"/>
              <w:ind w:left="0" w:right="0"/>
              <w:rPr>
                <w:rFonts w:ascii="Tahoma" w:hAnsi="Tahoma" w:cs="Tahoma"/>
                <w:sz w:val="9"/>
              </w:rPr>
            </w:pPr>
            <w:r w:rsidRPr="00C83DF5">
              <w:rPr>
                <w:rFonts w:ascii="Tahoma" w:hAnsi="Tahoma" w:cs="Tahoma"/>
                <w:sz w:val="9"/>
              </w:rPr>
              <w:t>SAB / OSB</w:t>
            </w:r>
          </w:p>
        </w:tc>
        <w:tc>
          <w:tcPr>
            <w:tcW w:w="2981" w:type="dxa"/>
            <w:gridSpan w:val="15"/>
            <w:tcBorders>
              <w:top w:val="single" w:sz="12" w:space="0" w:color="auto"/>
              <w:left w:val="single" w:sz="18" w:space="0" w:color="auto"/>
              <w:right w:val="single" w:sz="18" w:space="0" w:color="auto"/>
            </w:tcBorders>
            <w:vAlign w:val="center"/>
          </w:tcPr>
          <w:p w:rsidR="00913A0A" w:rsidRPr="00C83DF5" w:rsidRDefault="00913A0A" w:rsidP="00A66202">
            <w:pPr>
              <w:pStyle w:val="TableHeadingsBlack"/>
              <w:spacing w:before="0"/>
              <w:rPr>
                <w:rFonts w:ascii="Tahoma" w:hAnsi="Tahoma" w:cs="Tahoma"/>
              </w:rPr>
            </w:pPr>
            <w:r w:rsidRPr="00C83DF5">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913A0A" w:rsidRPr="00C83DF5" w:rsidRDefault="00913A0A" w:rsidP="00A66202">
            <w:pPr>
              <w:pStyle w:val="TableHeadingsBlack"/>
              <w:spacing w:before="0"/>
              <w:rPr>
                <w:rFonts w:ascii="Tahoma" w:hAnsi="Tahoma" w:cs="Tahoma"/>
                <w:szCs w:val="11"/>
              </w:rPr>
            </w:pPr>
            <w:r w:rsidRPr="00C83DF5">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rsidR="00913A0A" w:rsidRPr="00C83DF5" w:rsidRDefault="00913A0A" w:rsidP="00A66202">
            <w:pPr>
              <w:pStyle w:val="TableVerticalText"/>
              <w:ind w:left="0" w:right="0"/>
              <w:rPr>
                <w:rFonts w:ascii="Tahoma" w:hAnsi="Tahoma" w:cs="Tahoma"/>
                <w:sz w:val="9"/>
              </w:rPr>
            </w:pPr>
            <w:r w:rsidRPr="00C83DF5">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913A0A" w:rsidRPr="00C83DF5" w:rsidRDefault="00913A0A" w:rsidP="00A66202">
            <w:pPr>
              <w:pStyle w:val="TableVerticalText"/>
              <w:ind w:left="0" w:right="0"/>
              <w:rPr>
                <w:rFonts w:ascii="Tahoma" w:hAnsi="Tahoma" w:cs="Tahoma"/>
                <w:sz w:val="9"/>
              </w:rPr>
            </w:pPr>
            <w:r w:rsidRPr="00C83DF5">
              <w:rPr>
                <w:rFonts w:ascii="Tahoma" w:hAnsi="Tahoma" w:cs="Tahoma"/>
                <w:sz w:val="9"/>
              </w:rPr>
              <w:t xml:space="preserve">EA und </w:t>
            </w:r>
            <w:r w:rsidRPr="00C83DF5">
              <w:rPr>
                <w:rFonts w:ascii="Tahoma" w:hAnsi="Tahoma" w:cs="Tahoma"/>
                <w:sz w:val="9"/>
              </w:rPr>
              <w:br/>
              <w:t>EA Abo</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C83DF5" w:rsidRDefault="00913A0A" w:rsidP="00A66202">
            <w:pPr>
              <w:pStyle w:val="TableVerticalText"/>
              <w:ind w:left="0" w:right="0"/>
              <w:rPr>
                <w:rFonts w:ascii="Tahoma" w:hAnsi="Tahoma" w:cs="Tahoma"/>
                <w:sz w:val="9"/>
              </w:rPr>
            </w:pPr>
            <w:r w:rsidRPr="00C83DF5">
              <w:rPr>
                <w:rFonts w:ascii="Tahoma" w:hAnsi="Tahoma" w:cs="Tahoma"/>
                <w:sz w:val="9"/>
              </w:rPr>
              <w:t>OV/OVS</w:t>
            </w:r>
          </w:p>
        </w:tc>
        <w:tc>
          <w:tcPr>
            <w:tcW w:w="450" w:type="dxa"/>
            <w:vMerge w:val="restart"/>
            <w:tcBorders>
              <w:top w:val="single" w:sz="12" w:space="0" w:color="auto"/>
            </w:tcBorders>
            <w:textDirection w:val="btLr"/>
            <w:vAlign w:val="center"/>
          </w:tcPr>
          <w:p w:rsidR="00913A0A" w:rsidRPr="00C83DF5" w:rsidRDefault="00913A0A" w:rsidP="00A66202">
            <w:pPr>
              <w:pStyle w:val="TableVerticalText"/>
              <w:ind w:left="0" w:right="0"/>
              <w:rPr>
                <w:rFonts w:ascii="Tahoma" w:hAnsi="Tahoma" w:cs="Tahoma"/>
                <w:sz w:val="9"/>
              </w:rPr>
            </w:pPr>
            <w:r w:rsidRPr="00C83DF5">
              <w:rPr>
                <w:rFonts w:ascii="Tahoma" w:hAnsi="Tahoma" w:cs="Tahoma"/>
                <w:sz w:val="9"/>
              </w:rPr>
              <w:t>EES/OVS-ES</w:t>
            </w:r>
          </w:p>
        </w:tc>
        <w:tc>
          <w:tcPr>
            <w:tcW w:w="506" w:type="dxa"/>
            <w:vMerge w:val="restart"/>
            <w:tcBorders>
              <w:top w:val="single" w:sz="12" w:space="0" w:color="auto"/>
            </w:tcBorders>
            <w:textDirection w:val="btLr"/>
            <w:vAlign w:val="center"/>
          </w:tcPr>
          <w:p w:rsidR="00913A0A" w:rsidRPr="00C83DF5" w:rsidRDefault="00913A0A" w:rsidP="00A66202">
            <w:pPr>
              <w:pStyle w:val="TableVerticalText"/>
              <w:ind w:left="0" w:right="0"/>
              <w:rPr>
                <w:rFonts w:ascii="Tahoma" w:hAnsi="Tahoma" w:cs="Tahoma"/>
                <w:sz w:val="9"/>
              </w:rPr>
            </w:pPr>
            <w:r w:rsidRPr="00C83DF5">
              <w:rPr>
                <w:rFonts w:ascii="Tahoma" w:hAnsi="Tahoma" w:cs="Tahoma"/>
                <w:sz w:val="9"/>
              </w:rPr>
              <w:t xml:space="preserve">Mindestmenge bei </w:t>
            </w:r>
            <w:r w:rsidR="00A66202">
              <w:rPr>
                <w:rFonts w:ascii="Tahoma" w:hAnsi="Tahoma" w:cs="Tahoma"/>
                <w:sz w:val="9"/>
              </w:rPr>
              <w:br/>
            </w:r>
            <w:r w:rsidRPr="00C83DF5">
              <w:rPr>
                <w:rFonts w:ascii="Tahoma" w:hAnsi="Tahoma" w:cs="Tahoma"/>
                <w:sz w:val="9"/>
              </w:rPr>
              <w:t>Open-Programmen</w:t>
            </w:r>
          </w:p>
        </w:tc>
        <w:tc>
          <w:tcPr>
            <w:tcW w:w="484" w:type="dxa"/>
            <w:vMerge w:val="restart"/>
            <w:tcBorders>
              <w:top w:val="single" w:sz="12" w:space="0" w:color="auto"/>
            </w:tcBorders>
            <w:textDirection w:val="btLr"/>
            <w:vAlign w:val="center"/>
          </w:tcPr>
          <w:p w:rsidR="00913A0A" w:rsidRPr="00C83DF5" w:rsidRDefault="00913A0A" w:rsidP="00A66202">
            <w:pPr>
              <w:pStyle w:val="TableVerticalText"/>
              <w:ind w:left="0" w:right="0"/>
              <w:rPr>
                <w:rFonts w:ascii="Tahoma" w:hAnsi="Tahoma" w:cs="Tahoma"/>
                <w:sz w:val="9"/>
              </w:rPr>
            </w:pPr>
            <w:r w:rsidRPr="00C83DF5">
              <w:rPr>
                <w:rFonts w:ascii="Tahoma" w:hAnsi="Tahoma" w:cs="Tahoma"/>
                <w:sz w:val="9"/>
              </w:rPr>
              <w:t>SCE</w:t>
            </w:r>
          </w:p>
        </w:tc>
      </w:tr>
      <w:tr w:rsidR="00913A0A" w:rsidRPr="00C83DF5" w:rsidTr="004909D7">
        <w:trPr>
          <w:cantSplit/>
          <w:trHeight w:val="262"/>
          <w:tblHeader/>
        </w:trPr>
        <w:tc>
          <w:tcPr>
            <w:tcW w:w="2546" w:type="dxa"/>
            <w:gridSpan w:val="2"/>
            <w:vMerge/>
            <w:tcBorders>
              <w:left w:val="single" w:sz="4" w:space="0" w:color="FFFFFF"/>
            </w:tcBorders>
          </w:tcPr>
          <w:p w:rsidR="00913A0A" w:rsidRPr="00C83DF5" w:rsidRDefault="00913A0A">
            <w:pPr>
              <w:rPr>
                <w:rFonts w:cs="Tahoma"/>
                <w:sz w:val="20"/>
              </w:rPr>
            </w:pPr>
          </w:p>
        </w:tc>
        <w:tc>
          <w:tcPr>
            <w:tcW w:w="414" w:type="dxa"/>
            <w:vMerge/>
          </w:tcPr>
          <w:p w:rsidR="00913A0A" w:rsidRPr="00C83DF5" w:rsidRDefault="00913A0A">
            <w:pPr>
              <w:rPr>
                <w:rFonts w:cs="Tahoma"/>
                <w:b/>
                <w:sz w:val="20"/>
              </w:rPr>
            </w:pPr>
          </w:p>
        </w:tc>
        <w:tc>
          <w:tcPr>
            <w:tcW w:w="449" w:type="dxa"/>
            <w:vMerge/>
          </w:tcPr>
          <w:p w:rsidR="00913A0A" w:rsidRPr="00C83DF5" w:rsidRDefault="00913A0A">
            <w:pPr>
              <w:rPr>
                <w:rFonts w:cs="Tahoma"/>
                <w:sz w:val="20"/>
              </w:rPr>
            </w:pPr>
          </w:p>
        </w:tc>
        <w:tc>
          <w:tcPr>
            <w:tcW w:w="360" w:type="dxa"/>
            <w:vMerge/>
            <w:tcBorders>
              <w:right w:val="single" w:sz="18" w:space="0" w:color="auto"/>
            </w:tcBorders>
          </w:tcPr>
          <w:p w:rsidR="00913A0A" w:rsidRPr="00C83DF5" w:rsidRDefault="00913A0A">
            <w:pPr>
              <w:rPr>
                <w:rFonts w:cs="Tahoma"/>
                <w:sz w:val="20"/>
              </w:rPr>
            </w:pPr>
          </w:p>
        </w:tc>
        <w:tc>
          <w:tcPr>
            <w:tcW w:w="360" w:type="dxa"/>
            <w:vMerge w:val="restart"/>
            <w:tcBorders>
              <w:left w:val="single" w:sz="18" w:space="0" w:color="auto"/>
            </w:tcBorders>
            <w:vAlign w:val="center"/>
          </w:tcPr>
          <w:p w:rsidR="00913A0A" w:rsidRPr="00C83DF5" w:rsidRDefault="00913A0A">
            <w:pPr>
              <w:pStyle w:val="TableHeadingsRed"/>
              <w:rPr>
                <w:rFonts w:ascii="Tahoma" w:hAnsi="Tahoma" w:cs="Tahoma"/>
                <w:sz w:val="9"/>
              </w:rPr>
            </w:pPr>
            <w:r w:rsidRPr="00C83DF5">
              <w:rPr>
                <w:rFonts w:ascii="Tahoma" w:hAnsi="Tahoma" w:cs="Tahoma"/>
                <w:sz w:val="9"/>
              </w:rPr>
              <w:t>L</w:t>
            </w:r>
          </w:p>
        </w:tc>
        <w:tc>
          <w:tcPr>
            <w:tcW w:w="1350" w:type="dxa"/>
            <w:gridSpan w:val="9"/>
            <w:vAlign w:val="center"/>
          </w:tcPr>
          <w:p w:rsidR="00913A0A" w:rsidRPr="00C83DF5" w:rsidRDefault="00913A0A">
            <w:pPr>
              <w:pStyle w:val="TableHeadingsGreen"/>
              <w:rPr>
                <w:rFonts w:ascii="Tahoma" w:hAnsi="Tahoma" w:cs="Tahoma"/>
                <w:sz w:val="9"/>
              </w:rPr>
            </w:pPr>
            <w:r w:rsidRPr="00C83DF5">
              <w:rPr>
                <w:rFonts w:ascii="Tahoma" w:hAnsi="Tahoma" w:cs="Tahoma"/>
                <w:sz w:val="9"/>
              </w:rPr>
              <w:t>L&amp;SA</w:t>
            </w:r>
          </w:p>
        </w:tc>
        <w:tc>
          <w:tcPr>
            <w:tcW w:w="1271" w:type="dxa"/>
            <w:gridSpan w:val="5"/>
            <w:tcBorders>
              <w:right w:val="single" w:sz="18"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SA</w:t>
            </w:r>
          </w:p>
        </w:tc>
        <w:tc>
          <w:tcPr>
            <w:tcW w:w="450" w:type="dxa"/>
            <w:vMerge w:val="restart"/>
            <w:tcBorders>
              <w:left w:val="single" w:sz="18" w:space="0" w:color="auto"/>
            </w:tcBorders>
            <w:vAlign w:val="center"/>
          </w:tcPr>
          <w:p w:rsidR="00913A0A" w:rsidRPr="00C83DF5" w:rsidRDefault="00913A0A">
            <w:pPr>
              <w:pStyle w:val="TableHeadingsRed"/>
              <w:rPr>
                <w:rFonts w:ascii="Tahoma" w:hAnsi="Tahoma" w:cs="Tahoma"/>
                <w:sz w:val="9"/>
              </w:rPr>
            </w:pPr>
            <w:r w:rsidRPr="00C83DF5">
              <w:rPr>
                <w:rFonts w:ascii="Tahoma" w:hAnsi="Tahoma" w:cs="Tahoma"/>
                <w:sz w:val="9"/>
              </w:rPr>
              <w:t>L</w:t>
            </w:r>
          </w:p>
        </w:tc>
        <w:tc>
          <w:tcPr>
            <w:tcW w:w="450" w:type="dxa"/>
            <w:vAlign w:val="center"/>
          </w:tcPr>
          <w:p w:rsidR="00913A0A" w:rsidRPr="00C83DF5" w:rsidRDefault="00913A0A">
            <w:pPr>
              <w:pStyle w:val="TableHeadingsGreen"/>
              <w:rPr>
                <w:rFonts w:ascii="Tahoma" w:hAnsi="Tahoma" w:cs="Tahoma"/>
                <w:sz w:val="9"/>
              </w:rPr>
            </w:pPr>
            <w:r w:rsidRPr="00C83DF5">
              <w:rPr>
                <w:rFonts w:ascii="Tahoma" w:hAnsi="Tahoma" w:cs="Tahoma"/>
                <w:sz w:val="9"/>
              </w:rPr>
              <w:t>L&amp;SA</w:t>
            </w:r>
          </w:p>
        </w:tc>
        <w:tc>
          <w:tcPr>
            <w:tcW w:w="450" w:type="dxa"/>
            <w:vMerge w:val="restart"/>
            <w:tcBorders>
              <w:right w:val="single" w:sz="18"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SA</w:t>
            </w:r>
          </w:p>
        </w:tc>
        <w:tc>
          <w:tcPr>
            <w:tcW w:w="450" w:type="dxa"/>
            <w:vMerge/>
            <w:tcBorders>
              <w:left w:val="single" w:sz="18" w:space="0" w:color="auto"/>
            </w:tcBorders>
          </w:tcPr>
          <w:p w:rsidR="00913A0A" w:rsidRPr="00C83DF5" w:rsidRDefault="00913A0A">
            <w:pPr>
              <w:rPr>
                <w:rFonts w:cs="Tahoma"/>
                <w:sz w:val="20"/>
              </w:rPr>
            </w:pPr>
          </w:p>
        </w:tc>
        <w:tc>
          <w:tcPr>
            <w:tcW w:w="450" w:type="dxa"/>
            <w:vMerge/>
            <w:tcBorders>
              <w:right w:val="single" w:sz="18" w:space="0" w:color="auto"/>
            </w:tcBorders>
          </w:tcPr>
          <w:p w:rsidR="00913A0A" w:rsidRPr="00C83DF5" w:rsidRDefault="00913A0A">
            <w:pPr>
              <w:rPr>
                <w:rFonts w:cs="Tahoma"/>
                <w:sz w:val="20"/>
              </w:rPr>
            </w:pPr>
          </w:p>
        </w:tc>
        <w:tc>
          <w:tcPr>
            <w:tcW w:w="450" w:type="dxa"/>
            <w:vMerge/>
            <w:tcBorders>
              <w:left w:val="single" w:sz="18" w:space="0" w:color="auto"/>
              <w:right w:val="single" w:sz="18" w:space="0" w:color="auto"/>
            </w:tcBorders>
          </w:tcPr>
          <w:p w:rsidR="00913A0A" w:rsidRPr="00C83DF5" w:rsidRDefault="00913A0A">
            <w:pPr>
              <w:rPr>
                <w:rFonts w:cs="Tahoma"/>
                <w:sz w:val="20"/>
              </w:rPr>
            </w:pPr>
          </w:p>
        </w:tc>
        <w:tc>
          <w:tcPr>
            <w:tcW w:w="450" w:type="dxa"/>
            <w:vMerge/>
          </w:tcPr>
          <w:p w:rsidR="00913A0A" w:rsidRPr="00C83DF5" w:rsidRDefault="00913A0A">
            <w:pPr>
              <w:rPr>
                <w:rFonts w:cs="Tahoma"/>
                <w:sz w:val="20"/>
              </w:rPr>
            </w:pPr>
          </w:p>
        </w:tc>
        <w:tc>
          <w:tcPr>
            <w:tcW w:w="506" w:type="dxa"/>
            <w:vMerge/>
          </w:tcPr>
          <w:p w:rsidR="00913A0A" w:rsidRPr="00C83DF5" w:rsidRDefault="00913A0A">
            <w:pPr>
              <w:rPr>
                <w:rFonts w:cs="Tahoma"/>
                <w:sz w:val="20"/>
              </w:rPr>
            </w:pPr>
          </w:p>
        </w:tc>
        <w:tc>
          <w:tcPr>
            <w:tcW w:w="484" w:type="dxa"/>
            <w:vMerge/>
          </w:tcPr>
          <w:p w:rsidR="00913A0A" w:rsidRPr="00C83DF5" w:rsidRDefault="00913A0A">
            <w:pPr>
              <w:rPr>
                <w:rFonts w:cs="Tahoma"/>
                <w:sz w:val="20"/>
              </w:rPr>
            </w:pPr>
          </w:p>
        </w:tc>
      </w:tr>
      <w:tr w:rsidR="00913A0A" w:rsidRPr="00C83DF5" w:rsidTr="004909D7">
        <w:trPr>
          <w:cantSplit/>
          <w:trHeight w:val="458"/>
          <w:tblHeader/>
        </w:trPr>
        <w:tc>
          <w:tcPr>
            <w:tcW w:w="2546" w:type="dxa"/>
            <w:gridSpan w:val="2"/>
            <w:vMerge/>
            <w:tcBorders>
              <w:left w:val="single" w:sz="4" w:space="0" w:color="FFFFFF"/>
              <w:bottom w:val="single" w:sz="4" w:space="0" w:color="auto"/>
            </w:tcBorders>
          </w:tcPr>
          <w:p w:rsidR="00913A0A" w:rsidRPr="00C83DF5" w:rsidRDefault="00913A0A">
            <w:pPr>
              <w:rPr>
                <w:rFonts w:cs="Tahoma"/>
                <w:sz w:val="20"/>
              </w:rPr>
            </w:pPr>
          </w:p>
        </w:tc>
        <w:tc>
          <w:tcPr>
            <w:tcW w:w="414" w:type="dxa"/>
            <w:vMerge/>
            <w:tcBorders>
              <w:bottom w:val="single" w:sz="4" w:space="0" w:color="auto"/>
            </w:tcBorders>
          </w:tcPr>
          <w:p w:rsidR="00913A0A" w:rsidRPr="00C83DF5" w:rsidRDefault="00913A0A">
            <w:pPr>
              <w:rPr>
                <w:rFonts w:cs="Tahoma"/>
                <w:b/>
                <w:sz w:val="20"/>
              </w:rPr>
            </w:pPr>
          </w:p>
        </w:tc>
        <w:tc>
          <w:tcPr>
            <w:tcW w:w="449" w:type="dxa"/>
            <w:vMerge/>
            <w:tcBorders>
              <w:bottom w:val="single" w:sz="4" w:space="0" w:color="auto"/>
            </w:tcBorders>
          </w:tcPr>
          <w:p w:rsidR="00913A0A" w:rsidRPr="00C83DF5" w:rsidRDefault="00913A0A">
            <w:pPr>
              <w:rPr>
                <w:rFonts w:cs="Tahoma"/>
                <w:sz w:val="20"/>
              </w:rPr>
            </w:pPr>
          </w:p>
        </w:tc>
        <w:tc>
          <w:tcPr>
            <w:tcW w:w="360" w:type="dxa"/>
            <w:vMerge/>
            <w:tcBorders>
              <w:bottom w:val="single" w:sz="4" w:space="0" w:color="auto"/>
              <w:right w:val="single" w:sz="18" w:space="0" w:color="auto"/>
            </w:tcBorders>
          </w:tcPr>
          <w:p w:rsidR="00913A0A" w:rsidRPr="00C83DF5" w:rsidRDefault="00913A0A">
            <w:pPr>
              <w:rPr>
                <w:rFonts w:cs="Tahoma"/>
                <w:sz w:val="20"/>
              </w:rPr>
            </w:pPr>
          </w:p>
        </w:tc>
        <w:tc>
          <w:tcPr>
            <w:tcW w:w="360" w:type="dxa"/>
            <w:vMerge/>
            <w:tcBorders>
              <w:left w:val="single" w:sz="18" w:space="0" w:color="auto"/>
              <w:bottom w:val="single" w:sz="4" w:space="0" w:color="auto"/>
            </w:tcBorders>
            <w:vAlign w:val="center"/>
          </w:tcPr>
          <w:p w:rsidR="00913A0A" w:rsidRPr="00C83DF5" w:rsidRDefault="00913A0A">
            <w:pPr>
              <w:jc w:val="center"/>
              <w:rPr>
                <w:rFonts w:cs="Tahoma"/>
                <w:sz w:val="20"/>
              </w:rPr>
            </w:pPr>
          </w:p>
        </w:tc>
        <w:tc>
          <w:tcPr>
            <w:tcW w:w="450" w:type="dxa"/>
            <w:gridSpan w:val="3"/>
            <w:tcBorders>
              <w:bottom w:val="single" w:sz="4" w:space="0" w:color="auto"/>
            </w:tcBorders>
            <w:vAlign w:val="center"/>
          </w:tcPr>
          <w:p w:rsidR="00913A0A" w:rsidRPr="00C83DF5" w:rsidRDefault="00913A0A">
            <w:pPr>
              <w:pStyle w:val="TableHeadingsGreen"/>
              <w:rPr>
                <w:rFonts w:ascii="Tahoma" w:hAnsi="Tahoma" w:cs="Tahoma"/>
                <w:sz w:val="9"/>
              </w:rPr>
            </w:pPr>
            <w:r w:rsidRPr="00C83DF5">
              <w:rPr>
                <w:rFonts w:ascii="Tahoma" w:hAnsi="Tahoma" w:cs="Tahoma"/>
                <w:sz w:val="9"/>
              </w:rPr>
              <w:t>3 Jahre</w:t>
            </w:r>
          </w:p>
        </w:tc>
        <w:tc>
          <w:tcPr>
            <w:tcW w:w="450" w:type="dxa"/>
            <w:gridSpan w:val="3"/>
            <w:tcBorders>
              <w:bottom w:val="single" w:sz="4" w:space="0" w:color="auto"/>
            </w:tcBorders>
            <w:vAlign w:val="center"/>
          </w:tcPr>
          <w:p w:rsidR="00913A0A" w:rsidRPr="00C83DF5" w:rsidRDefault="00913A0A">
            <w:pPr>
              <w:pStyle w:val="TableHeadingsGreen"/>
              <w:rPr>
                <w:rFonts w:ascii="Tahoma" w:hAnsi="Tahoma" w:cs="Tahoma"/>
                <w:sz w:val="9"/>
              </w:rPr>
            </w:pPr>
            <w:r w:rsidRPr="00C83DF5">
              <w:rPr>
                <w:rFonts w:ascii="Tahoma" w:hAnsi="Tahoma" w:cs="Tahoma"/>
                <w:sz w:val="9"/>
              </w:rPr>
              <w:t>2 Jahre</w:t>
            </w:r>
          </w:p>
        </w:tc>
        <w:tc>
          <w:tcPr>
            <w:tcW w:w="450" w:type="dxa"/>
            <w:gridSpan w:val="3"/>
            <w:tcBorders>
              <w:bottom w:val="single" w:sz="4" w:space="0" w:color="auto"/>
            </w:tcBorders>
            <w:vAlign w:val="center"/>
          </w:tcPr>
          <w:p w:rsidR="00913A0A" w:rsidRPr="00C83DF5" w:rsidRDefault="00913A0A">
            <w:pPr>
              <w:pStyle w:val="TableHeadingsGreen"/>
              <w:rPr>
                <w:rFonts w:ascii="Tahoma" w:hAnsi="Tahoma" w:cs="Tahoma"/>
                <w:sz w:val="9"/>
              </w:rPr>
            </w:pPr>
            <w:r w:rsidRPr="00C83DF5">
              <w:rPr>
                <w:rFonts w:ascii="Tahoma" w:hAnsi="Tahoma" w:cs="Tahoma"/>
                <w:sz w:val="9"/>
              </w:rPr>
              <w:t>1 Jahr</w:t>
            </w:r>
          </w:p>
        </w:tc>
        <w:tc>
          <w:tcPr>
            <w:tcW w:w="450" w:type="dxa"/>
            <w:gridSpan w:val="2"/>
            <w:tcBorders>
              <w:bottom w:val="single" w:sz="4"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3 Jahre</w:t>
            </w:r>
          </w:p>
        </w:tc>
        <w:tc>
          <w:tcPr>
            <w:tcW w:w="455" w:type="dxa"/>
            <w:gridSpan w:val="2"/>
            <w:tcBorders>
              <w:bottom w:val="single" w:sz="4"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2 Jahre</w:t>
            </w:r>
          </w:p>
        </w:tc>
        <w:tc>
          <w:tcPr>
            <w:tcW w:w="366" w:type="dxa"/>
            <w:tcBorders>
              <w:bottom w:val="single" w:sz="4" w:space="0" w:color="auto"/>
              <w:right w:val="single" w:sz="18" w:space="0" w:color="auto"/>
            </w:tcBorders>
            <w:vAlign w:val="center"/>
          </w:tcPr>
          <w:p w:rsidR="00913A0A" w:rsidRPr="00C83DF5" w:rsidRDefault="00913A0A">
            <w:pPr>
              <w:pStyle w:val="TableHeadingsBlue"/>
              <w:rPr>
                <w:rFonts w:ascii="Tahoma" w:hAnsi="Tahoma" w:cs="Tahoma"/>
                <w:sz w:val="9"/>
              </w:rPr>
            </w:pPr>
            <w:r w:rsidRPr="00C83DF5">
              <w:rPr>
                <w:rFonts w:ascii="Tahoma" w:hAnsi="Tahoma" w:cs="Tahoma"/>
                <w:sz w:val="9"/>
              </w:rPr>
              <w:t>1 Jahr</w:t>
            </w:r>
          </w:p>
        </w:tc>
        <w:tc>
          <w:tcPr>
            <w:tcW w:w="450" w:type="dxa"/>
            <w:vMerge/>
            <w:tcBorders>
              <w:left w:val="single" w:sz="18" w:space="0" w:color="auto"/>
              <w:bottom w:val="single" w:sz="4" w:space="0" w:color="auto"/>
            </w:tcBorders>
            <w:vAlign w:val="center"/>
          </w:tcPr>
          <w:p w:rsidR="00913A0A" w:rsidRPr="00C83DF5" w:rsidRDefault="00913A0A">
            <w:pPr>
              <w:jc w:val="center"/>
              <w:rPr>
                <w:rFonts w:cs="Tahoma"/>
                <w:sz w:val="20"/>
              </w:rPr>
            </w:pPr>
          </w:p>
        </w:tc>
        <w:tc>
          <w:tcPr>
            <w:tcW w:w="450" w:type="dxa"/>
            <w:tcBorders>
              <w:bottom w:val="single" w:sz="4" w:space="0" w:color="auto"/>
            </w:tcBorders>
            <w:vAlign w:val="center"/>
          </w:tcPr>
          <w:p w:rsidR="00913A0A" w:rsidRPr="00C83DF5" w:rsidRDefault="00913A0A">
            <w:pPr>
              <w:pStyle w:val="TableHeadingsGreen"/>
              <w:rPr>
                <w:rFonts w:ascii="Tahoma" w:hAnsi="Tahoma" w:cs="Tahoma"/>
                <w:sz w:val="9"/>
              </w:rPr>
            </w:pPr>
            <w:r w:rsidRPr="00C83DF5">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C83DF5" w:rsidRDefault="00913A0A">
            <w:pPr>
              <w:jc w:val="center"/>
              <w:rPr>
                <w:rFonts w:cs="Tahoma"/>
                <w:sz w:val="20"/>
              </w:rPr>
            </w:pPr>
          </w:p>
        </w:tc>
        <w:tc>
          <w:tcPr>
            <w:tcW w:w="450" w:type="dxa"/>
            <w:vMerge/>
            <w:tcBorders>
              <w:left w:val="single" w:sz="18" w:space="0" w:color="auto"/>
              <w:bottom w:val="single" w:sz="4" w:space="0" w:color="auto"/>
            </w:tcBorders>
          </w:tcPr>
          <w:p w:rsidR="00913A0A" w:rsidRPr="00C83DF5" w:rsidRDefault="00913A0A">
            <w:pPr>
              <w:rPr>
                <w:rFonts w:cs="Tahoma"/>
                <w:sz w:val="20"/>
              </w:rPr>
            </w:pPr>
          </w:p>
        </w:tc>
        <w:tc>
          <w:tcPr>
            <w:tcW w:w="450" w:type="dxa"/>
            <w:vMerge/>
            <w:tcBorders>
              <w:bottom w:val="single" w:sz="4" w:space="0" w:color="auto"/>
              <w:right w:val="single" w:sz="18" w:space="0" w:color="auto"/>
            </w:tcBorders>
          </w:tcPr>
          <w:p w:rsidR="00913A0A" w:rsidRPr="00C83DF5" w:rsidRDefault="00913A0A">
            <w:pPr>
              <w:rPr>
                <w:rFonts w:cs="Tahoma"/>
                <w:sz w:val="20"/>
              </w:rPr>
            </w:pPr>
          </w:p>
        </w:tc>
        <w:tc>
          <w:tcPr>
            <w:tcW w:w="450" w:type="dxa"/>
            <w:vMerge/>
            <w:tcBorders>
              <w:left w:val="single" w:sz="18" w:space="0" w:color="auto"/>
              <w:bottom w:val="single" w:sz="4" w:space="0" w:color="auto"/>
              <w:right w:val="single" w:sz="18" w:space="0" w:color="auto"/>
            </w:tcBorders>
          </w:tcPr>
          <w:p w:rsidR="00913A0A" w:rsidRPr="00C83DF5" w:rsidRDefault="00913A0A">
            <w:pPr>
              <w:rPr>
                <w:rFonts w:cs="Tahoma"/>
                <w:sz w:val="20"/>
              </w:rPr>
            </w:pPr>
          </w:p>
        </w:tc>
        <w:tc>
          <w:tcPr>
            <w:tcW w:w="450" w:type="dxa"/>
            <w:vMerge/>
            <w:tcBorders>
              <w:bottom w:val="single" w:sz="4" w:space="0" w:color="auto"/>
            </w:tcBorders>
          </w:tcPr>
          <w:p w:rsidR="00913A0A" w:rsidRPr="00C83DF5" w:rsidRDefault="00913A0A">
            <w:pPr>
              <w:rPr>
                <w:rFonts w:cs="Tahoma"/>
                <w:sz w:val="20"/>
              </w:rPr>
            </w:pPr>
          </w:p>
        </w:tc>
        <w:tc>
          <w:tcPr>
            <w:tcW w:w="506" w:type="dxa"/>
            <w:vMerge/>
            <w:tcBorders>
              <w:bottom w:val="single" w:sz="4" w:space="0" w:color="auto"/>
            </w:tcBorders>
          </w:tcPr>
          <w:p w:rsidR="00913A0A" w:rsidRPr="00C83DF5" w:rsidRDefault="00913A0A">
            <w:pPr>
              <w:rPr>
                <w:rFonts w:cs="Tahoma"/>
                <w:sz w:val="20"/>
              </w:rPr>
            </w:pPr>
          </w:p>
        </w:tc>
        <w:tc>
          <w:tcPr>
            <w:tcW w:w="484" w:type="dxa"/>
            <w:vMerge/>
            <w:tcBorders>
              <w:bottom w:val="single" w:sz="4" w:space="0" w:color="auto"/>
            </w:tcBorders>
          </w:tcPr>
          <w:p w:rsidR="00913A0A" w:rsidRPr="00C83DF5" w:rsidRDefault="00913A0A">
            <w:pPr>
              <w:rPr>
                <w:rFonts w:cs="Tahoma"/>
                <w:sz w:val="20"/>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637F54">
            <w:pPr>
              <w:pStyle w:val="ProductNames"/>
              <w:spacing w:before="0" w:after="10"/>
              <w:rPr>
                <w:rFonts w:ascii="Tahoma" w:hAnsi="Tahoma" w:cs="Tahoma"/>
                <w:position w:val="0"/>
                <w:sz w:val="14"/>
              </w:rPr>
            </w:pPr>
            <w:bookmarkStart w:id="137" w:name="_Toc370983036"/>
            <w:r w:rsidRPr="00C83DF5">
              <w:rPr>
                <w:rFonts w:ascii="Tahoma" w:hAnsi="Tahoma" w:cs="Tahoma"/>
                <w:position w:val="0"/>
                <w:sz w:val="14"/>
              </w:rPr>
              <w:t>Bing Maps Consumer Tracked Per Asset Monthly Sub</w:t>
            </w:r>
            <w:bookmarkEnd w:id="137"/>
          </w:p>
        </w:tc>
        <w:tc>
          <w:tcPr>
            <w:tcW w:w="414" w:type="dxa"/>
            <w:tcBorders>
              <w:bottom w:val="single" w:sz="4" w:space="0" w:color="auto"/>
            </w:tcBorders>
            <w:shd w:val="clear" w:color="auto" w:fill="auto"/>
            <w:vAlign w:val="center"/>
          </w:tcPr>
          <w:p w:rsidR="00913A0A" w:rsidRPr="00C83DF5" w:rsidRDefault="005519A5" w:rsidP="003D4F46">
            <w:pPr>
              <w:jc w:val="center"/>
              <w:rPr>
                <w:rFonts w:ascii="Trebuchet MS" w:hAnsi="Trebuchet MS"/>
                <w:b/>
                <w:sz w:val="13"/>
                <w:szCs w:val="13"/>
              </w:rPr>
            </w:pPr>
            <w:hyperlink w:anchor="_34_Bing_Maps" w:history="1">
              <w:r w:rsidR="00CF5A3E" w:rsidRPr="00C83DF5">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rsidR="00913A0A" w:rsidRPr="00C83DF5" w:rsidRDefault="00913A0A" w:rsidP="002253A3">
            <w:pPr>
              <w:jc w:val="center"/>
              <w:rPr>
                <w:rFonts w:cs="Tahoma"/>
                <w:sz w:val="13"/>
              </w:rPr>
            </w:pPr>
            <w:r w:rsidRPr="00C83DF5">
              <w:rPr>
                <w:rFonts w:cs="Tahoma"/>
                <w:sz w:val="13"/>
              </w:rPr>
              <w:t>04/13</w:t>
            </w:r>
          </w:p>
        </w:tc>
        <w:tc>
          <w:tcPr>
            <w:tcW w:w="36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r w:rsidRPr="00C83DF5">
              <w:rPr>
                <w:rFonts w:cs="Tahoma"/>
                <w:sz w:val="13"/>
              </w:rPr>
              <w:t>1 Punkt</w:t>
            </w: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3"/>
              </w:rPr>
            </w:pPr>
            <w:r w:rsidRPr="00C83DF5">
              <w:rPr>
                <w:rFonts w:cs="Tahoma"/>
                <w:sz w:val="13"/>
              </w:rPr>
              <w:t>1</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r w:rsidRPr="00C83DF5">
              <w:rPr>
                <w:rFonts w:cs="Tahoma"/>
                <w:sz w:val="13"/>
              </w:rPr>
              <w:t>P</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C83DF5" w:rsidRDefault="00913A0A" w:rsidP="002253A3">
            <w:pPr>
              <w:jc w:val="center"/>
              <w:rPr>
                <w:rFonts w:cs="Tahoma"/>
                <w:sz w:val="13"/>
              </w:rPr>
            </w:pPr>
            <w:r w:rsidRPr="00C83DF5">
              <w:rPr>
                <w:rFonts w:cs="Tahoma"/>
                <w:sz w:val="13"/>
              </w:rPr>
              <w:t>OL/OV</w:t>
            </w:r>
          </w:p>
        </w:tc>
        <w:tc>
          <w:tcPr>
            <w:tcW w:w="484" w:type="dxa"/>
            <w:tcBorders>
              <w:bottom w:val="single" w:sz="4" w:space="0" w:color="auto"/>
            </w:tcBorders>
          </w:tcPr>
          <w:p w:rsidR="00913A0A" w:rsidRPr="00C83DF5" w:rsidRDefault="00913A0A" w:rsidP="002253A3">
            <w:pPr>
              <w:jc w:val="center"/>
              <w:rPr>
                <w:rFonts w:cs="Tahoma"/>
                <w:sz w:val="13"/>
              </w:rPr>
            </w:pPr>
            <w:r w:rsidRPr="00C83DF5">
              <w:rPr>
                <w:rFonts w:cs="Tahoma"/>
                <w:sz w:val="13"/>
              </w:rPr>
              <w:t>A</w:t>
            </w:r>
          </w:p>
        </w:tc>
      </w:tr>
      <w:tr w:rsidR="008A0F85" w:rsidRPr="00C83DF5" w:rsidTr="004909D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46" w:type="dxa"/>
            <w:gridSpan w:val="2"/>
            <w:tcBorders>
              <w:bottom w:val="single" w:sz="3" w:space="0" w:color="auto"/>
            </w:tcBorders>
            <w:shd w:val="clear" w:color="auto" w:fill="FABF8F"/>
          </w:tcPr>
          <w:p w:rsidR="00913A0A" w:rsidRPr="00C83DF5" w:rsidRDefault="00913A0A" w:rsidP="00637F54">
            <w:pPr>
              <w:pStyle w:val="ProductNames"/>
              <w:spacing w:before="0" w:after="10"/>
              <w:rPr>
                <w:rFonts w:ascii="Tahoma" w:hAnsi="Tahoma" w:cs="Tahoma"/>
                <w:position w:val="0"/>
                <w:sz w:val="14"/>
              </w:rPr>
            </w:pPr>
            <w:bookmarkStart w:id="138" w:name="_Toc370983037"/>
            <w:r w:rsidRPr="00C83DF5">
              <w:rPr>
                <w:rFonts w:ascii="Tahoma" w:hAnsi="Tahoma" w:cs="Tahoma"/>
                <w:position w:val="0"/>
                <w:sz w:val="14"/>
              </w:rPr>
              <w:t>Bing Maps Enterprise Fee Monthly Sub</w:t>
            </w:r>
            <w:bookmarkEnd w:id="138"/>
          </w:p>
        </w:tc>
        <w:tc>
          <w:tcPr>
            <w:tcW w:w="414" w:type="dxa"/>
            <w:tcBorders>
              <w:bottom w:val="single" w:sz="3" w:space="0" w:color="auto"/>
            </w:tcBorders>
            <w:shd w:val="clear" w:color="auto" w:fill="FABF8F"/>
            <w:vAlign w:val="center"/>
          </w:tcPr>
          <w:p w:rsidR="00913A0A" w:rsidRPr="00C83DF5" w:rsidRDefault="005519A5" w:rsidP="003D4F46">
            <w:pPr>
              <w:jc w:val="center"/>
              <w:rPr>
                <w:rFonts w:ascii="Trebuchet MS" w:hAnsi="Trebuchet MS" w:cs="Tahoma"/>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3"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3" w:space="0" w:color="auto"/>
              <w:right w:val="single" w:sz="15" w:space="0" w:color="auto"/>
            </w:tcBorders>
            <w:shd w:val="clear" w:color="auto" w:fill="FABF8F"/>
            <w:vAlign w:val="center"/>
          </w:tcPr>
          <w:p w:rsidR="00913A0A" w:rsidRPr="00C83DF5" w:rsidRDefault="00913A0A" w:rsidP="002253A3">
            <w:pPr>
              <w:jc w:val="center"/>
              <w:rPr>
                <w:rFonts w:cs="Tahoma"/>
                <w:sz w:val="14"/>
              </w:rPr>
            </w:pPr>
          </w:p>
        </w:tc>
        <w:tc>
          <w:tcPr>
            <w:tcW w:w="2981" w:type="dxa"/>
            <w:gridSpan w:val="15"/>
            <w:tcBorders>
              <w:left w:val="single" w:sz="15" w:space="0" w:color="auto"/>
              <w:bottom w:val="single" w:sz="3" w:space="0" w:color="auto"/>
              <w:right w:val="single" w:sz="15"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25 Punkte</w:t>
            </w:r>
          </w:p>
        </w:tc>
        <w:tc>
          <w:tcPr>
            <w:tcW w:w="450" w:type="dxa"/>
            <w:tcBorders>
              <w:left w:val="single" w:sz="15" w:space="0" w:color="auto"/>
              <w:bottom w:val="single" w:sz="3"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25</w:t>
            </w:r>
          </w:p>
        </w:tc>
        <w:tc>
          <w:tcPr>
            <w:tcW w:w="450" w:type="dxa"/>
            <w:tcBorders>
              <w:bottom w:val="single" w:sz="3" w:space="0" w:color="auto"/>
            </w:tcBorders>
            <w:shd w:val="clear" w:color="auto" w:fill="FABF8F"/>
            <w:vAlign w:val="center"/>
          </w:tcPr>
          <w:p w:rsidR="00913A0A" w:rsidRPr="00C83DF5" w:rsidRDefault="00913A0A" w:rsidP="002253A3">
            <w:pPr>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C83DF5" w:rsidRDefault="00913A0A" w:rsidP="002253A3">
            <w:pPr>
              <w:jc w:val="center"/>
              <w:rPr>
                <w:rFonts w:cs="Tahoma"/>
                <w:sz w:val="14"/>
              </w:rPr>
            </w:pPr>
          </w:p>
        </w:tc>
        <w:tc>
          <w:tcPr>
            <w:tcW w:w="450" w:type="dxa"/>
            <w:tcBorders>
              <w:left w:val="single" w:sz="15" w:space="0" w:color="auto"/>
              <w:bottom w:val="single" w:sz="3" w:space="0" w:color="auto"/>
            </w:tcBorders>
            <w:shd w:val="clear" w:color="auto" w:fill="FABF8F"/>
            <w:vAlign w:val="center"/>
          </w:tcPr>
          <w:p w:rsidR="00913A0A" w:rsidRPr="00C83DF5" w:rsidRDefault="00913A0A" w:rsidP="002253A3">
            <w:pPr>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3" w:space="0" w:color="auto"/>
            </w:tcBorders>
            <w:shd w:val="clear" w:color="auto" w:fill="FABF8F"/>
            <w:vAlign w:val="center"/>
          </w:tcPr>
          <w:p w:rsidR="00913A0A" w:rsidRPr="00C83DF5" w:rsidRDefault="00913A0A" w:rsidP="002253A3">
            <w:pPr>
              <w:jc w:val="center"/>
              <w:rPr>
                <w:rFonts w:cs="Tahoma"/>
                <w:sz w:val="14"/>
              </w:rPr>
            </w:pPr>
          </w:p>
        </w:tc>
        <w:tc>
          <w:tcPr>
            <w:tcW w:w="506" w:type="dxa"/>
            <w:tcBorders>
              <w:bottom w:val="single" w:sz="3"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3" w:space="0" w:color="auto"/>
            </w:tcBorders>
            <w:shd w:val="clear" w:color="auto" w:fill="FABF8F"/>
          </w:tcPr>
          <w:p w:rsidR="00913A0A" w:rsidRPr="00C83DF5" w:rsidRDefault="00913A0A" w:rsidP="002253A3">
            <w:pPr>
              <w:jc w:val="center"/>
              <w:rPr>
                <w:rFonts w:cs="Tahoma"/>
                <w:sz w:val="13"/>
              </w:rPr>
            </w:pPr>
            <w:r w:rsidRPr="00C83DF5">
              <w:rPr>
                <w:rFonts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637F54">
            <w:pPr>
              <w:pStyle w:val="ProductNames"/>
              <w:spacing w:before="0" w:after="10"/>
              <w:rPr>
                <w:rFonts w:ascii="Tahoma" w:hAnsi="Tahoma" w:cs="Tahoma"/>
                <w:position w:val="0"/>
                <w:sz w:val="14"/>
              </w:rPr>
            </w:pPr>
            <w:bookmarkStart w:id="139" w:name="_Toc370983038"/>
            <w:r w:rsidRPr="00C83DF5">
              <w:rPr>
                <w:rFonts w:ascii="Tahoma" w:hAnsi="Tahoma" w:cs="Tahoma"/>
                <w:position w:val="0"/>
                <w:sz w:val="14"/>
              </w:rPr>
              <w:t>Bing Maps Public Website Usage 100K Transactions Monthly Sub</w:t>
            </w:r>
            <w:bookmarkEnd w:id="139"/>
          </w:p>
        </w:tc>
        <w:tc>
          <w:tcPr>
            <w:tcW w:w="414" w:type="dxa"/>
            <w:tcBorders>
              <w:bottom w:val="single" w:sz="4" w:space="0" w:color="auto"/>
            </w:tcBorders>
            <w:shd w:val="clear" w:color="auto" w:fill="auto"/>
            <w:vAlign w:val="center"/>
          </w:tcPr>
          <w:p w:rsidR="00913A0A" w:rsidRPr="00C83DF5" w:rsidRDefault="005519A5" w:rsidP="003D4F46">
            <w:pPr>
              <w:jc w:val="center"/>
              <w:rPr>
                <w:rFonts w:ascii="Trebuchet MS" w:hAnsi="Trebuchet MS" w:cs="Tahoma"/>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50 Punkte</w:t>
            </w: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50</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4"/>
              </w:rPr>
            </w:pPr>
          </w:p>
        </w:tc>
        <w:tc>
          <w:tcPr>
            <w:tcW w:w="506"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tcPr>
          <w:p w:rsidR="00913A0A" w:rsidRPr="00C83DF5" w:rsidRDefault="00913A0A" w:rsidP="002253A3">
            <w:pPr>
              <w:jc w:val="center"/>
              <w:rPr>
                <w:rFonts w:cs="Tahoma"/>
                <w:sz w:val="13"/>
              </w:rPr>
            </w:pPr>
            <w:r w:rsidRPr="00C83DF5">
              <w:rPr>
                <w:rFonts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637F54">
            <w:pPr>
              <w:pStyle w:val="ProductNames"/>
              <w:spacing w:before="0" w:after="10"/>
              <w:rPr>
                <w:rFonts w:ascii="Tahoma" w:hAnsi="Tahoma" w:cs="Tahoma"/>
                <w:position w:val="0"/>
                <w:sz w:val="14"/>
              </w:rPr>
            </w:pPr>
            <w:bookmarkStart w:id="140" w:name="_Toc370983039"/>
            <w:r w:rsidRPr="00C83DF5">
              <w:rPr>
                <w:rFonts w:ascii="Tahoma" w:hAnsi="Tahoma" w:cs="Tahoma"/>
                <w:position w:val="0"/>
                <w:sz w:val="14"/>
              </w:rPr>
              <w:t>Bing Maps Public Website Usage 420K (und höher) Transactions Monthly Sub</w:t>
            </w:r>
            <w:bookmarkEnd w:id="140"/>
          </w:p>
        </w:tc>
        <w:tc>
          <w:tcPr>
            <w:tcW w:w="414" w:type="dxa"/>
            <w:tcBorders>
              <w:bottom w:val="single" w:sz="4" w:space="0" w:color="auto"/>
            </w:tcBorders>
            <w:shd w:val="clear" w:color="auto" w:fill="FABF8F"/>
            <w:vAlign w:val="center"/>
          </w:tcPr>
          <w:p w:rsidR="00913A0A" w:rsidRPr="00C83DF5" w:rsidRDefault="005519A5" w:rsidP="003D4F46">
            <w:pPr>
              <w:jc w:val="center"/>
              <w:rPr>
                <w:rFonts w:ascii="Trebuchet MS" w:hAnsi="Trebuchet MS" w:cs="Tahoma"/>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200 Punkte</w:t>
            </w: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200</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4"/>
              </w:rPr>
            </w:pPr>
          </w:p>
        </w:tc>
        <w:tc>
          <w:tcPr>
            <w:tcW w:w="506"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shd w:val="clear" w:color="auto" w:fill="FABF8F"/>
          </w:tcPr>
          <w:p w:rsidR="00913A0A" w:rsidRPr="00C83DF5" w:rsidRDefault="00913A0A" w:rsidP="002253A3">
            <w:pPr>
              <w:jc w:val="center"/>
              <w:rPr>
                <w:rFonts w:cs="Tahoma"/>
                <w:sz w:val="13"/>
              </w:rPr>
            </w:pPr>
            <w:r w:rsidRPr="00C83DF5">
              <w:rPr>
                <w:rFonts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637F54">
            <w:pPr>
              <w:pStyle w:val="ProductNames"/>
              <w:spacing w:before="0" w:after="10"/>
              <w:rPr>
                <w:rFonts w:ascii="Tahoma" w:hAnsi="Tahoma" w:cs="Tahoma"/>
                <w:position w:val="0"/>
                <w:sz w:val="14"/>
              </w:rPr>
            </w:pPr>
            <w:bookmarkStart w:id="141" w:name="_Toc370983040"/>
            <w:r w:rsidRPr="00C83DF5">
              <w:rPr>
                <w:rFonts w:ascii="Tahoma" w:hAnsi="Tahoma" w:cs="Tahoma"/>
                <w:position w:val="0"/>
                <w:sz w:val="14"/>
              </w:rPr>
              <w:t>Bing Maps Internal Website Usage 100K Transactions Monthly Sub</w:t>
            </w:r>
            <w:bookmarkEnd w:id="141"/>
          </w:p>
        </w:tc>
        <w:tc>
          <w:tcPr>
            <w:tcW w:w="414" w:type="dxa"/>
            <w:tcBorders>
              <w:bottom w:val="single" w:sz="4" w:space="0" w:color="auto"/>
            </w:tcBorders>
            <w:shd w:val="clear" w:color="auto" w:fill="auto"/>
            <w:vAlign w:val="center"/>
          </w:tcPr>
          <w:p w:rsidR="00913A0A" w:rsidRPr="00C83DF5" w:rsidRDefault="005519A5" w:rsidP="003D4F46">
            <w:pPr>
              <w:jc w:val="center"/>
              <w:rPr>
                <w:rFonts w:ascii="Trebuchet MS" w:hAnsi="Trebuchet MS" w:cs="Tahoma"/>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125 Punkte</w:t>
            </w: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125</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4"/>
              </w:rPr>
            </w:pPr>
          </w:p>
        </w:tc>
        <w:tc>
          <w:tcPr>
            <w:tcW w:w="506"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tcPr>
          <w:p w:rsidR="00913A0A" w:rsidRPr="00C83DF5" w:rsidRDefault="00913A0A" w:rsidP="002253A3">
            <w:pPr>
              <w:jc w:val="center"/>
              <w:rPr>
                <w:rFonts w:cs="Tahoma"/>
                <w:sz w:val="13"/>
              </w:rPr>
            </w:pPr>
            <w:r w:rsidRPr="00C83DF5">
              <w:rPr>
                <w:rFonts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637F54">
            <w:pPr>
              <w:pStyle w:val="ProductNames"/>
              <w:spacing w:before="0" w:after="10"/>
              <w:rPr>
                <w:rFonts w:ascii="Tahoma" w:hAnsi="Tahoma" w:cs="Tahoma"/>
                <w:position w:val="0"/>
                <w:sz w:val="14"/>
              </w:rPr>
            </w:pPr>
            <w:bookmarkStart w:id="142" w:name="_Toc370983041"/>
            <w:r w:rsidRPr="00C83DF5">
              <w:rPr>
                <w:rFonts w:ascii="Tahoma" w:hAnsi="Tahoma" w:cs="Tahoma"/>
                <w:position w:val="0"/>
                <w:sz w:val="14"/>
              </w:rPr>
              <w:t>Bing Maps Internal Website Usage 250K (und höher) Transactions Monthly Sub</w:t>
            </w:r>
            <w:bookmarkEnd w:id="142"/>
          </w:p>
        </w:tc>
        <w:tc>
          <w:tcPr>
            <w:tcW w:w="414" w:type="dxa"/>
            <w:tcBorders>
              <w:bottom w:val="single" w:sz="4" w:space="0" w:color="auto"/>
            </w:tcBorders>
            <w:shd w:val="clear" w:color="auto" w:fill="FABF8F"/>
            <w:vAlign w:val="center"/>
          </w:tcPr>
          <w:p w:rsidR="00913A0A" w:rsidRPr="00C83DF5" w:rsidRDefault="005519A5" w:rsidP="003D4F46">
            <w:pPr>
              <w:jc w:val="center"/>
              <w:rPr>
                <w:rFonts w:ascii="Trebuchet MS" w:hAnsi="Trebuchet MS" w:cs="Tahoma"/>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200 Punkte</w:t>
            </w: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200</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4"/>
              </w:rPr>
            </w:pPr>
          </w:p>
        </w:tc>
        <w:tc>
          <w:tcPr>
            <w:tcW w:w="506"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shd w:val="clear" w:color="auto" w:fill="FABF8F"/>
          </w:tcPr>
          <w:p w:rsidR="00913A0A" w:rsidRPr="00C83DF5" w:rsidRDefault="00913A0A" w:rsidP="002253A3">
            <w:pPr>
              <w:jc w:val="center"/>
              <w:rPr>
                <w:rFonts w:cs="Tahoma"/>
                <w:sz w:val="13"/>
              </w:rPr>
            </w:pPr>
            <w:r w:rsidRPr="00C83DF5">
              <w:rPr>
                <w:rFonts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rPr>
            </w:pPr>
            <w:bookmarkStart w:id="143" w:name="_Toc370983042"/>
            <w:r w:rsidRPr="00C83DF5">
              <w:rPr>
                <w:rFonts w:ascii="Tahoma" w:hAnsi="Tahoma" w:cs="Tahoma"/>
                <w:position w:val="0"/>
                <w:sz w:val="14"/>
              </w:rPr>
              <w:t>Bing Maps Known Per User Monthly Sub</w:t>
            </w:r>
            <w:bookmarkEnd w:id="143"/>
          </w:p>
        </w:tc>
        <w:tc>
          <w:tcPr>
            <w:tcW w:w="414" w:type="dxa"/>
            <w:tcBorders>
              <w:bottom w:val="single" w:sz="4" w:space="0" w:color="auto"/>
            </w:tcBorders>
            <w:shd w:val="clear" w:color="auto" w:fill="auto"/>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 Punkt</w:t>
            </w: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tcPr>
          <w:p w:rsidR="00913A0A" w:rsidRPr="00C83DF5" w:rsidRDefault="00913A0A" w:rsidP="002253A3">
            <w:pPr>
              <w:jc w:val="center"/>
              <w:rPr>
                <w:rFonts w:cs="Tahoma"/>
                <w:sz w:val="13"/>
              </w:rPr>
            </w:pPr>
            <w:r w:rsidRPr="00C83DF5">
              <w:rPr>
                <w:rFonts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DE02E2">
            <w:pPr>
              <w:pStyle w:val="ProductNames"/>
              <w:spacing w:beforeLines="20" w:before="48" w:afterLines="20" w:after="48"/>
              <w:rPr>
                <w:rFonts w:ascii="Tahoma" w:hAnsi="Tahoma" w:cs="Tahoma"/>
                <w:position w:val="0"/>
                <w:sz w:val="14"/>
              </w:rPr>
            </w:pPr>
            <w:bookmarkStart w:id="144" w:name="_Toc370983043"/>
            <w:r w:rsidRPr="00C83DF5">
              <w:rPr>
                <w:rFonts w:ascii="Tahoma" w:hAnsi="Tahoma" w:cs="Tahoma"/>
                <w:position w:val="0"/>
                <w:sz w:val="14"/>
              </w:rPr>
              <w:t>Bing Maps Known 5K User Bundle Monthly Sub</w:t>
            </w:r>
            <w:bookmarkEnd w:id="144"/>
          </w:p>
        </w:tc>
        <w:tc>
          <w:tcPr>
            <w:tcW w:w="414" w:type="dxa"/>
            <w:tcBorders>
              <w:bottom w:val="single" w:sz="4" w:space="0" w:color="auto"/>
            </w:tcBorders>
            <w:shd w:val="clear" w:color="auto" w:fill="FABF8F"/>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200 Punkte</w:t>
            </w: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200</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shd w:val="clear" w:color="auto" w:fill="FABF8F"/>
          </w:tcPr>
          <w:p w:rsidR="00913A0A" w:rsidRPr="00C83DF5" w:rsidRDefault="00913A0A" w:rsidP="002253A3">
            <w:pPr>
              <w:jc w:val="center"/>
              <w:rPr>
                <w:rFonts w:cs="Tahoma"/>
                <w:sz w:val="13"/>
              </w:rPr>
            </w:pPr>
            <w:r w:rsidRPr="00C83DF5">
              <w:rPr>
                <w:rFonts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rPr>
            </w:pPr>
            <w:bookmarkStart w:id="145" w:name="_Toc370983044"/>
            <w:r w:rsidRPr="00C83DF5">
              <w:rPr>
                <w:rFonts w:ascii="Tahoma" w:hAnsi="Tahoma" w:cs="Tahoma"/>
                <w:position w:val="0"/>
                <w:sz w:val="14"/>
              </w:rPr>
              <w:t>Bing Maps Light Known Per User Monthly Sub</w:t>
            </w:r>
            <w:bookmarkEnd w:id="145"/>
          </w:p>
        </w:tc>
        <w:tc>
          <w:tcPr>
            <w:tcW w:w="414" w:type="dxa"/>
            <w:tcBorders>
              <w:bottom w:val="single" w:sz="4" w:space="0" w:color="auto"/>
            </w:tcBorders>
            <w:shd w:val="clear" w:color="auto" w:fill="auto"/>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 Punkt</w:t>
            </w: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tcPr>
          <w:p w:rsidR="00913A0A" w:rsidRPr="00C83DF5" w:rsidRDefault="00913A0A" w:rsidP="002253A3">
            <w:pPr>
              <w:jc w:val="center"/>
              <w:rPr>
                <w:rFonts w:cs="Tahoma"/>
                <w:sz w:val="13"/>
              </w:rPr>
            </w:pPr>
            <w:r w:rsidRPr="00C83DF5">
              <w:rPr>
                <w:rFonts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DE02E2">
            <w:pPr>
              <w:pStyle w:val="ProductNames"/>
              <w:spacing w:beforeLines="20" w:before="48" w:afterLines="20" w:after="48"/>
              <w:rPr>
                <w:rFonts w:ascii="Tahoma" w:hAnsi="Tahoma" w:cs="Tahoma"/>
                <w:position w:val="0"/>
                <w:sz w:val="14"/>
              </w:rPr>
            </w:pPr>
            <w:bookmarkStart w:id="146" w:name="_Toc370983045"/>
            <w:r w:rsidRPr="00C83DF5">
              <w:rPr>
                <w:rFonts w:ascii="Tahoma" w:hAnsi="Tahoma" w:cs="Tahoma"/>
                <w:position w:val="0"/>
                <w:sz w:val="14"/>
              </w:rPr>
              <w:t>Bing Maps Light Known 5K User Bundle Monthly Sub</w:t>
            </w:r>
            <w:bookmarkEnd w:id="146"/>
          </w:p>
        </w:tc>
        <w:tc>
          <w:tcPr>
            <w:tcW w:w="414" w:type="dxa"/>
            <w:tcBorders>
              <w:bottom w:val="single" w:sz="4" w:space="0" w:color="auto"/>
            </w:tcBorders>
            <w:shd w:val="clear" w:color="auto" w:fill="FABF8F"/>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125 Punkte</w:t>
            </w: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125</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shd w:val="clear" w:color="auto" w:fill="FABF8F"/>
          </w:tcPr>
          <w:p w:rsidR="00913A0A" w:rsidRPr="00C83DF5" w:rsidRDefault="00913A0A" w:rsidP="002253A3">
            <w:pPr>
              <w:jc w:val="center"/>
              <w:rPr>
                <w:rFonts w:cs="Tahoma"/>
                <w:sz w:val="13"/>
              </w:rPr>
            </w:pPr>
            <w:r w:rsidRPr="00C83DF5">
              <w:rPr>
                <w:rFonts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rPr>
            </w:pPr>
            <w:bookmarkStart w:id="147" w:name="_Toc370983046"/>
            <w:r w:rsidRPr="00C83DF5">
              <w:rPr>
                <w:rFonts w:ascii="Tahoma" w:hAnsi="Tahoma" w:cs="Tahoma"/>
                <w:position w:val="0"/>
                <w:sz w:val="14"/>
              </w:rPr>
              <w:lastRenderedPageBreak/>
              <w:t>Bing Maps Mobile Asset Management Platform Fee Monthly Sub</w:t>
            </w:r>
            <w:bookmarkEnd w:id="147"/>
          </w:p>
        </w:tc>
        <w:tc>
          <w:tcPr>
            <w:tcW w:w="414" w:type="dxa"/>
            <w:tcBorders>
              <w:bottom w:val="single" w:sz="4" w:space="0" w:color="auto"/>
            </w:tcBorders>
            <w:shd w:val="clear" w:color="auto" w:fill="auto"/>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25 Punkte</w:t>
            </w: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25</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tcPr>
          <w:p w:rsidR="00913A0A" w:rsidRPr="00C83DF5" w:rsidRDefault="00913A0A" w:rsidP="002253A3">
            <w:pPr>
              <w:jc w:val="center"/>
              <w:rPr>
                <w:rFonts w:cs="Tahoma"/>
                <w:sz w:val="13"/>
              </w:rPr>
            </w:pPr>
            <w:r w:rsidRPr="00C83DF5">
              <w:rPr>
                <w:rFonts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DE02E2">
            <w:pPr>
              <w:pStyle w:val="ProductNames"/>
              <w:spacing w:beforeLines="20" w:before="48" w:afterLines="20" w:after="48"/>
              <w:rPr>
                <w:rFonts w:ascii="Tahoma" w:hAnsi="Tahoma" w:cs="Tahoma"/>
                <w:position w:val="0"/>
                <w:sz w:val="14"/>
              </w:rPr>
            </w:pPr>
            <w:bookmarkStart w:id="148" w:name="_Toc370983047"/>
            <w:r w:rsidRPr="00C83DF5">
              <w:rPr>
                <w:rFonts w:ascii="Tahoma" w:hAnsi="Tahoma" w:cs="Tahoma"/>
                <w:position w:val="0"/>
                <w:sz w:val="14"/>
              </w:rPr>
              <w:t>Bing Maps Mobile Asset Management NA mit Routing Per Asset Monthly Sub</w:t>
            </w:r>
            <w:bookmarkEnd w:id="148"/>
          </w:p>
        </w:tc>
        <w:tc>
          <w:tcPr>
            <w:tcW w:w="414" w:type="dxa"/>
            <w:tcBorders>
              <w:bottom w:val="single" w:sz="4" w:space="0" w:color="auto"/>
            </w:tcBorders>
            <w:shd w:val="clear" w:color="auto" w:fill="FABF8F"/>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1 Punkt</w:t>
            </w: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1</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shd w:val="clear" w:color="auto" w:fill="FABF8F"/>
          </w:tcPr>
          <w:p w:rsidR="00913A0A" w:rsidRPr="00C83DF5" w:rsidRDefault="00913A0A" w:rsidP="002253A3">
            <w:pPr>
              <w:jc w:val="center"/>
              <w:rPr>
                <w:rFonts w:cs="Tahoma"/>
                <w:sz w:val="13"/>
              </w:rPr>
            </w:pPr>
            <w:r w:rsidRPr="00C83DF5">
              <w:rPr>
                <w:rFonts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rPr>
            </w:pPr>
            <w:bookmarkStart w:id="149" w:name="_Toc370983048"/>
            <w:r w:rsidRPr="00C83DF5">
              <w:rPr>
                <w:rFonts w:ascii="Tahoma" w:hAnsi="Tahoma" w:cs="Tahoma"/>
                <w:position w:val="0"/>
                <w:sz w:val="14"/>
              </w:rPr>
              <w:t>Bing Maps Mobile Asset Management NA ohne Routing Per Asset Monthly Sub</w:t>
            </w:r>
            <w:bookmarkEnd w:id="149"/>
          </w:p>
        </w:tc>
        <w:tc>
          <w:tcPr>
            <w:tcW w:w="414" w:type="dxa"/>
            <w:tcBorders>
              <w:bottom w:val="single" w:sz="4" w:space="0" w:color="auto"/>
            </w:tcBorders>
            <w:shd w:val="clear" w:color="auto" w:fill="auto"/>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 Punkt</w:t>
            </w: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tcPr>
          <w:p w:rsidR="00913A0A" w:rsidRPr="00C83DF5" w:rsidRDefault="00913A0A" w:rsidP="002253A3">
            <w:pPr>
              <w:jc w:val="center"/>
              <w:rPr>
                <w:rFonts w:cs="Tahoma"/>
                <w:sz w:val="13"/>
              </w:rPr>
            </w:pPr>
            <w:r w:rsidRPr="00C83DF5">
              <w:rPr>
                <w:rFonts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806AB8">
            <w:pPr>
              <w:pStyle w:val="ProductNames"/>
              <w:spacing w:beforeLines="20" w:before="48" w:afterLines="20" w:after="48"/>
              <w:rPr>
                <w:rFonts w:ascii="Tahoma" w:hAnsi="Tahoma" w:cs="Tahoma"/>
                <w:position w:val="0"/>
                <w:sz w:val="14"/>
              </w:rPr>
            </w:pPr>
            <w:bookmarkStart w:id="150" w:name="_Toc370983049"/>
            <w:r w:rsidRPr="00C83DF5">
              <w:rPr>
                <w:rFonts w:ascii="Tahoma" w:hAnsi="Tahoma" w:cs="Tahoma"/>
                <w:position w:val="0"/>
                <w:sz w:val="14"/>
              </w:rPr>
              <w:t>Bing Maps Mobile Asset Management Europe mit Routing Per Asset Monthly</w:t>
            </w:r>
            <w:r w:rsidR="00806AB8">
              <w:rPr>
                <w:rFonts w:ascii="Tahoma" w:hAnsi="Tahoma" w:cs="Tahoma"/>
                <w:position w:val="0"/>
                <w:sz w:val="14"/>
              </w:rPr>
              <w:t> </w:t>
            </w:r>
            <w:r w:rsidRPr="00C83DF5">
              <w:rPr>
                <w:rFonts w:ascii="Tahoma" w:hAnsi="Tahoma" w:cs="Tahoma"/>
                <w:position w:val="0"/>
                <w:sz w:val="14"/>
              </w:rPr>
              <w:t>Sub</w:t>
            </w:r>
            <w:bookmarkEnd w:id="150"/>
          </w:p>
        </w:tc>
        <w:tc>
          <w:tcPr>
            <w:tcW w:w="414" w:type="dxa"/>
            <w:tcBorders>
              <w:bottom w:val="single" w:sz="4" w:space="0" w:color="auto"/>
            </w:tcBorders>
            <w:shd w:val="clear" w:color="auto" w:fill="FABF8F"/>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1 Punkt</w:t>
            </w: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4"/>
              </w:rPr>
              <w:t>1</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FABF8F"/>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FABF8F"/>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shd w:val="clear" w:color="auto" w:fill="FABF8F"/>
          </w:tcPr>
          <w:p w:rsidR="00913A0A" w:rsidRPr="00C83DF5" w:rsidRDefault="00913A0A" w:rsidP="002253A3">
            <w:pPr>
              <w:jc w:val="center"/>
              <w:rPr>
                <w:rFonts w:cs="Tahoma"/>
                <w:sz w:val="13"/>
              </w:rPr>
            </w:pPr>
            <w:r w:rsidRPr="00C83DF5">
              <w:rPr>
                <w:rFonts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806AB8">
            <w:pPr>
              <w:pStyle w:val="ProductNames"/>
              <w:spacing w:beforeLines="20" w:before="48" w:afterLines="20" w:after="48"/>
              <w:rPr>
                <w:rFonts w:ascii="Tahoma" w:hAnsi="Tahoma" w:cs="Tahoma"/>
                <w:position w:val="0"/>
                <w:sz w:val="14"/>
              </w:rPr>
            </w:pPr>
            <w:bookmarkStart w:id="151" w:name="_Toc370983050"/>
            <w:r w:rsidRPr="00C83DF5">
              <w:rPr>
                <w:rFonts w:ascii="Tahoma" w:hAnsi="Tahoma" w:cs="Tahoma"/>
                <w:position w:val="0"/>
                <w:sz w:val="14"/>
              </w:rPr>
              <w:t>Bing Maps Mobile Asset Management Europe ohne Routing Per Asset Monthly</w:t>
            </w:r>
            <w:r w:rsidR="00806AB8">
              <w:rPr>
                <w:rFonts w:ascii="Tahoma" w:hAnsi="Tahoma" w:cs="Tahoma"/>
                <w:position w:val="0"/>
                <w:sz w:val="14"/>
              </w:rPr>
              <w:t> </w:t>
            </w:r>
            <w:r w:rsidRPr="00C83DF5">
              <w:rPr>
                <w:rFonts w:ascii="Tahoma" w:hAnsi="Tahoma" w:cs="Tahoma"/>
                <w:position w:val="0"/>
                <w:sz w:val="14"/>
              </w:rPr>
              <w:t>Sub</w:t>
            </w:r>
            <w:bookmarkEnd w:id="151"/>
          </w:p>
        </w:tc>
        <w:tc>
          <w:tcPr>
            <w:tcW w:w="414" w:type="dxa"/>
            <w:tcBorders>
              <w:bottom w:val="single" w:sz="4" w:space="0" w:color="auto"/>
            </w:tcBorders>
            <w:shd w:val="clear" w:color="auto" w:fill="auto"/>
            <w:vAlign w:val="center"/>
          </w:tcPr>
          <w:p w:rsidR="00913A0A" w:rsidRPr="00C83DF5" w:rsidRDefault="005519A5" w:rsidP="003D4F46">
            <w:pPr>
              <w:jc w:val="center"/>
              <w:rPr>
                <w:rFonts w:ascii="Trebuchet MS" w:hAnsi="Trebuchet MS"/>
                <w:b/>
                <w:sz w:val="13"/>
                <w:szCs w:val="13"/>
              </w:rPr>
            </w:pPr>
            <w:hyperlink w:anchor="_34_Bing_Maps" w:history="1">
              <w:r w:rsidR="00B71CF7" w:rsidRPr="00C83DF5">
                <w:rPr>
                  <w:rStyle w:val="Hyperlink"/>
                  <w:rFonts w:ascii="Trebuchet MS" w:hAnsi="Trebuchet MS"/>
                  <w:b/>
                  <w:sz w:val="13"/>
                  <w:szCs w:val="13"/>
                </w:rPr>
                <w:t>34</w:t>
              </w:r>
            </w:hyperlink>
          </w:p>
        </w:tc>
        <w:tc>
          <w:tcPr>
            <w:tcW w:w="449" w:type="dxa"/>
            <w:tcBorders>
              <w:bottom w:val="single" w:sz="4" w:space="0" w:color="auto"/>
            </w:tcBorders>
            <w:shd w:val="clear" w:color="auto" w:fill="auto"/>
            <w:vAlign w:val="center"/>
          </w:tcPr>
          <w:p w:rsidR="00913A0A" w:rsidRPr="00C83DF5" w:rsidRDefault="00913A0A" w:rsidP="00D15BAA">
            <w:pPr>
              <w:jc w:val="center"/>
              <w:rPr>
                <w:rFonts w:cs="Tahoma"/>
                <w:sz w:val="14"/>
              </w:rPr>
            </w:pPr>
            <w:r w:rsidRPr="00C83DF5">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 Punkt</w:t>
            </w: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4"/>
              </w:rPr>
              <w:t>1</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P</w:t>
            </w:r>
          </w:p>
        </w:tc>
        <w:tc>
          <w:tcPr>
            <w:tcW w:w="450" w:type="dxa"/>
            <w:tcBorders>
              <w:bottom w:val="single" w:sz="4" w:space="0" w:color="auto"/>
            </w:tcBorders>
            <w:shd w:val="clear" w:color="auto" w:fill="auto"/>
            <w:vAlign w:val="center"/>
          </w:tcPr>
          <w:p w:rsidR="00913A0A" w:rsidRPr="00C83DF5"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C83DF5" w:rsidRDefault="00913A0A" w:rsidP="002253A3">
            <w:pPr>
              <w:jc w:val="center"/>
              <w:rPr>
                <w:rFonts w:cs="Tahoma"/>
                <w:sz w:val="14"/>
              </w:rPr>
            </w:pPr>
            <w:r w:rsidRPr="00C83DF5">
              <w:rPr>
                <w:rFonts w:cs="Tahoma"/>
                <w:sz w:val="13"/>
              </w:rPr>
              <w:t>OL/OV</w:t>
            </w:r>
          </w:p>
        </w:tc>
        <w:tc>
          <w:tcPr>
            <w:tcW w:w="484" w:type="dxa"/>
            <w:tcBorders>
              <w:bottom w:val="single" w:sz="4" w:space="0" w:color="auto"/>
            </w:tcBorders>
          </w:tcPr>
          <w:p w:rsidR="00913A0A" w:rsidRPr="00C83DF5" w:rsidRDefault="00913A0A" w:rsidP="002253A3">
            <w:pPr>
              <w:jc w:val="center"/>
              <w:rPr>
                <w:rFonts w:cs="Tahoma"/>
                <w:sz w:val="13"/>
              </w:rPr>
            </w:pPr>
            <w:r w:rsidRPr="00C83DF5">
              <w:rPr>
                <w:rFonts w:cs="Tahoma"/>
                <w:sz w:val="13"/>
              </w:rPr>
              <w:t>A</w:t>
            </w:r>
          </w:p>
        </w:tc>
      </w:tr>
      <w:tr w:rsidR="008A0F85" w:rsidRPr="00C83DF5" w:rsidTr="004909D7">
        <w:trPr>
          <w:trHeight w:val="64"/>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152" w:name="_Toc336337919"/>
            <w:bookmarkStart w:id="153" w:name="_Toc370983051"/>
            <w:r w:rsidRPr="00C83DF5">
              <w:rPr>
                <w:rFonts w:ascii="Tahoma" w:hAnsi="Tahoma" w:cs="Tahoma"/>
                <w:position w:val="0"/>
                <w:sz w:val="14"/>
              </w:rPr>
              <w:t>BizTalk</w:t>
            </w:r>
            <w:r w:rsidRPr="00DF3F89">
              <w:rPr>
                <w:rFonts w:cs="Tahoma"/>
                <w:position w:val="0"/>
                <w:szCs w:val="18"/>
                <w:vertAlign w:val="superscript"/>
              </w:rPr>
              <w:t>®</w:t>
            </w:r>
            <w:r w:rsidRPr="00C83DF5">
              <w:rPr>
                <w:rFonts w:ascii="Tahoma" w:hAnsi="Tahoma" w:cs="Tahoma"/>
                <w:position w:val="0"/>
                <w:sz w:val="14"/>
              </w:rPr>
              <w:t xml:space="preserve"> Server 2013 Branch Edition</w:t>
            </w:r>
            <w:bookmarkEnd w:id="152"/>
            <w:bookmarkEnd w:id="153"/>
            <w:r w:rsidRPr="00C83DF5">
              <w:rPr>
                <w:rFonts w:ascii="Tahoma" w:hAnsi="Tahoma" w:cs="Tahoma"/>
                <w:position w:val="0"/>
                <w:sz w:val="14"/>
              </w:rPr>
              <w:t xml:space="preserve"> </w:t>
            </w:r>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rFonts w:cs="Tahoma"/>
                <w:b w:val="0"/>
                <w:color w:val="0000FF"/>
                <w:sz w:val="13"/>
                <w:szCs w:val="13"/>
                <w:u w:val="single"/>
              </w:rPr>
            </w:pPr>
            <w:hyperlink w:anchor="_29_BizTalk®_Server" w:history="1">
              <w:r w:rsidR="00CF5A3E" w:rsidRPr="00C83DF5">
                <w:rPr>
                  <w:rStyle w:val="Hyperlink"/>
                  <w:rFonts w:cs="Tahoma"/>
                  <w:b/>
                  <w:sz w:val="13"/>
                  <w:szCs w:val="13"/>
                </w:rPr>
                <w:t>35</w:t>
              </w:r>
            </w:hyperlink>
            <w:hyperlink w:anchor="Srv_26_BizTalkServerBranch" w:history="1"/>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63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OL/OV</w:t>
            </w:r>
          </w:p>
        </w:tc>
        <w:tc>
          <w:tcPr>
            <w:tcW w:w="484" w:type="dxa"/>
            <w:tcBorders>
              <w:bottom w:val="single" w:sz="4" w:space="0" w:color="auto"/>
            </w:tcBorders>
            <w:shd w:val="clear" w:color="auto" w:fill="FABF8F"/>
          </w:tcPr>
          <w:p w:rsidR="00913A0A" w:rsidRPr="00C83DF5" w:rsidRDefault="00D93CA3" w:rsidP="001A63C6">
            <w:pPr>
              <w:pStyle w:val="TableText"/>
              <w:widowControl w:val="0"/>
              <w:rPr>
                <w:rFonts w:ascii="Tahoma" w:hAnsi="Tahoma" w:cs="Tahoma"/>
                <w:color w:val="000000"/>
                <w:sz w:val="13"/>
              </w:rPr>
            </w:pPr>
            <w:r w:rsidRPr="00C83DF5">
              <w:rPr>
                <w:rFonts w:ascii="Tahoma" w:hAnsi="Tahoma" w:cs="Tahoma"/>
                <w:color w:val="000000"/>
                <w:sz w:val="13"/>
              </w:rPr>
              <w:t>STP</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154" w:name="_Toc336337920"/>
            <w:bookmarkStart w:id="155" w:name="_Toc370983052"/>
            <w:r w:rsidRPr="00C83DF5">
              <w:rPr>
                <w:rFonts w:ascii="Tahoma" w:hAnsi="Tahoma" w:cs="Tahoma"/>
                <w:position w:val="0"/>
                <w:sz w:val="14"/>
              </w:rPr>
              <w:t>BizTalk</w:t>
            </w:r>
            <w:r w:rsidRPr="00DF3F89">
              <w:rPr>
                <w:rFonts w:cs="Tahoma"/>
                <w:position w:val="0"/>
                <w:szCs w:val="18"/>
                <w:vertAlign w:val="superscript"/>
              </w:rPr>
              <w:t>®</w:t>
            </w:r>
            <w:r w:rsidRPr="00C83DF5">
              <w:rPr>
                <w:rFonts w:ascii="Tahoma" w:hAnsi="Tahoma" w:cs="Tahoma"/>
                <w:position w:val="0"/>
                <w:sz w:val="14"/>
              </w:rPr>
              <w:t xml:space="preserve"> Server 2013 Enterprise Edition</w:t>
            </w:r>
            <w:bookmarkEnd w:id="154"/>
            <w:bookmarkEnd w:id="155"/>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rFonts w:cs="Tahoma"/>
                <w:b w:val="0"/>
                <w:color w:val="0000FF"/>
                <w:sz w:val="13"/>
                <w:szCs w:val="13"/>
                <w:u w:val="single"/>
              </w:rPr>
            </w:pPr>
            <w:hyperlink w:anchor="_36_BizTalk_Server®" w:history="1">
              <w:r w:rsidR="00CF5A3E" w:rsidRPr="00C83DF5">
                <w:rPr>
                  <w:rStyle w:val="Hyperlink"/>
                  <w:rFonts w:cs="Tahoma"/>
                  <w:b/>
                  <w:sz w:val="13"/>
                  <w:szCs w:val="13"/>
                </w:rPr>
                <w:t>36</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ED3095"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ED309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ED3095"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D93CA3" w:rsidP="001A63C6">
            <w:pPr>
              <w:pStyle w:val="TableText"/>
              <w:widowControl w:val="0"/>
              <w:rPr>
                <w:rFonts w:ascii="Tahoma" w:hAnsi="Tahoma" w:cs="Tahoma"/>
                <w:color w:val="000000"/>
                <w:sz w:val="13"/>
              </w:rPr>
            </w:pPr>
            <w:r w:rsidRPr="00C83DF5">
              <w:rPr>
                <w:rFonts w:ascii="Tahoma" w:hAnsi="Tahoma" w:cs="Tahoma"/>
                <w:color w:val="000000"/>
                <w:sz w:val="13"/>
              </w:rPr>
              <w:t>STP</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156" w:name="_Toc370983053"/>
            <w:r w:rsidRPr="00C83DF5">
              <w:rPr>
                <w:rFonts w:ascii="Tahoma" w:hAnsi="Tahoma" w:cs="Tahoma"/>
                <w:position w:val="0"/>
                <w:sz w:val="14"/>
              </w:rPr>
              <w:t>BizTalk</w:t>
            </w:r>
            <w:r w:rsidRPr="00DF3F89">
              <w:rPr>
                <w:rFonts w:cs="Tahoma"/>
                <w:position w:val="0"/>
                <w:szCs w:val="18"/>
                <w:vertAlign w:val="superscript"/>
              </w:rPr>
              <w:t>®</w:t>
            </w:r>
            <w:r w:rsidRPr="00C83DF5">
              <w:rPr>
                <w:rFonts w:ascii="Tahoma" w:hAnsi="Tahoma" w:cs="Tahoma"/>
                <w:position w:val="0"/>
                <w:sz w:val="14"/>
              </w:rPr>
              <w:t xml:space="preserve"> Server 2013 Branch IDC</w:t>
            </w:r>
            <w:bookmarkEnd w:id="156"/>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pPr>
          </w:p>
        </w:tc>
        <w:tc>
          <w:tcPr>
            <w:tcW w:w="449" w:type="dxa"/>
            <w:tcBorders>
              <w:bottom w:val="single" w:sz="4" w:space="0" w:color="auto"/>
            </w:tcBorders>
            <w:shd w:val="clear" w:color="auto" w:fill="FABF8F"/>
            <w:vAlign w:val="center"/>
          </w:tcPr>
          <w:p w:rsidR="00913A0A" w:rsidRPr="00C83DF5" w:rsidDel="004D199A" w:rsidRDefault="00913A0A" w:rsidP="001A63C6">
            <w:pPr>
              <w:pStyle w:val="TableText"/>
              <w:widowControl w:val="0"/>
              <w:rPr>
                <w:rFonts w:ascii="Tahoma" w:hAnsi="Tahoma" w:cs="Tahoma"/>
                <w:color w:val="000000"/>
                <w:sz w:val="13"/>
              </w:rPr>
            </w:pPr>
            <w:r w:rsidRPr="00C83DF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157" w:name="_Toc336337922"/>
            <w:bookmarkStart w:id="158" w:name="_Toc370983054"/>
            <w:r w:rsidRPr="00C83DF5">
              <w:rPr>
                <w:rFonts w:ascii="Tahoma" w:hAnsi="Tahoma" w:cs="Tahoma"/>
                <w:position w:val="0"/>
                <w:sz w:val="14"/>
              </w:rPr>
              <w:t>BizTalk</w:t>
            </w:r>
            <w:r w:rsidRPr="00DF3F89">
              <w:rPr>
                <w:rFonts w:cs="Tahoma"/>
                <w:position w:val="0"/>
                <w:szCs w:val="18"/>
                <w:vertAlign w:val="superscript"/>
              </w:rPr>
              <w:t>®</w:t>
            </w:r>
            <w:r w:rsidRPr="00C83DF5">
              <w:rPr>
                <w:rFonts w:ascii="Tahoma" w:hAnsi="Tahoma" w:cs="Tahoma"/>
                <w:position w:val="0"/>
                <w:sz w:val="14"/>
              </w:rPr>
              <w:t xml:space="preserve"> Server 2013 Standard Edition</w:t>
            </w:r>
            <w:bookmarkEnd w:id="157"/>
            <w:bookmarkEnd w:id="158"/>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rFonts w:cs="Tahoma"/>
                <w:b w:val="0"/>
                <w:color w:val="0000FF"/>
                <w:sz w:val="13"/>
                <w:szCs w:val="13"/>
                <w:u w:val="single"/>
              </w:rPr>
            </w:pPr>
            <w:hyperlink w:anchor="_37_BizTalk_Server®" w:history="1">
              <w:r w:rsidR="00CF5A3E" w:rsidRPr="00C83DF5">
                <w:rPr>
                  <w:rStyle w:val="Hyperlink"/>
                  <w:rFonts w:cs="Tahoma"/>
                  <w:b/>
                  <w:sz w:val="13"/>
                  <w:szCs w:val="13"/>
                </w:rPr>
                <w:t>37</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OL/OV</w:t>
            </w:r>
          </w:p>
        </w:tc>
        <w:tc>
          <w:tcPr>
            <w:tcW w:w="484" w:type="dxa"/>
            <w:tcBorders>
              <w:bottom w:val="single" w:sz="4" w:space="0" w:color="auto"/>
            </w:tcBorders>
          </w:tcPr>
          <w:p w:rsidR="00913A0A" w:rsidRPr="00C83DF5" w:rsidRDefault="00D93CA3" w:rsidP="001A63C6">
            <w:pPr>
              <w:pStyle w:val="TableText"/>
              <w:widowControl w:val="0"/>
              <w:rPr>
                <w:rFonts w:ascii="Tahoma" w:hAnsi="Tahoma" w:cs="Tahoma"/>
                <w:color w:val="000000"/>
                <w:sz w:val="13"/>
              </w:rPr>
            </w:pPr>
            <w:r w:rsidRPr="00C83DF5">
              <w:rPr>
                <w:rFonts w:ascii="Tahoma" w:hAnsi="Tahoma" w:cs="Tahoma"/>
                <w:color w:val="000000"/>
                <w:sz w:val="13"/>
              </w:rPr>
              <w:t>STP</w:t>
            </w:r>
          </w:p>
        </w:tc>
      </w:tr>
      <w:tr w:rsidR="008A0F85" w:rsidRPr="00C83DF5" w:rsidDel="00E7100E" w:rsidTr="004909D7">
        <w:trPr>
          <w:trHeight w:val="145"/>
        </w:trPr>
        <w:tc>
          <w:tcPr>
            <w:tcW w:w="2546" w:type="dxa"/>
            <w:gridSpan w:val="2"/>
            <w:tcBorders>
              <w:bottom w:val="single" w:sz="4" w:space="0" w:color="auto"/>
            </w:tcBorders>
            <w:shd w:val="clear" w:color="auto" w:fill="FABF8F"/>
            <w:vAlign w:val="center"/>
          </w:tcPr>
          <w:p w:rsidR="00913A0A" w:rsidRPr="00C83DF5" w:rsidDel="002B327C" w:rsidRDefault="00913A0A" w:rsidP="00806AB8">
            <w:pPr>
              <w:pStyle w:val="Heading2"/>
              <w:spacing w:beforeLines="20" w:before="48" w:afterLines="20" w:after="48"/>
              <w:ind w:left="0"/>
              <w:rPr>
                <w:rFonts w:ascii="Tahoma" w:hAnsi="Tahoma" w:cs="Tahoma"/>
                <w:b w:val="0"/>
                <w:sz w:val="14"/>
              </w:rPr>
            </w:pPr>
            <w:bookmarkStart w:id="159" w:name="_Toc370983055"/>
            <w:r w:rsidRPr="00C83DF5">
              <w:rPr>
                <w:rFonts w:ascii="Tahoma" w:hAnsi="Tahoma" w:cs="Tahoma"/>
                <w:b w:val="0"/>
                <w:sz w:val="14"/>
              </w:rPr>
              <w:t>BizTalk</w:t>
            </w:r>
            <w:r w:rsidRPr="00DF3F89">
              <w:rPr>
                <w:rFonts w:ascii="Tahoma" w:hAnsi="Tahoma" w:cs="Tahoma"/>
                <w:b w:val="0"/>
                <w:sz w:val="14"/>
                <w:vertAlign w:val="superscript"/>
              </w:rPr>
              <w:t>®</w:t>
            </w:r>
            <w:r w:rsidRPr="00C83DF5">
              <w:rPr>
                <w:rFonts w:ascii="Tahoma" w:hAnsi="Tahoma" w:cs="Tahoma"/>
                <w:b w:val="0"/>
                <w:sz w:val="14"/>
              </w:rPr>
              <w:t xml:space="preserve"> Server 2013 Standard Edition</w:t>
            </w:r>
            <w:r w:rsidR="00806AB8">
              <w:rPr>
                <w:rFonts w:ascii="Tahoma" w:hAnsi="Tahoma" w:cs="Tahoma"/>
                <w:b w:val="0"/>
                <w:sz w:val="14"/>
              </w:rPr>
              <w:t> </w:t>
            </w:r>
            <w:r w:rsidRPr="00C83DF5">
              <w:rPr>
                <w:rFonts w:ascii="Tahoma" w:hAnsi="Tahoma" w:cs="Tahoma"/>
                <w:b w:val="0"/>
                <w:sz w:val="14"/>
              </w:rPr>
              <w:t>IDC</w:t>
            </w:r>
            <w:bookmarkEnd w:id="159"/>
          </w:p>
        </w:tc>
        <w:tc>
          <w:tcPr>
            <w:tcW w:w="414" w:type="dxa"/>
            <w:tcBorders>
              <w:bottom w:val="single" w:sz="4" w:space="0" w:color="auto"/>
            </w:tcBorders>
            <w:shd w:val="clear" w:color="auto" w:fill="FABF8F"/>
            <w:vAlign w:val="center"/>
          </w:tcPr>
          <w:p w:rsidR="00913A0A" w:rsidRPr="00C83DF5" w:rsidDel="00E7100E" w:rsidRDefault="00913A0A" w:rsidP="002253A3">
            <w:pPr>
              <w:jc w:val="center"/>
              <w:rPr>
                <w:sz w:val="13"/>
                <w:szCs w:val="13"/>
              </w:rPr>
            </w:pPr>
          </w:p>
        </w:tc>
        <w:tc>
          <w:tcPr>
            <w:tcW w:w="449" w:type="dxa"/>
            <w:tcBorders>
              <w:bottom w:val="single" w:sz="4" w:space="0" w:color="auto"/>
            </w:tcBorders>
            <w:shd w:val="clear" w:color="auto" w:fill="FABF8F"/>
            <w:vAlign w:val="center"/>
          </w:tcPr>
          <w:p w:rsidR="00913A0A" w:rsidRPr="00C83DF5" w:rsidDel="00A53269" w:rsidRDefault="00913A0A" w:rsidP="002253A3">
            <w:pPr>
              <w:jc w:val="center"/>
              <w:rPr>
                <w:rFonts w:cs="Tahoma"/>
                <w:color w:val="000000"/>
                <w:sz w:val="13"/>
                <w:szCs w:val="13"/>
              </w:rPr>
            </w:pPr>
            <w:r w:rsidRPr="00C83DF5">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913A0A" w:rsidRPr="00C83DF5"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5" w:type="dxa"/>
            <w:gridSpan w:val="2"/>
            <w:tcBorders>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366" w:type="dxa"/>
            <w:tcBorders>
              <w:bottom w:val="single" w:sz="4" w:space="0" w:color="auto"/>
              <w:right w:val="single" w:sz="18"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Del="00A53269" w:rsidRDefault="00913A0A" w:rsidP="002253A3">
            <w:pPr>
              <w:jc w:val="center"/>
              <w:rPr>
                <w:rFonts w:cs="Tahoma"/>
                <w:sz w:val="13"/>
                <w:szCs w:val="13"/>
              </w:rPr>
            </w:pPr>
            <w:r w:rsidRPr="00C83DF5">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rsidR="00913A0A" w:rsidRPr="00C83DF5"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rsidR="00913A0A" w:rsidRPr="00C83DF5"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rsidR="00913A0A" w:rsidRPr="00C83DF5" w:rsidDel="00E7100E" w:rsidRDefault="00913A0A" w:rsidP="002253A3">
            <w:pPr>
              <w:jc w:val="center"/>
              <w:rPr>
                <w:rFonts w:cs="Tahoma"/>
                <w:color w:val="000000"/>
                <w:sz w:val="13"/>
                <w:szCs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6"/>
                <w:szCs w:val="16"/>
              </w:rPr>
            </w:pPr>
            <w:bookmarkStart w:id="160" w:name="_Toc336337925"/>
            <w:bookmarkStart w:id="161" w:name="_Toc370983056"/>
            <w:r w:rsidRPr="00C83DF5">
              <w:rPr>
                <w:rFonts w:ascii="Tahoma" w:hAnsi="Tahoma" w:cs="Tahoma"/>
                <w:b w:val="0"/>
                <w:sz w:val="14"/>
                <w:szCs w:val="16"/>
              </w:rPr>
              <w:t>Business Intelligence Appliance 2012</w:t>
            </w:r>
            <w:bookmarkEnd w:id="160"/>
            <w:bookmarkEnd w:id="161"/>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b w:val="0"/>
                <w:color w:val="0000FF"/>
                <w:sz w:val="13"/>
                <w:szCs w:val="13"/>
                <w:u w:val="single"/>
              </w:rPr>
            </w:pPr>
            <w:hyperlink w:anchor="_38_Business_Intelligence" w:history="1">
              <w:r w:rsidR="00CF5A3E" w:rsidRPr="00C83DF5">
                <w:rPr>
                  <w:rStyle w:val="Hyperlink"/>
                  <w:b/>
                  <w:sz w:val="13"/>
                  <w:szCs w:val="13"/>
                </w:rPr>
                <w:t>38</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313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188</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125</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D93CA3" w:rsidP="001A63C6">
            <w:pPr>
              <w:pStyle w:val="TableText"/>
              <w:widowControl w:val="0"/>
              <w:rPr>
                <w:rFonts w:ascii="Tahoma" w:hAnsi="Tahoma" w:cs="Tahoma"/>
                <w:color w:val="000000"/>
                <w:sz w:val="13"/>
              </w:rPr>
            </w:pPr>
            <w:r w:rsidRPr="00C83DF5">
              <w:rPr>
                <w:rFonts w:ascii="Tahoma" w:hAnsi="Tahoma" w:cs="Tahoma"/>
                <w:color w:val="000000"/>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162" w:name="_Toc336337926"/>
            <w:bookmarkStart w:id="163" w:name="_Toc370983057"/>
            <w:r w:rsidRPr="00C83DF5">
              <w:rPr>
                <w:rFonts w:ascii="Tahoma" w:hAnsi="Tahoma" w:cs="Tahoma"/>
                <w:position w:val="0"/>
                <w:sz w:val="14"/>
                <w:lang w:val="de-DE"/>
              </w:rPr>
              <w:t>Core CAL Suite Bridge für Office 365 (Nutzer &amp; Gerät)</w:t>
            </w:r>
            <w:bookmarkEnd w:id="162"/>
            <w:bookmarkEnd w:id="163"/>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color w:val="0000FF"/>
                <w:sz w:val="13"/>
                <w:szCs w:val="13"/>
                <w:u w:val="single"/>
              </w:rPr>
            </w:pPr>
            <w:hyperlink w:anchor="_39_Core_CAL" w:history="1">
              <w:r w:rsidR="00CF5A3E" w:rsidRPr="00C83DF5">
                <w:rPr>
                  <w:rStyle w:val="Hyperlink"/>
                  <w:b/>
                  <w:sz w:val="13"/>
                  <w:szCs w:val="13"/>
                </w:rPr>
                <w:t>39</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164" w:name="_Toc336337927"/>
            <w:bookmarkStart w:id="165" w:name="_Toc370983058"/>
            <w:r w:rsidRPr="00C83DF5">
              <w:rPr>
                <w:rFonts w:ascii="Tahoma" w:hAnsi="Tahoma" w:cs="Tahoma"/>
                <w:position w:val="0"/>
                <w:sz w:val="14"/>
                <w:lang w:val="de-DE"/>
              </w:rPr>
              <w:t>Core CAL Suite Bridge für Office 365 und Windows</w:t>
            </w:r>
            <w:r w:rsidRPr="00DF3F89">
              <w:rPr>
                <w:rFonts w:ascii="Tahoma" w:hAnsi="Tahoma" w:cs="Tahoma"/>
                <w:position w:val="0"/>
                <w:sz w:val="14"/>
                <w:vertAlign w:val="superscript"/>
                <w:lang w:val="de-DE"/>
              </w:rPr>
              <w:t>®</w:t>
            </w:r>
            <w:r w:rsidRPr="00C83DF5">
              <w:rPr>
                <w:rFonts w:ascii="Tahoma" w:hAnsi="Tahoma" w:cs="Tahoma"/>
                <w:position w:val="0"/>
                <w:sz w:val="14"/>
                <w:lang w:val="de-DE"/>
              </w:rPr>
              <w:t xml:space="preserve"> Intune (Nutzer &amp; Gerät)</w:t>
            </w:r>
            <w:bookmarkEnd w:id="164"/>
            <w:bookmarkEnd w:id="165"/>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b/>
                <w:color w:val="0000FF"/>
                <w:sz w:val="13"/>
                <w:szCs w:val="13"/>
                <w:u w:val="single"/>
              </w:rPr>
            </w:pPr>
            <w:hyperlink w:anchor="_39_Core_CAL" w:history="1">
              <w:r w:rsidR="00746AAC" w:rsidRPr="00C83DF5">
                <w:rPr>
                  <w:rStyle w:val="Hyperlink"/>
                  <w:b/>
                  <w:sz w:val="13"/>
                  <w:szCs w:val="13"/>
                </w:rPr>
                <w:t>39</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806AB8">
            <w:pPr>
              <w:pStyle w:val="ProductNames"/>
              <w:spacing w:beforeLines="20" w:before="48" w:afterLines="20" w:after="48"/>
              <w:rPr>
                <w:rFonts w:ascii="Tahoma" w:hAnsi="Tahoma" w:cs="Tahoma"/>
                <w:position w:val="0"/>
                <w:sz w:val="14"/>
                <w:lang w:val="de-DE"/>
              </w:rPr>
            </w:pPr>
            <w:bookmarkStart w:id="166" w:name="_Toc336337928"/>
            <w:bookmarkStart w:id="167" w:name="_Toc370983059"/>
            <w:r w:rsidRPr="00C83DF5">
              <w:rPr>
                <w:rFonts w:ascii="Tahoma" w:hAnsi="Tahoma" w:cs="Tahoma"/>
                <w:position w:val="0"/>
                <w:sz w:val="14"/>
                <w:lang w:val="de-DE"/>
              </w:rPr>
              <w:t>Core CAL Suite Bridge für Windows</w:t>
            </w:r>
            <w:r w:rsidRPr="00DF3F89">
              <w:rPr>
                <w:rFonts w:ascii="Tahoma" w:hAnsi="Tahoma" w:cs="Tahoma"/>
                <w:position w:val="0"/>
                <w:sz w:val="14"/>
                <w:vertAlign w:val="superscript"/>
                <w:lang w:val="de-DE"/>
              </w:rPr>
              <w:t>®</w:t>
            </w:r>
            <w:r w:rsidR="00806AB8">
              <w:rPr>
                <w:rFonts w:ascii="Tahoma" w:hAnsi="Tahoma" w:cs="Tahoma"/>
                <w:position w:val="0"/>
                <w:sz w:val="14"/>
                <w:lang w:val="de-DE"/>
              </w:rPr>
              <w:t> </w:t>
            </w:r>
            <w:r w:rsidRPr="00C83DF5">
              <w:rPr>
                <w:rFonts w:ascii="Tahoma" w:hAnsi="Tahoma" w:cs="Tahoma"/>
                <w:position w:val="0"/>
                <w:sz w:val="14"/>
                <w:lang w:val="de-DE"/>
              </w:rPr>
              <w:t>Intune (Nutzer &amp; Gerät)</w:t>
            </w:r>
            <w:bookmarkEnd w:id="166"/>
            <w:bookmarkEnd w:id="167"/>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color w:val="0000FF"/>
                <w:sz w:val="13"/>
                <w:szCs w:val="13"/>
                <w:u w:val="single"/>
              </w:rPr>
            </w:pPr>
            <w:hyperlink w:anchor="_39_Core_CAL" w:history="1">
              <w:r w:rsidR="00746AAC" w:rsidRPr="00C83DF5">
                <w:rPr>
                  <w:rStyle w:val="Hyperlink"/>
                  <w:b/>
                  <w:sz w:val="13"/>
                  <w:szCs w:val="13"/>
                </w:rPr>
                <w:t>39</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168" w:name="_Toc336337929"/>
            <w:bookmarkStart w:id="169" w:name="_Toc370983060"/>
            <w:r w:rsidRPr="00C83DF5">
              <w:rPr>
                <w:rFonts w:ascii="Tahoma" w:hAnsi="Tahoma" w:cs="Tahoma"/>
                <w:position w:val="0"/>
                <w:sz w:val="14"/>
                <w:lang w:val="de-DE"/>
              </w:rPr>
              <w:t>Core CAL Suite (Nutzer &amp; Gerät)</w:t>
            </w:r>
            <w:bookmarkEnd w:id="168"/>
            <w:bookmarkEnd w:id="169"/>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color w:val="0000FF"/>
                <w:sz w:val="13"/>
                <w:szCs w:val="13"/>
                <w:u w:val="single"/>
              </w:rPr>
            </w:pPr>
            <w:hyperlink w:anchor="_40_Core_CAL" w:history="1">
              <w:r w:rsidR="00CF5A3E" w:rsidRPr="00C83DF5">
                <w:rPr>
                  <w:rStyle w:val="Hyperlink"/>
                  <w:b/>
                  <w:sz w:val="13"/>
                  <w:szCs w:val="13"/>
                </w:rPr>
                <w:t>40</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 P</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E</w:t>
            </w:r>
            <w:r w:rsidRPr="00C83DF5">
              <w:rPr>
                <w:rFonts w:ascii="Tahoma" w:hAnsi="Tahoma" w:cs="Tahoma"/>
                <w:sz w:val="13"/>
              </w:rPr>
              <w:t>,ST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fr-FR"/>
              </w:rPr>
            </w:pPr>
            <w:bookmarkStart w:id="170" w:name="_Toc336337930"/>
            <w:bookmarkStart w:id="171" w:name="_Toc370983061"/>
            <w:r w:rsidRPr="00C83DF5">
              <w:rPr>
                <w:rFonts w:ascii="Tahoma" w:hAnsi="Tahoma" w:cs="Tahoma"/>
                <w:position w:val="0"/>
                <w:sz w:val="14"/>
                <w:lang w:val="fr-FR"/>
              </w:rPr>
              <w:t>Core Infrastructure Server Suite Standard</w:t>
            </w:r>
            <w:bookmarkEnd w:id="170"/>
            <w:bookmarkEnd w:id="171"/>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color w:val="0000FF"/>
                <w:sz w:val="13"/>
                <w:szCs w:val="13"/>
                <w:u w:val="single"/>
              </w:rPr>
            </w:pPr>
            <w:hyperlink w:anchor="_41_Core_Infrastructure" w:history="1">
              <w:r w:rsidR="00CF5A3E" w:rsidRPr="00C83DF5">
                <w:rPr>
                  <w:rStyle w:val="Hyperlink"/>
                  <w:b/>
                  <w:sz w:val="13"/>
                  <w:szCs w:val="13"/>
                </w:rPr>
                <w:t>41</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63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38</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lang w:val="fr-FR"/>
              </w:rPr>
            </w:pPr>
            <w:bookmarkStart w:id="172" w:name="_Toc336337931"/>
            <w:bookmarkStart w:id="173" w:name="_Toc370983062"/>
            <w:r w:rsidRPr="00C83DF5">
              <w:rPr>
                <w:rFonts w:ascii="Tahoma" w:hAnsi="Tahoma" w:cs="Tahoma"/>
                <w:position w:val="0"/>
                <w:sz w:val="14"/>
                <w:lang w:val="fr-FR"/>
              </w:rPr>
              <w:t>Core Infrastructure Server Suite Enterprise</w:t>
            </w:r>
            <w:bookmarkEnd w:id="172"/>
            <w:bookmarkEnd w:id="173"/>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color w:val="0000FF"/>
                <w:sz w:val="13"/>
                <w:szCs w:val="13"/>
                <w:u w:val="single"/>
              </w:rPr>
            </w:pPr>
            <w:hyperlink w:anchor="_38_Core_Infrastructure" w:history="1">
              <w:r w:rsidR="00CF5A3E" w:rsidRPr="00C83DF5">
                <w:rPr>
                  <w:rStyle w:val="Hyperlink"/>
                  <w:b/>
                  <w:sz w:val="13"/>
                  <w:szCs w:val="13"/>
                </w:rPr>
                <w:t>42</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fr-FR"/>
              </w:rPr>
            </w:pPr>
            <w:bookmarkStart w:id="174" w:name="_Toc336337932"/>
            <w:bookmarkStart w:id="175" w:name="_Toc370983063"/>
            <w:r w:rsidRPr="00C83DF5">
              <w:rPr>
                <w:rFonts w:ascii="Tahoma" w:hAnsi="Tahoma" w:cs="Tahoma"/>
                <w:position w:val="0"/>
                <w:sz w:val="14"/>
                <w:lang w:val="fr-FR"/>
              </w:rPr>
              <w:t>Core Infrastructure Server Suite Datacenter</w:t>
            </w:r>
            <w:bookmarkEnd w:id="174"/>
            <w:bookmarkEnd w:id="175"/>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color w:val="0000FF"/>
                <w:sz w:val="13"/>
                <w:szCs w:val="13"/>
                <w:u w:val="single"/>
              </w:rPr>
            </w:pPr>
            <w:hyperlink w:anchor="_39_Core_Infrastructure" w:history="1">
              <w:r w:rsidR="00CF5A3E" w:rsidRPr="00C83DF5">
                <w:rPr>
                  <w:rStyle w:val="Hyperlink"/>
                  <w:b/>
                  <w:sz w:val="13"/>
                  <w:szCs w:val="13"/>
                </w:rPr>
                <w:t>43</w:t>
              </w:r>
            </w:hyperlink>
            <w:hyperlink w:anchor="_39_Core_Infrastructure" w:history="1"/>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75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188</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lang w:eastAsia="ja-JP"/>
              </w:rPr>
            </w:pPr>
            <w:r w:rsidRPr="00C83DF5">
              <w:rPr>
                <w:rFonts w:ascii="Tahoma" w:hAnsi="Tahoma" w:cs="Tahoma"/>
                <w:sz w:val="13"/>
                <w:szCs w:val="13"/>
              </w:rPr>
              <w:t>113</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75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lang w:eastAsia="ja-JP"/>
              </w:rPr>
            </w:pPr>
            <w:r w:rsidRPr="00C83DF5">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lang w:eastAsia="ja-JP"/>
              </w:rPr>
            </w:pPr>
            <w:r w:rsidRPr="00C83DF5">
              <w:rPr>
                <w:rFonts w:ascii="Tahoma" w:hAnsi="Tahoma" w:cs="Tahoma"/>
                <w:sz w:val="13"/>
                <w:szCs w:val="13"/>
              </w:rPr>
              <w:t>75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lang w:eastAsia="ja-JP"/>
              </w:rPr>
            </w:pPr>
            <w:r w:rsidRPr="00C83DF5">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lang w:eastAsia="ja-JP"/>
              </w:rPr>
            </w:pPr>
            <w:r w:rsidRPr="00C83DF5">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lang w:eastAsia="ja-JP"/>
              </w:rPr>
            </w:pPr>
            <w:r w:rsidRPr="00C83DF5">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color w:val="000000"/>
                <w:position w:val="0"/>
                <w:sz w:val="14"/>
                <w:szCs w:val="18"/>
              </w:rPr>
            </w:pPr>
            <w:bookmarkStart w:id="176" w:name="_Toc370983064"/>
            <w:r w:rsidRPr="00C83DF5">
              <w:rPr>
                <w:rFonts w:ascii="Tahoma" w:hAnsi="Tahoma" w:cs="Tahoma"/>
                <w:color w:val="000000"/>
                <w:position w:val="0"/>
                <w:sz w:val="14"/>
                <w:szCs w:val="18"/>
              </w:rPr>
              <w:t>Duet Enterprise 2.0</w:t>
            </w:r>
            <w:bookmarkEnd w:id="176"/>
          </w:p>
        </w:tc>
        <w:tc>
          <w:tcPr>
            <w:tcW w:w="414" w:type="dxa"/>
            <w:tcBorders>
              <w:bottom w:val="single" w:sz="4" w:space="0" w:color="auto"/>
            </w:tcBorders>
            <w:shd w:val="clear" w:color="auto" w:fill="auto"/>
            <w:vAlign w:val="center"/>
          </w:tcPr>
          <w:p w:rsidR="00913A0A" w:rsidRPr="00C83DF5" w:rsidDel="00132E08" w:rsidRDefault="005519A5" w:rsidP="003D4F46">
            <w:pPr>
              <w:pStyle w:val="TableText"/>
              <w:widowControl w:val="0"/>
              <w:rPr>
                <w:b/>
                <w:sz w:val="13"/>
                <w:szCs w:val="13"/>
              </w:rPr>
            </w:pPr>
            <w:hyperlink w:anchor="_44_Duet_Enterprise" w:history="1">
              <w:r w:rsidR="00CF5A3E" w:rsidRPr="00C83DF5">
                <w:rPr>
                  <w:rStyle w:val="Hyperlink"/>
                  <w:b/>
                  <w:sz w:val="13"/>
                  <w:szCs w:val="13"/>
                </w:rPr>
                <w:t>44</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jc w:val="left"/>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177" w:name="_Toc336337942"/>
            <w:bookmarkStart w:id="178" w:name="_Toc370983065"/>
            <w:r w:rsidRPr="00C83DF5">
              <w:rPr>
                <w:rFonts w:ascii="Tahoma" w:hAnsi="Tahoma" w:cs="Tahoma"/>
                <w:position w:val="0"/>
                <w:sz w:val="14"/>
                <w:lang w:val="de-DE"/>
              </w:rPr>
              <w:t>Enterprise CAL Suite Bridge für Office 365 (Nutzer &amp; Gerät)</w:t>
            </w:r>
            <w:bookmarkEnd w:id="177"/>
            <w:bookmarkEnd w:id="178"/>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color w:val="0000FF"/>
                <w:sz w:val="13"/>
                <w:szCs w:val="13"/>
                <w:u w:val="single"/>
              </w:rPr>
            </w:pPr>
            <w:hyperlink w:anchor="_41_Enterprise_CAL" w:history="1">
              <w:r w:rsidR="00CF5A3E" w:rsidRPr="00C83DF5">
                <w:rPr>
                  <w:rStyle w:val="Hyperlink"/>
                  <w:b/>
                  <w:sz w:val="13"/>
                  <w:szCs w:val="13"/>
                </w:rPr>
                <w:t>45</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4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C15D86">
            <w:pPr>
              <w:pStyle w:val="ProductNames"/>
              <w:spacing w:beforeLines="20" w:before="48" w:afterLines="20" w:after="48"/>
              <w:rPr>
                <w:rFonts w:ascii="Tahoma" w:hAnsi="Tahoma" w:cs="Tahoma"/>
                <w:position w:val="0"/>
                <w:sz w:val="14"/>
                <w:lang w:val="de-DE"/>
              </w:rPr>
            </w:pPr>
            <w:bookmarkStart w:id="179" w:name="_Toc336337943"/>
            <w:bookmarkStart w:id="180" w:name="_Toc370983066"/>
            <w:r w:rsidRPr="00C83DF5">
              <w:rPr>
                <w:rFonts w:ascii="Tahoma" w:hAnsi="Tahoma" w:cs="Tahoma"/>
                <w:position w:val="0"/>
                <w:sz w:val="14"/>
                <w:lang w:val="de-DE"/>
              </w:rPr>
              <w:t>Enterprise CAL Suite Bridge für Office</w:t>
            </w:r>
            <w:r w:rsidR="00C15D86">
              <w:rPr>
                <w:rFonts w:ascii="Tahoma" w:hAnsi="Tahoma" w:cs="Tahoma"/>
                <w:position w:val="0"/>
                <w:sz w:val="14"/>
                <w:lang w:val="de-DE"/>
              </w:rPr>
              <w:t> </w:t>
            </w:r>
            <w:r w:rsidRPr="00C83DF5">
              <w:rPr>
                <w:rFonts w:ascii="Tahoma" w:hAnsi="Tahoma" w:cs="Tahoma"/>
                <w:position w:val="0"/>
                <w:sz w:val="14"/>
                <w:lang w:val="de-DE"/>
              </w:rPr>
              <w:t>365 und Windows</w:t>
            </w:r>
            <w:r w:rsidRPr="00DF3F89">
              <w:rPr>
                <w:rFonts w:ascii="Tahoma" w:hAnsi="Tahoma" w:cs="Tahoma"/>
                <w:position w:val="0"/>
                <w:sz w:val="14"/>
                <w:vertAlign w:val="superscript"/>
                <w:lang w:val="de-DE"/>
              </w:rPr>
              <w:t>®</w:t>
            </w:r>
            <w:r w:rsidRPr="00C83DF5">
              <w:rPr>
                <w:rFonts w:ascii="Tahoma" w:hAnsi="Tahoma" w:cs="Tahoma"/>
                <w:position w:val="0"/>
                <w:sz w:val="14"/>
                <w:lang w:val="de-DE"/>
              </w:rPr>
              <w:t xml:space="preserve"> Intune (Nutzer &amp; Gerät)</w:t>
            </w:r>
            <w:bookmarkEnd w:id="179"/>
            <w:bookmarkEnd w:id="180"/>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b/>
                <w:color w:val="0000FF"/>
                <w:sz w:val="13"/>
                <w:szCs w:val="13"/>
                <w:u w:val="single"/>
              </w:rPr>
            </w:pPr>
            <w:hyperlink w:anchor="_41_Enterprise_CAL" w:history="1">
              <w:r w:rsidR="001362A1" w:rsidRPr="00C83DF5">
                <w:rPr>
                  <w:rStyle w:val="Hyperlink"/>
                  <w:b/>
                  <w:sz w:val="13"/>
                  <w:szCs w:val="13"/>
                </w:rPr>
                <w:t>45</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4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5" w:type="dxa"/>
            <w:gridSpan w:val="2"/>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366"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278"/>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181" w:name="_Toc336337944"/>
            <w:bookmarkStart w:id="182" w:name="_Toc370983067"/>
            <w:r w:rsidRPr="00C83DF5">
              <w:rPr>
                <w:rFonts w:ascii="Tahoma" w:hAnsi="Tahoma" w:cs="Tahoma"/>
                <w:position w:val="0"/>
                <w:sz w:val="14"/>
                <w:lang w:val="de-DE"/>
              </w:rPr>
              <w:t>Enterprise CAL Suite Bridge für Windows</w:t>
            </w:r>
            <w:r w:rsidRPr="00DF3F89">
              <w:rPr>
                <w:rFonts w:ascii="Tahoma" w:hAnsi="Tahoma" w:cs="Tahoma"/>
                <w:position w:val="0"/>
                <w:sz w:val="14"/>
                <w:vertAlign w:val="superscript"/>
                <w:lang w:val="de-DE"/>
              </w:rPr>
              <w:t>®</w:t>
            </w:r>
            <w:r w:rsidRPr="00C83DF5">
              <w:rPr>
                <w:rFonts w:ascii="Tahoma" w:hAnsi="Tahoma" w:cs="Tahoma"/>
                <w:position w:val="0"/>
                <w:sz w:val="14"/>
                <w:lang w:val="de-DE"/>
              </w:rPr>
              <w:t xml:space="preserve"> Intune (Nutzer &amp; Gerät)</w:t>
            </w:r>
            <w:bookmarkEnd w:id="181"/>
            <w:bookmarkEnd w:id="182"/>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color w:val="0000FF"/>
                <w:sz w:val="13"/>
                <w:szCs w:val="13"/>
                <w:u w:val="single"/>
              </w:rPr>
            </w:pPr>
            <w:hyperlink w:anchor="_41_Enterprise_CAL" w:history="1">
              <w:r w:rsidR="001362A1" w:rsidRPr="00C83DF5">
                <w:rPr>
                  <w:rStyle w:val="Hyperlink"/>
                  <w:b/>
                  <w:sz w:val="13"/>
                  <w:szCs w:val="13"/>
                </w:rPr>
                <w:t>45</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40"/>
              <w:rPr>
                <w:rFonts w:ascii="Tahoma" w:hAnsi="Tahoma" w:cs="Tahoma"/>
                <w:sz w:val="13"/>
              </w:rPr>
            </w:pPr>
            <w:r w:rsidRPr="00C83DF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183" w:name="_Toc336337945"/>
            <w:bookmarkStart w:id="184" w:name="_Toc370983068"/>
            <w:r w:rsidRPr="00C83DF5">
              <w:rPr>
                <w:rFonts w:ascii="Tahoma" w:hAnsi="Tahoma" w:cs="Tahoma"/>
                <w:position w:val="0"/>
                <w:sz w:val="14"/>
                <w:lang w:val="de-DE"/>
              </w:rPr>
              <w:t>Enterprise CAL Suite (Nutzer &amp; Gerät)</w:t>
            </w:r>
            <w:bookmarkEnd w:id="183"/>
            <w:bookmarkEnd w:id="184"/>
            <w:r w:rsidRPr="00C83DF5">
              <w:rPr>
                <w:rFonts w:ascii="Tahoma" w:hAnsi="Tahoma" w:cs="Tahoma"/>
                <w:position w:val="0"/>
                <w:sz w:val="14"/>
                <w:lang w:val="de-DE"/>
              </w:rPr>
              <w:t xml:space="preserve"> </w:t>
            </w:r>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color w:val="0000FF"/>
                <w:sz w:val="13"/>
                <w:szCs w:val="13"/>
                <w:u w:val="single"/>
              </w:rPr>
            </w:pPr>
            <w:hyperlink w:anchor="_42_Enterprise_CAL" w:history="1">
              <w:r w:rsidR="00CF5A3E" w:rsidRPr="00C83DF5">
                <w:rPr>
                  <w:rStyle w:val="Hyperlink"/>
                  <w:b/>
                  <w:sz w:val="13"/>
                  <w:szCs w:val="13"/>
                </w:rPr>
                <w:t>46</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40"/>
              <w:rPr>
                <w:rFonts w:ascii="Tahoma" w:hAnsi="Tahoma" w:cs="Tahoma"/>
                <w:sz w:val="13"/>
              </w:rPr>
            </w:pPr>
            <w:r w:rsidRPr="00C83DF5">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bCs/>
                <w:color w:val="000000"/>
                <w:sz w:val="13"/>
              </w:rPr>
              <w:t>13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bCs/>
                <w:color w:val="000000"/>
                <w:sz w:val="13"/>
              </w:rPr>
              <w:t>8</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bCs/>
                <w:color w:val="000000"/>
                <w:sz w:val="13"/>
              </w:rPr>
              <w:t>5</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 P</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B47044">
            <w:pPr>
              <w:pStyle w:val="ProductNames"/>
              <w:rPr>
                <w:rFonts w:ascii="Tahoma" w:hAnsi="Tahoma" w:cs="Tahoma"/>
                <w:position w:val="0"/>
                <w:sz w:val="14"/>
                <w:lang w:val="de-DE"/>
              </w:rPr>
            </w:pPr>
            <w:bookmarkStart w:id="185" w:name="_Toc370983069"/>
            <w:r w:rsidRPr="00C83DF5">
              <w:rPr>
                <w:rFonts w:ascii="Tahoma" w:hAnsi="Tahoma" w:cs="Tahoma"/>
                <w:position w:val="0"/>
                <w:sz w:val="14"/>
                <w:lang w:val="de-DE"/>
              </w:rPr>
              <w:t>Exchange Enterprise CAL mit Diensten</w:t>
            </w:r>
            <w:r w:rsidR="00B47044">
              <w:rPr>
                <w:rFonts w:ascii="Tahoma" w:hAnsi="Tahoma" w:cs="Tahoma"/>
                <w:position w:val="0"/>
                <w:sz w:val="14"/>
                <w:lang w:val="de-DE"/>
              </w:rPr>
              <w:t> </w:t>
            </w:r>
            <w:r w:rsidRPr="00C83DF5">
              <w:rPr>
                <w:rFonts w:ascii="Tahoma" w:hAnsi="Tahoma" w:cs="Tahoma"/>
                <w:position w:val="0"/>
                <w:sz w:val="14"/>
                <w:lang w:val="de-DE"/>
              </w:rPr>
              <w:t>2013</w:t>
            </w:r>
            <w:bookmarkEnd w:id="185"/>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sz w:val="13"/>
                <w:szCs w:val="13"/>
                <w:u w:val="single"/>
              </w:rPr>
            </w:pPr>
            <w:hyperlink w:anchor="_45_Exchange_Enterprise" w:history="1">
              <w:r w:rsidR="00CF5A3E" w:rsidRPr="00C83DF5">
                <w:rPr>
                  <w:rStyle w:val="Hyperlink"/>
                  <w:b/>
                  <w:sz w:val="13"/>
                  <w:szCs w:val="13"/>
                </w:rPr>
                <w:t>47</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40"/>
              <w:rPr>
                <w:rFonts w:ascii="Tahoma" w:hAnsi="Tahoma" w:cs="Tahoma"/>
                <w:sz w:val="13"/>
              </w:rPr>
            </w:pPr>
            <w:r w:rsidRPr="00C83DF5">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r w:rsidRPr="00C83DF5">
              <w:rPr>
                <w:rFonts w:ascii="Tahoma" w:hAnsi="Tahoma" w:cs="Tahoma"/>
                <w:bCs/>
                <w:color w:val="000000"/>
                <w:sz w:val="13"/>
              </w:rPr>
              <w:t>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r w:rsidRPr="00C83DF5">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r w:rsidRPr="00C83DF5">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r w:rsidRPr="00C83DF5">
              <w:rPr>
                <w:rFonts w:ascii="Tahoma" w:hAnsi="Tahoma" w:cs="Tahoma"/>
                <w:bCs/>
                <w:color w:val="000000"/>
                <w:sz w:val="13"/>
              </w:rPr>
              <w:t>2</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bCs/>
                <w:color w:val="000000"/>
                <w:sz w:val="13"/>
              </w:rPr>
            </w:pPr>
            <w:r w:rsidRPr="00C83DF5">
              <w:rPr>
                <w:rFonts w:ascii="Tahoma" w:hAnsi="Tahoma" w:cs="Tahoma"/>
                <w:bCs/>
                <w:color w:val="000000"/>
                <w:sz w:val="13"/>
              </w:rPr>
              <w:t>1</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C15D86">
            <w:pPr>
              <w:pStyle w:val="Heading2"/>
              <w:ind w:left="0"/>
              <w:rPr>
                <w:rFonts w:ascii="Tahoma" w:hAnsi="Tahoma" w:cs="Tahoma"/>
                <w:b w:val="0"/>
                <w:sz w:val="14"/>
              </w:rPr>
            </w:pPr>
            <w:bookmarkStart w:id="186" w:name="_Toc370983070"/>
            <w:r w:rsidRPr="00C83DF5">
              <w:rPr>
                <w:rFonts w:ascii="Tahoma" w:hAnsi="Tahoma" w:cs="Tahoma"/>
                <w:b w:val="0"/>
                <w:sz w:val="14"/>
              </w:rPr>
              <w:t>Exchange Enterprise CAL ohne Dienste</w:t>
            </w:r>
            <w:r w:rsidR="00C15D86">
              <w:rPr>
                <w:rFonts w:ascii="Tahoma" w:hAnsi="Tahoma" w:cs="Tahoma"/>
                <w:b w:val="0"/>
                <w:sz w:val="14"/>
              </w:rPr>
              <w:t> </w:t>
            </w:r>
            <w:r w:rsidRPr="00C83DF5">
              <w:rPr>
                <w:rFonts w:ascii="Tahoma" w:hAnsi="Tahoma" w:cs="Tahoma"/>
                <w:b w:val="0"/>
                <w:sz w:val="14"/>
              </w:rPr>
              <w:t>2013</w:t>
            </w:r>
            <w:bookmarkEnd w:id="186"/>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Heading2"/>
              <w:ind w:left="0"/>
              <w:rPr>
                <w:rFonts w:ascii="Tahoma" w:hAnsi="Tahoma" w:cs="Tahoma"/>
                <w:b w:val="0"/>
                <w:sz w:val="14"/>
                <w:lang w:val="de-DE"/>
              </w:rPr>
            </w:pPr>
            <w:bookmarkStart w:id="187" w:name="_Toc336337946"/>
            <w:bookmarkStart w:id="188" w:name="_Toc370983071"/>
            <w:r w:rsidRPr="00C83DF5">
              <w:rPr>
                <w:rFonts w:ascii="Tahoma" w:hAnsi="Tahoma" w:cs="Tahoma"/>
                <w:b w:val="0"/>
                <w:sz w:val="14"/>
                <w:lang w:val="de-DE"/>
              </w:rPr>
              <w:t>Exchange Online-Archivierung</w:t>
            </w:r>
            <w:bookmarkEnd w:id="187"/>
            <w:r w:rsidRPr="00C83DF5">
              <w:rPr>
                <w:rFonts w:ascii="Tahoma" w:hAnsi="Tahoma" w:cs="Tahoma"/>
                <w:b w:val="0"/>
                <w:sz w:val="14"/>
                <w:lang w:val="de-DE"/>
              </w:rPr>
              <w:t xml:space="preserve"> für Exchange Server (Nutzer-AL)</w:t>
            </w:r>
            <w:bookmarkEnd w:id="188"/>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color w:val="0000FF"/>
                <w:sz w:val="13"/>
                <w:szCs w:val="13"/>
                <w:u w:val="single"/>
              </w:rPr>
            </w:pPr>
            <w:hyperlink w:anchor="_43_Exchange_Enterprise" w:history="1">
              <w:r w:rsidR="00CF5A3E" w:rsidRPr="00C83DF5">
                <w:rPr>
                  <w:rStyle w:val="Hyperlink"/>
                  <w:b/>
                  <w:sz w:val="13"/>
                  <w:szCs w:val="13"/>
                </w:rPr>
                <w:t>48</w:t>
              </w:r>
            </w:hyperlink>
          </w:p>
        </w:tc>
        <w:tc>
          <w:tcPr>
            <w:tcW w:w="449" w:type="dxa"/>
            <w:tcBorders>
              <w:bottom w:val="single" w:sz="4" w:space="0" w:color="auto"/>
            </w:tcBorders>
            <w:shd w:val="clear" w:color="auto" w:fill="FABF8F"/>
            <w:vAlign w:val="center"/>
          </w:tcPr>
          <w:p w:rsidR="00913A0A" w:rsidRPr="00C83DF5" w:rsidDel="00876599" w:rsidRDefault="00913A0A" w:rsidP="001A63C6">
            <w:pPr>
              <w:pStyle w:val="TableText"/>
              <w:widowControl w:val="0"/>
              <w:spacing w:before="8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66F68">
            <w:pPr>
              <w:pStyle w:val="Heading3"/>
              <w:rPr>
                <w:rFonts w:ascii="Tahoma" w:hAnsi="Tahoma" w:cs="Tahoma"/>
                <w:b w:val="0"/>
                <w:lang w:val="de-DE"/>
              </w:rPr>
            </w:pPr>
            <w:bookmarkStart w:id="189" w:name="_Toc336337947"/>
            <w:bookmarkStart w:id="190" w:name="_Toc370983072"/>
            <w:r w:rsidRPr="00C83DF5">
              <w:rPr>
                <w:rFonts w:ascii="Tahoma" w:hAnsi="Tahoma" w:cs="Tahoma"/>
                <w:b w:val="0"/>
                <w:sz w:val="14"/>
                <w:lang w:val="de-DE"/>
              </w:rPr>
              <w:t>Exchange Online-Archivierung für Exchange Server A (Nutzer-AL)</w:t>
            </w:r>
            <w:bookmarkEnd w:id="189"/>
            <w:bookmarkEnd w:id="190"/>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b/>
                <w:color w:val="000000"/>
                <w:sz w:val="13"/>
                <w:szCs w:val="13"/>
                <w:u w:val="single"/>
              </w:rPr>
            </w:pPr>
            <w:hyperlink w:anchor="_47__Exchange" w:history="1">
              <w:r w:rsidR="00CF5A3E" w:rsidRPr="00C83DF5">
                <w:rPr>
                  <w:rStyle w:val="Hyperlink"/>
                  <w:b/>
                  <w:sz w:val="13"/>
                  <w:szCs w:val="13"/>
                </w:rPr>
                <w:t>49</w:t>
              </w:r>
            </w:hyperlink>
            <w:hyperlink w:anchor="_47__Exchange" w:history="1"/>
          </w:p>
        </w:tc>
        <w:tc>
          <w:tcPr>
            <w:tcW w:w="449" w:type="dxa"/>
            <w:tcBorders>
              <w:bottom w:val="single" w:sz="4" w:space="0" w:color="auto"/>
            </w:tcBorders>
            <w:shd w:val="clear" w:color="auto" w:fill="auto"/>
            <w:vAlign w:val="center"/>
          </w:tcPr>
          <w:p w:rsidR="00913A0A" w:rsidRPr="00C83DF5" w:rsidRDefault="00913A0A" w:rsidP="007E466C">
            <w:pPr>
              <w:pStyle w:val="TableText"/>
              <w:widowControl w:val="0"/>
              <w:rPr>
                <w:rFonts w:ascii="Tahoma" w:hAnsi="Tahoma" w:cs="Tahoma"/>
                <w:sz w:val="13"/>
              </w:rPr>
            </w:pPr>
            <w:r w:rsidRPr="00C83DF5">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242B11">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EA31A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7E466C">
            <w:pPr>
              <w:pStyle w:val="TableText"/>
              <w:widowControl w:val="0"/>
              <w:rPr>
                <w:rFonts w:ascii="Tahoma" w:hAnsi="Tahoma" w:cs="Tahoma"/>
                <w:sz w:val="13"/>
              </w:rPr>
            </w:pPr>
            <w:r w:rsidRPr="00C83DF5">
              <w:rPr>
                <w:rFonts w:ascii="Tahoma" w:hAnsi="Tahoma" w:cs="Tahoma"/>
                <w:sz w:val="13"/>
              </w:rPr>
              <w:t>A, ST (nur EES)</w:t>
            </w:r>
          </w:p>
        </w:tc>
        <w:tc>
          <w:tcPr>
            <w:tcW w:w="506" w:type="dxa"/>
            <w:tcBorders>
              <w:bottom w:val="single" w:sz="4" w:space="0" w:color="auto"/>
            </w:tcBorders>
            <w:shd w:val="clear" w:color="auto" w:fill="auto"/>
            <w:vAlign w:val="center"/>
          </w:tcPr>
          <w:p w:rsidR="00913A0A" w:rsidRPr="00C83DF5" w:rsidRDefault="00913A0A" w:rsidP="00D66F68">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D66F68">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lang w:val="de-DE"/>
              </w:rPr>
            </w:pPr>
            <w:bookmarkStart w:id="191" w:name="_Toc336337948"/>
            <w:bookmarkStart w:id="192" w:name="_Toc370983073"/>
            <w:r w:rsidRPr="00C83DF5">
              <w:rPr>
                <w:rFonts w:ascii="Tahoma" w:hAnsi="Tahoma" w:cs="Tahoma"/>
                <w:position w:val="0"/>
                <w:sz w:val="14"/>
                <w:lang w:val="de-DE"/>
              </w:rPr>
              <w:t>Exchange Hosted Archive (Nutzer-AL)</w:t>
            </w:r>
            <w:bookmarkEnd w:id="191"/>
            <w:bookmarkEnd w:id="192"/>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color w:val="000000"/>
                <w:sz w:val="13"/>
                <w:szCs w:val="13"/>
                <w:u w:val="single"/>
              </w:rPr>
            </w:pPr>
            <w:hyperlink w:anchor="_45_Exchange_Hosted" w:history="1">
              <w:r w:rsidR="00CF5A3E" w:rsidRPr="00C83DF5">
                <w:rPr>
                  <w:rStyle w:val="Hyperlink"/>
                  <w:b/>
                  <w:sz w:val="13"/>
                  <w:szCs w:val="13"/>
                </w:rPr>
                <w:t>50</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C15D86">
            <w:pPr>
              <w:pStyle w:val="ProductNames"/>
              <w:rPr>
                <w:rFonts w:ascii="Tahoma" w:hAnsi="Tahoma" w:cs="Tahoma"/>
                <w:position w:val="0"/>
                <w:sz w:val="14"/>
                <w:lang w:val="de-DE"/>
              </w:rPr>
            </w:pPr>
            <w:bookmarkStart w:id="193" w:name="_Toc336337949"/>
            <w:bookmarkStart w:id="194" w:name="_Toc370983074"/>
            <w:r w:rsidRPr="00C83DF5">
              <w:rPr>
                <w:rFonts w:ascii="Tahoma" w:hAnsi="Tahoma" w:cs="Tahoma"/>
                <w:position w:val="0"/>
                <w:sz w:val="14"/>
                <w:lang w:val="de-DE"/>
              </w:rPr>
              <w:t>Exchange Hosted Archive Extra Storage</w:t>
            </w:r>
            <w:r w:rsidR="00C15D86">
              <w:rPr>
                <w:rFonts w:ascii="Tahoma" w:hAnsi="Tahoma" w:cs="Tahoma"/>
                <w:position w:val="0"/>
                <w:sz w:val="14"/>
                <w:lang w:val="de-DE"/>
              </w:rPr>
              <w:t> </w:t>
            </w:r>
            <w:r w:rsidRPr="00C83DF5">
              <w:rPr>
                <w:rFonts w:ascii="Tahoma" w:hAnsi="Tahoma" w:cs="Tahoma"/>
                <w:position w:val="0"/>
                <w:sz w:val="14"/>
                <w:lang w:val="de-DE"/>
              </w:rPr>
              <w:t>(Nutzer-AL)</w:t>
            </w:r>
            <w:bookmarkEnd w:id="193"/>
            <w:bookmarkEnd w:id="194"/>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b/>
                <w:color w:val="000000"/>
                <w:sz w:val="13"/>
                <w:szCs w:val="13"/>
                <w:u w:val="single"/>
              </w:rPr>
            </w:pPr>
            <w:hyperlink w:anchor="_45_Exchange_Hosted" w:history="1">
              <w:r w:rsidR="001362A1" w:rsidRPr="00C83DF5">
                <w:rPr>
                  <w:rStyle w:val="Hyperlink"/>
                  <w:b/>
                  <w:sz w:val="13"/>
                  <w:szCs w:val="13"/>
                </w:rPr>
                <w:t>50</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29" w:type="dxa"/>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15D86"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lang w:val="de-DE"/>
              </w:rPr>
            </w:pPr>
            <w:bookmarkStart w:id="195" w:name="_Toc336337950"/>
            <w:bookmarkStart w:id="196" w:name="_Toc370983075"/>
            <w:r w:rsidRPr="00C83DF5">
              <w:rPr>
                <w:rFonts w:ascii="Tahoma" w:hAnsi="Tahoma" w:cs="Tahoma"/>
                <w:position w:val="0"/>
                <w:sz w:val="14"/>
                <w:lang w:val="de-DE"/>
              </w:rPr>
              <w:lastRenderedPageBreak/>
              <w:t xml:space="preserve">Exchange Hosted Encryption </w:t>
            </w:r>
            <w:r w:rsidR="00C15D86">
              <w:rPr>
                <w:rFonts w:ascii="Tahoma" w:hAnsi="Tahoma" w:cs="Tahoma"/>
                <w:position w:val="0"/>
                <w:sz w:val="14"/>
                <w:lang w:val="de-DE"/>
              </w:rPr>
              <w:br/>
            </w:r>
            <w:r w:rsidRPr="00C83DF5">
              <w:rPr>
                <w:rFonts w:ascii="Tahoma" w:hAnsi="Tahoma" w:cs="Tahoma"/>
                <w:position w:val="0"/>
                <w:sz w:val="14"/>
                <w:lang w:val="de-DE"/>
              </w:rPr>
              <w:t>(Nutzer-AL)</w:t>
            </w:r>
            <w:bookmarkEnd w:id="195"/>
            <w:bookmarkEnd w:id="196"/>
          </w:p>
        </w:tc>
        <w:tc>
          <w:tcPr>
            <w:tcW w:w="414" w:type="dxa"/>
            <w:tcBorders>
              <w:bottom w:val="single" w:sz="4" w:space="0" w:color="auto"/>
            </w:tcBorders>
            <w:shd w:val="clear" w:color="auto" w:fill="FABF8F"/>
            <w:vAlign w:val="center"/>
          </w:tcPr>
          <w:p w:rsidR="00913A0A" w:rsidRPr="00C15D86" w:rsidRDefault="005519A5" w:rsidP="003D4F46">
            <w:pPr>
              <w:pStyle w:val="TableText"/>
              <w:widowControl w:val="0"/>
              <w:rPr>
                <w:rStyle w:val="EndnoteReference"/>
                <w:b w:val="0"/>
                <w:color w:val="000000"/>
                <w:sz w:val="13"/>
                <w:szCs w:val="13"/>
                <w:u w:val="single"/>
                <w:lang w:val="de-DE"/>
              </w:rPr>
            </w:pPr>
            <w:hyperlink w:anchor="_46_Exchange_Hosted" w:history="1">
              <w:r w:rsidR="00CF5A3E" w:rsidRPr="00C15D86">
                <w:rPr>
                  <w:rStyle w:val="Hyperlink"/>
                  <w:b/>
                  <w:sz w:val="13"/>
                  <w:szCs w:val="13"/>
                  <w:lang w:val="de-DE"/>
                </w:rPr>
                <w:t>51</w:t>
              </w:r>
            </w:hyperlink>
          </w:p>
        </w:tc>
        <w:tc>
          <w:tcPr>
            <w:tcW w:w="449" w:type="dxa"/>
            <w:tcBorders>
              <w:bottom w:val="single" w:sz="4" w:space="0" w:color="auto"/>
            </w:tcBorders>
            <w:shd w:val="clear" w:color="auto" w:fill="FABF8F"/>
            <w:vAlign w:val="center"/>
          </w:tcPr>
          <w:p w:rsidR="00913A0A" w:rsidRPr="00C15D86" w:rsidRDefault="00913A0A" w:rsidP="001A63C6">
            <w:pPr>
              <w:pStyle w:val="TableText"/>
              <w:widowControl w:val="0"/>
              <w:spacing w:before="80"/>
              <w:rPr>
                <w:rFonts w:ascii="Tahoma" w:hAnsi="Tahoma" w:cs="Tahoma"/>
                <w:sz w:val="13"/>
                <w:lang w:val="de-DE"/>
              </w:rPr>
            </w:pPr>
            <w:r w:rsidRPr="00C15D86">
              <w:rPr>
                <w:rFonts w:ascii="Tahoma" w:hAnsi="Tahoma" w:cs="Tahoma"/>
                <w:sz w:val="13"/>
                <w:lang w:val="de-DE"/>
              </w:rPr>
              <w:t>04/06</w:t>
            </w:r>
          </w:p>
        </w:tc>
        <w:tc>
          <w:tcPr>
            <w:tcW w:w="360" w:type="dxa"/>
            <w:tcBorders>
              <w:bottom w:val="single" w:sz="4" w:space="0" w:color="auto"/>
              <w:right w:val="single" w:sz="18"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r w:rsidRPr="00C15D86">
              <w:rPr>
                <w:rFonts w:ascii="Tahoma" w:hAnsi="Tahoma" w:cs="Tahoma"/>
                <w:sz w:val="13"/>
                <w:lang w:val="de-DE"/>
              </w:rPr>
              <w:t>1 Punkt</w:t>
            </w:r>
          </w:p>
        </w:tc>
        <w:tc>
          <w:tcPr>
            <w:tcW w:w="450" w:type="dxa"/>
            <w:tcBorders>
              <w:left w:val="single" w:sz="18" w:space="0" w:color="auto"/>
              <w:bottom w:val="single" w:sz="4"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r w:rsidRPr="00C15D86">
              <w:rPr>
                <w:rFonts w:ascii="Tahoma" w:hAnsi="Tahoma" w:cs="Tahoma"/>
                <w:sz w:val="13"/>
                <w:lang w:val="de-DE"/>
              </w:rPr>
              <w:t>1</w:t>
            </w:r>
          </w:p>
        </w:tc>
        <w:tc>
          <w:tcPr>
            <w:tcW w:w="450" w:type="dxa"/>
            <w:tcBorders>
              <w:bottom w:val="single" w:sz="4" w:space="0" w:color="auto"/>
              <w:right w:val="single" w:sz="18"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r w:rsidRPr="00C15D86">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r w:rsidRPr="00C15D86">
              <w:rPr>
                <w:rFonts w:ascii="Tahoma" w:hAnsi="Tahoma" w:cs="Tahoma"/>
                <w:sz w:val="13"/>
                <w:lang w:val="de-DE"/>
              </w:rPr>
              <w:t>P</w:t>
            </w:r>
          </w:p>
        </w:tc>
        <w:tc>
          <w:tcPr>
            <w:tcW w:w="450" w:type="dxa"/>
            <w:tcBorders>
              <w:bottom w:val="single" w:sz="4" w:space="0" w:color="auto"/>
            </w:tcBorders>
            <w:shd w:val="clear" w:color="auto" w:fill="FABF8F"/>
          </w:tcPr>
          <w:p w:rsidR="00913A0A" w:rsidRPr="00C15D86" w:rsidRDefault="00913A0A" w:rsidP="001A63C6">
            <w:pPr>
              <w:pStyle w:val="TableText"/>
              <w:widowControl w:val="0"/>
              <w:rPr>
                <w:rFonts w:ascii="Tahoma" w:hAnsi="Tahoma" w:cs="Tahoma"/>
                <w:sz w:val="13"/>
                <w:lang w:val="de-DE"/>
              </w:rPr>
            </w:pPr>
          </w:p>
        </w:tc>
        <w:tc>
          <w:tcPr>
            <w:tcW w:w="506" w:type="dxa"/>
            <w:tcBorders>
              <w:bottom w:val="single" w:sz="4" w:space="0" w:color="auto"/>
            </w:tcBorders>
            <w:shd w:val="clear" w:color="auto" w:fill="FABF8F"/>
            <w:vAlign w:val="center"/>
          </w:tcPr>
          <w:p w:rsidR="00913A0A" w:rsidRPr="00C15D86" w:rsidRDefault="00913A0A" w:rsidP="001A63C6">
            <w:pPr>
              <w:pStyle w:val="TableText"/>
              <w:widowControl w:val="0"/>
              <w:rPr>
                <w:rFonts w:ascii="Tahoma" w:hAnsi="Tahoma" w:cs="Tahoma"/>
                <w:sz w:val="13"/>
                <w:lang w:val="de-DE"/>
              </w:rPr>
            </w:pPr>
          </w:p>
        </w:tc>
        <w:tc>
          <w:tcPr>
            <w:tcW w:w="484" w:type="dxa"/>
            <w:tcBorders>
              <w:bottom w:val="single" w:sz="4" w:space="0" w:color="auto"/>
            </w:tcBorders>
            <w:shd w:val="clear" w:color="auto" w:fill="FABF8F"/>
          </w:tcPr>
          <w:p w:rsidR="00913A0A" w:rsidRPr="00C15D86" w:rsidRDefault="00913A0A" w:rsidP="001A63C6">
            <w:pPr>
              <w:pStyle w:val="TableText"/>
              <w:widowControl w:val="0"/>
              <w:rPr>
                <w:rFonts w:ascii="Tahoma" w:hAnsi="Tahoma" w:cs="Tahoma"/>
                <w:sz w:val="13"/>
                <w:lang w:val="de-DE"/>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66F68">
            <w:pPr>
              <w:pStyle w:val="Heading2"/>
              <w:ind w:left="0"/>
              <w:rPr>
                <w:rFonts w:ascii="Tahoma" w:hAnsi="Tahoma" w:cs="Tahoma"/>
                <w:b w:val="0"/>
                <w:sz w:val="14"/>
                <w:lang w:val="de-DE"/>
              </w:rPr>
            </w:pPr>
            <w:bookmarkStart w:id="197" w:name="_Toc370983076"/>
            <w:r w:rsidRPr="00C83DF5">
              <w:rPr>
                <w:rFonts w:ascii="Tahoma" w:hAnsi="Tahoma" w:cs="Tahoma"/>
                <w:b w:val="0"/>
                <w:sz w:val="14"/>
                <w:lang w:val="de-DE"/>
              </w:rPr>
              <w:t>Exchange Online-Archivierung für Exchange Online A</w:t>
            </w:r>
            <w:bookmarkEnd w:id="197"/>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lang w:val="de-DE"/>
              </w:rPr>
            </w:pPr>
          </w:p>
        </w:tc>
        <w:tc>
          <w:tcPr>
            <w:tcW w:w="449" w:type="dxa"/>
            <w:tcBorders>
              <w:bottom w:val="single" w:sz="4" w:space="0" w:color="auto"/>
            </w:tcBorders>
            <w:shd w:val="clear" w:color="auto" w:fill="auto"/>
            <w:vAlign w:val="center"/>
          </w:tcPr>
          <w:p w:rsidR="00913A0A" w:rsidRPr="00C15D86" w:rsidRDefault="00913A0A" w:rsidP="001A63C6">
            <w:pPr>
              <w:pStyle w:val="TableText"/>
              <w:widowControl w:val="0"/>
              <w:spacing w:before="80"/>
              <w:rPr>
                <w:rFonts w:ascii="Tahoma" w:hAnsi="Tahoma" w:cs="Tahoma"/>
                <w:sz w:val="13"/>
                <w:lang w:val="de-DE"/>
              </w:rPr>
            </w:pPr>
            <w:r w:rsidRPr="00C15D86">
              <w:rPr>
                <w:rFonts w:ascii="Tahoma" w:hAnsi="Tahoma" w:cs="Tahoma"/>
                <w:sz w:val="13"/>
                <w:lang w:val="de-DE"/>
              </w:rPr>
              <w:t>03/13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CF42E6">
            <w:pPr>
              <w:pStyle w:val="TableText"/>
              <w:widowControl w:val="0"/>
              <w:spacing w:after="10"/>
              <w:rPr>
                <w:rFonts w:ascii="Tahoma" w:hAnsi="Tahoma" w:cs="Tahoma"/>
                <w:sz w:val="13"/>
              </w:rPr>
            </w:pPr>
            <w:r w:rsidRPr="00C83DF5">
              <w:rPr>
                <w:rFonts w:ascii="Tahoma" w:hAnsi="Tahoma" w:cs="Tahoma"/>
                <w:sz w:val="13"/>
              </w:rPr>
              <w:t>A, ST (nur EES)</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Heading2"/>
              <w:ind w:left="0"/>
              <w:rPr>
                <w:rFonts w:ascii="Tahoma" w:hAnsi="Tahoma" w:cs="Tahoma"/>
                <w:b w:val="0"/>
                <w:sz w:val="14"/>
                <w:lang w:val="de-DE"/>
              </w:rPr>
            </w:pPr>
            <w:bookmarkStart w:id="198" w:name="_Toc370983077"/>
            <w:r w:rsidRPr="00C83DF5">
              <w:rPr>
                <w:rFonts w:ascii="Tahoma" w:hAnsi="Tahoma" w:cs="Tahoma"/>
                <w:b w:val="0"/>
                <w:sz w:val="14"/>
                <w:lang w:val="de-DE"/>
              </w:rPr>
              <w:t>Exchange Online-Archivierung für Exchange Online</w:t>
            </w:r>
            <w:bookmarkEnd w:id="198"/>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lang w:val="de-DE"/>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1A63C6">
            <w:pPr>
              <w:pStyle w:val="Heading2"/>
              <w:ind w:left="0"/>
              <w:rPr>
                <w:rFonts w:ascii="Tahoma" w:hAnsi="Tahoma" w:cs="Tahoma"/>
                <w:b w:val="0"/>
                <w:sz w:val="14"/>
                <w:lang w:val="de-DE"/>
              </w:rPr>
            </w:pPr>
            <w:bookmarkStart w:id="199" w:name="_Toc336337951"/>
            <w:bookmarkStart w:id="200" w:name="_Toc370983078"/>
            <w:r w:rsidRPr="00C83DF5">
              <w:rPr>
                <w:rFonts w:ascii="Tahoma" w:hAnsi="Tahoma" w:cs="Tahoma"/>
                <w:b w:val="0"/>
                <w:sz w:val="14"/>
                <w:lang w:val="de-DE"/>
              </w:rPr>
              <w:t>Exchange Online Kiosk (Nutzer-AL)</w:t>
            </w:r>
            <w:bookmarkEnd w:id="199"/>
            <w:bookmarkEnd w:id="200"/>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rFonts w:cs="Tahoma"/>
                <w:b w:val="0"/>
                <w:color w:val="000000"/>
                <w:sz w:val="13"/>
                <w:szCs w:val="13"/>
                <w:u w:val="single"/>
              </w:rPr>
            </w:pPr>
            <w:hyperlink w:anchor="_50_Exchange_Online" w:history="1">
              <w:r w:rsidR="00CF5A3E" w:rsidRPr="00C83DF5">
                <w:rPr>
                  <w:rStyle w:val="Hyperlink"/>
                  <w:b/>
                  <w:sz w:val="13"/>
                  <w:szCs w:val="13"/>
                </w:rPr>
                <w:t>52</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D93CA3"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395"/>
        </w:trPr>
        <w:tc>
          <w:tcPr>
            <w:tcW w:w="2546" w:type="dxa"/>
            <w:gridSpan w:val="2"/>
            <w:tcBorders>
              <w:bottom w:val="single" w:sz="4" w:space="0" w:color="auto"/>
            </w:tcBorders>
            <w:shd w:val="clear" w:color="auto" w:fill="FABF8F"/>
            <w:vAlign w:val="center"/>
          </w:tcPr>
          <w:p w:rsidR="00913A0A" w:rsidRPr="00C83DF5" w:rsidRDefault="00913A0A" w:rsidP="00D66F68">
            <w:pPr>
              <w:pStyle w:val="Heading2"/>
              <w:ind w:left="0"/>
              <w:rPr>
                <w:rFonts w:ascii="Tahoma" w:hAnsi="Tahoma" w:cs="Tahoma"/>
                <w:b w:val="0"/>
                <w:sz w:val="14"/>
                <w:lang w:val="de-DE"/>
              </w:rPr>
            </w:pPr>
            <w:bookmarkStart w:id="201" w:name="_Toc370983079"/>
            <w:r w:rsidRPr="00C83DF5">
              <w:rPr>
                <w:rFonts w:ascii="Tahoma" w:hAnsi="Tahoma" w:cs="Tahoma"/>
                <w:b w:val="0"/>
                <w:sz w:val="14"/>
                <w:lang w:val="de-DE"/>
              </w:rPr>
              <w:t>Add-On für Exchange Online Plan 1 (Nutzer-AL)</w:t>
            </w:r>
            <w:bookmarkEnd w:id="201"/>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sz w:val="13"/>
                <w:szCs w:val="13"/>
              </w:rPr>
            </w:pPr>
            <w:hyperlink w:anchor="_48_Exchange_Online" w:history="1">
              <w:r w:rsidR="00CF5A3E" w:rsidRPr="00C83DF5">
                <w:rPr>
                  <w:rStyle w:val="Hyperlink"/>
                  <w:b/>
                  <w:sz w:val="13"/>
                  <w:szCs w:val="13"/>
                </w:rPr>
                <w:t>53</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D93CA3"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395"/>
        </w:trPr>
        <w:tc>
          <w:tcPr>
            <w:tcW w:w="2546" w:type="dxa"/>
            <w:gridSpan w:val="2"/>
            <w:tcBorders>
              <w:bottom w:val="single" w:sz="4" w:space="0" w:color="auto"/>
            </w:tcBorders>
            <w:shd w:val="clear" w:color="auto" w:fill="auto"/>
            <w:vAlign w:val="center"/>
          </w:tcPr>
          <w:p w:rsidR="00913A0A" w:rsidRPr="00C83DF5" w:rsidRDefault="00913A0A" w:rsidP="00D66F68">
            <w:pPr>
              <w:pStyle w:val="Heading2"/>
              <w:ind w:left="0"/>
              <w:rPr>
                <w:rFonts w:ascii="Tahoma" w:hAnsi="Tahoma" w:cs="Tahoma"/>
                <w:b w:val="0"/>
                <w:sz w:val="14"/>
                <w:lang w:val="de-DE"/>
              </w:rPr>
            </w:pPr>
            <w:bookmarkStart w:id="202" w:name="_Toc336337952"/>
            <w:bookmarkStart w:id="203" w:name="_Toc370983080"/>
            <w:r w:rsidRPr="00C83DF5">
              <w:rPr>
                <w:rFonts w:ascii="Tahoma" w:hAnsi="Tahoma" w:cs="Tahoma"/>
                <w:b w:val="0"/>
                <w:sz w:val="14"/>
                <w:lang w:val="de-DE"/>
              </w:rPr>
              <w:t>Exchange Online Plan 1 (Nutzer-AL)</w:t>
            </w:r>
            <w:bookmarkEnd w:id="202"/>
            <w:bookmarkEnd w:id="203"/>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rFonts w:cs="Tahoma"/>
                <w:b w:val="0"/>
                <w:color w:val="0000FF"/>
                <w:sz w:val="13"/>
                <w:szCs w:val="13"/>
                <w:u w:val="single"/>
              </w:rPr>
            </w:pPr>
            <w:hyperlink w:anchor="_48_Exchange_Online" w:history="1">
              <w:r w:rsidR="001362A1" w:rsidRPr="00C83DF5">
                <w:rPr>
                  <w:rStyle w:val="Hyperlink"/>
                  <w:b/>
                  <w:sz w:val="13"/>
                  <w:szCs w:val="13"/>
                </w:rPr>
                <w:t>53</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0956ED"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tcPr>
          <w:p w:rsidR="00913A0A" w:rsidRPr="00C83DF5" w:rsidRDefault="00D93CA3"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Heading2"/>
              <w:ind w:left="0"/>
              <w:rPr>
                <w:rFonts w:ascii="Tahoma" w:hAnsi="Tahoma" w:cs="Tahoma"/>
                <w:b w:val="0"/>
                <w:sz w:val="14"/>
                <w:lang w:val="de-DE"/>
              </w:rPr>
            </w:pPr>
            <w:bookmarkStart w:id="204" w:name="_Toc336337953"/>
            <w:bookmarkStart w:id="205" w:name="_Toc370983081"/>
            <w:r w:rsidRPr="00C83DF5">
              <w:rPr>
                <w:rFonts w:ascii="Tahoma" w:hAnsi="Tahoma" w:cs="Tahoma"/>
                <w:b w:val="0"/>
                <w:sz w:val="14"/>
                <w:lang w:val="de-DE"/>
              </w:rPr>
              <w:t>Exchange Online Plan 2 (Nutzer-AL)</w:t>
            </w:r>
            <w:bookmarkEnd w:id="204"/>
            <w:bookmarkEnd w:id="205"/>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b w:val="0"/>
                <w:color w:val="000000"/>
                <w:sz w:val="13"/>
                <w:szCs w:val="13"/>
                <w:u w:val="single"/>
              </w:rPr>
            </w:pPr>
            <w:hyperlink w:anchor="_49_Exchange_Online" w:history="1">
              <w:r w:rsidR="00CF5A3E" w:rsidRPr="00C83DF5">
                <w:rPr>
                  <w:rStyle w:val="Hyperlink"/>
                  <w:b/>
                  <w:sz w:val="13"/>
                  <w:szCs w:val="13"/>
                </w:rPr>
                <w:t>54</w:t>
              </w:r>
            </w:hyperlink>
            <w:hyperlink w:anchor="_49_Exchange_Online" w:history="1"/>
          </w:p>
        </w:tc>
        <w:tc>
          <w:tcPr>
            <w:tcW w:w="449" w:type="dxa"/>
            <w:tcBorders>
              <w:bottom w:val="single" w:sz="4" w:space="0" w:color="auto"/>
            </w:tcBorders>
            <w:shd w:val="clear" w:color="auto" w:fill="FABF8F"/>
            <w:vAlign w:val="center"/>
          </w:tcPr>
          <w:p w:rsidR="00913A0A" w:rsidRPr="00C83DF5" w:rsidRDefault="00913A0A" w:rsidP="007E466C">
            <w:pPr>
              <w:pStyle w:val="TableText"/>
              <w:widowControl w:val="0"/>
              <w:spacing w:before="8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D93CA3"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FFFFF" w:themeFill="background1"/>
          </w:tcPr>
          <w:p w:rsidR="00913A0A" w:rsidRPr="00C83DF5" w:rsidRDefault="00913A0A" w:rsidP="001A63C6">
            <w:pPr>
              <w:pStyle w:val="Heading3"/>
              <w:rPr>
                <w:rFonts w:ascii="Tahoma" w:hAnsi="Tahoma" w:cs="Tahoma"/>
                <w:b w:val="0"/>
                <w:sz w:val="14"/>
                <w:lang w:val="de-DE"/>
              </w:rPr>
            </w:pPr>
            <w:bookmarkStart w:id="206" w:name="_Toc336337954"/>
            <w:bookmarkStart w:id="207" w:name="_Toc370983082"/>
            <w:r w:rsidRPr="00C83DF5">
              <w:rPr>
                <w:rFonts w:ascii="Tahoma" w:hAnsi="Tahoma" w:cs="Tahoma"/>
                <w:b w:val="0"/>
                <w:sz w:val="14"/>
                <w:lang w:val="de-DE"/>
              </w:rPr>
              <w:t>Exchange Online Plan 1A für Alumni (Nutzer-AL)</w:t>
            </w:r>
            <w:bookmarkEnd w:id="206"/>
            <w:bookmarkEnd w:id="207"/>
          </w:p>
        </w:tc>
        <w:tc>
          <w:tcPr>
            <w:tcW w:w="414"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b/>
                <w:color w:val="000000"/>
                <w:sz w:val="13"/>
                <w:szCs w:val="13"/>
                <w:u w:val="single"/>
                <w:lang w:val="de-DE"/>
              </w:rPr>
            </w:pPr>
          </w:p>
        </w:tc>
        <w:tc>
          <w:tcPr>
            <w:tcW w:w="449"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C83DF5" w:rsidRDefault="00913A0A" w:rsidP="00CF42E6">
            <w:pPr>
              <w:pStyle w:val="TableText"/>
              <w:widowControl w:val="0"/>
              <w:spacing w:after="10"/>
              <w:rPr>
                <w:rFonts w:ascii="Tahoma" w:hAnsi="Tahoma" w:cs="Tahoma"/>
                <w:sz w:val="13"/>
              </w:rPr>
            </w:pPr>
            <w:r w:rsidRPr="00C83DF5">
              <w:rPr>
                <w:rFonts w:ascii="Tahoma" w:hAnsi="Tahoma" w:cs="Tahoma"/>
                <w:sz w:val="13"/>
              </w:rPr>
              <w:t>A (nur EES)</w:t>
            </w:r>
          </w:p>
        </w:tc>
        <w:tc>
          <w:tcPr>
            <w:tcW w:w="506"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Heading3"/>
              <w:rPr>
                <w:rFonts w:ascii="Tahoma" w:hAnsi="Tahoma" w:cs="Tahoma"/>
                <w:b w:val="0"/>
                <w:sz w:val="14"/>
                <w:lang w:val="de-DE"/>
              </w:rPr>
            </w:pPr>
            <w:bookmarkStart w:id="208" w:name="_Toc336337955"/>
            <w:bookmarkStart w:id="209" w:name="_Toc370983083"/>
            <w:r w:rsidRPr="00C83DF5">
              <w:rPr>
                <w:rFonts w:ascii="Tahoma" w:hAnsi="Tahoma" w:cs="Tahoma"/>
                <w:b w:val="0"/>
                <w:sz w:val="14"/>
                <w:lang w:val="de-DE"/>
              </w:rPr>
              <w:t>Exchange Online Plan 2A (Nutzer-AL)</w:t>
            </w:r>
            <w:bookmarkEnd w:id="208"/>
            <w:bookmarkEnd w:id="209"/>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b/>
                <w:color w:val="000000"/>
                <w:sz w:val="13"/>
                <w:szCs w:val="13"/>
                <w:u w:val="single"/>
                <w:lang w:val="de-DE"/>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CF42E6">
            <w:pPr>
              <w:pStyle w:val="TableText"/>
              <w:widowControl w:val="0"/>
              <w:spacing w:after="10"/>
              <w:rPr>
                <w:rFonts w:ascii="Tahoma" w:hAnsi="Tahoma" w:cs="Tahoma"/>
                <w:sz w:val="13"/>
              </w:rPr>
            </w:pPr>
            <w:r w:rsidRPr="00C83DF5">
              <w:rPr>
                <w:rFonts w:ascii="Tahoma" w:hAnsi="Tahoma" w:cs="Tahoma"/>
                <w:sz w:val="13"/>
              </w:rPr>
              <w:t>A (nur EES)</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FFFFF" w:themeFill="background1"/>
          </w:tcPr>
          <w:p w:rsidR="00913A0A" w:rsidRPr="00C83DF5" w:rsidRDefault="00913A0A" w:rsidP="001A63C6">
            <w:pPr>
              <w:pStyle w:val="ProductNames"/>
              <w:rPr>
                <w:rFonts w:ascii="Tahoma" w:hAnsi="Tahoma" w:cs="Tahoma"/>
                <w:position w:val="0"/>
                <w:sz w:val="14"/>
                <w:lang w:val="de-DE"/>
              </w:rPr>
            </w:pPr>
            <w:bookmarkStart w:id="210" w:name="_Toc370983084"/>
            <w:r w:rsidRPr="00C83DF5">
              <w:rPr>
                <w:rFonts w:ascii="Tahoma" w:hAnsi="Tahoma" w:cs="Tahoma"/>
                <w:position w:val="0"/>
                <w:sz w:val="14"/>
                <w:lang w:val="de-DE"/>
              </w:rPr>
              <w:t>Exchange Online Protection (Nutzer-AL)</w:t>
            </w:r>
            <w:bookmarkEnd w:id="210"/>
          </w:p>
        </w:tc>
        <w:tc>
          <w:tcPr>
            <w:tcW w:w="414" w:type="dxa"/>
            <w:tcBorders>
              <w:bottom w:val="single" w:sz="4" w:space="0" w:color="auto"/>
            </w:tcBorders>
            <w:shd w:val="clear" w:color="auto" w:fill="FFFFFF" w:themeFill="background1"/>
            <w:vAlign w:val="center"/>
          </w:tcPr>
          <w:p w:rsidR="00913A0A" w:rsidRPr="00C83DF5" w:rsidRDefault="005519A5" w:rsidP="003D4F46">
            <w:pPr>
              <w:pStyle w:val="TableText"/>
              <w:widowControl w:val="0"/>
            </w:pPr>
            <w:hyperlink w:anchor="_49_Exchange_Server" w:history="1">
              <w:r w:rsidR="00CF5A3E" w:rsidRPr="00C83DF5">
                <w:rPr>
                  <w:rStyle w:val="Hyperlink"/>
                  <w:b/>
                  <w:sz w:val="13"/>
                  <w:szCs w:val="13"/>
                </w:rPr>
                <w:t>55</w:t>
              </w:r>
            </w:hyperlink>
            <w:hyperlink w:anchor="_49_Exchange_Server" w:history="1"/>
          </w:p>
        </w:tc>
        <w:tc>
          <w:tcPr>
            <w:tcW w:w="449"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FFFFF" w:themeFill="background1"/>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C83DF5" w:rsidRDefault="000956ED"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FFFFF" w:themeFill="background1"/>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rPr>
            </w:pPr>
            <w:bookmarkStart w:id="211" w:name="_Toc336337958"/>
            <w:bookmarkStart w:id="212" w:name="_Toc370983085"/>
            <w:r w:rsidRPr="00C83DF5">
              <w:rPr>
                <w:rFonts w:ascii="Tahoma" w:hAnsi="Tahoma" w:cs="Tahoma"/>
                <w:position w:val="0"/>
                <w:sz w:val="14"/>
              </w:rPr>
              <w:t>Exchange Server Enterprise</w:t>
            </w:r>
            <w:bookmarkEnd w:id="211"/>
            <w:r w:rsidRPr="00C83DF5">
              <w:rPr>
                <w:rFonts w:ascii="Tahoma" w:hAnsi="Tahoma" w:cs="Tahoma"/>
                <w:position w:val="0"/>
                <w:sz w:val="14"/>
              </w:rPr>
              <w:t xml:space="preserve"> 2013</w:t>
            </w:r>
            <w:bookmarkEnd w:id="212"/>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color w:val="0000FF"/>
                <w:sz w:val="13"/>
                <w:szCs w:val="13"/>
                <w:u w:val="single"/>
              </w:rPr>
            </w:pPr>
            <w:hyperlink w:anchor="_52_51_Exchange" w:history="1">
              <w:r w:rsidR="00CF5A3E" w:rsidRPr="00C83DF5">
                <w:rPr>
                  <w:rStyle w:val="Hyperlink"/>
                  <w:b/>
                  <w:sz w:val="13"/>
                  <w:szCs w:val="13"/>
                </w:rPr>
                <w:t>56</w:t>
              </w:r>
            </w:hyperlink>
            <w:hyperlink w:anchor="_49_Exchange_Server" w:history="1"/>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FFFFF" w:themeFill="background1"/>
          </w:tcPr>
          <w:p w:rsidR="00913A0A" w:rsidRPr="00C83DF5" w:rsidRDefault="00913A0A" w:rsidP="001A63C6">
            <w:pPr>
              <w:pStyle w:val="ProductNames"/>
              <w:rPr>
                <w:rFonts w:ascii="Tahoma" w:hAnsi="Tahoma" w:cs="Tahoma"/>
                <w:position w:val="0"/>
                <w:sz w:val="14"/>
              </w:rPr>
            </w:pPr>
            <w:bookmarkStart w:id="213" w:name="_Toc336337959"/>
            <w:bookmarkStart w:id="214" w:name="_Toc370983086"/>
            <w:r w:rsidRPr="00C83DF5">
              <w:rPr>
                <w:rFonts w:ascii="Tahoma" w:hAnsi="Tahoma" w:cs="Tahoma"/>
                <w:position w:val="0"/>
                <w:sz w:val="14"/>
              </w:rPr>
              <w:t>Exchange Server Standard</w:t>
            </w:r>
            <w:bookmarkEnd w:id="213"/>
            <w:r w:rsidRPr="00C83DF5">
              <w:rPr>
                <w:rFonts w:ascii="Tahoma" w:hAnsi="Tahoma" w:cs="Tahoma"/>
                <w:position w:val="0"/>
                <w:sz w:val="14"/>
              </w:rPr>
              <w:t xml:space="preserve"> 2013</w:t>
            </w:r>
            <w:bookmarkEnd w:id="214"/>
          </w:p>
        </w:tc>
        <w:tc>
          <w:tcPr>
            <w:tcW w:w="414" w:type="dxa"/>
            <w:tcBorders>
              <w:bottom w:val="single" w:sz="4" w:space="0" w:color="auto"/>
            </w:tcBorders>
            <w:shd w:val="clear" w:color="auto" w:fill="FFFFFF" w:themeFill="background1"/>
            <w:vAlign w:val="center"/>
          </w:tcPr>
          <w:p w:rsidR="00913A0A" w:rsidRPr="00C83DF5" w:rsidRDefault="005519A5" w:rsidP="003D4F46">
            <w:pPr>
              <w:pStyle w:val="TableText"/>
              <w:widowControl w:val="0"/>
              <w:rPr>
                <w:b/>
                <w:color w:val="0000FF"/>
                <w:sz w:val="13"/>
                <w:szCs w:val="13"/>
                <w:u w:val="single"/>
              </w:rPr>
            </w:pPr>
            <w:hyperlink w:anchor="_52_51_Exchange" w:history="1">
              <w:r w:rsidR="00304804" w:rsidRPr="00C83DF5">
                <w:rPr>
                  <w:rStyle w:val="Hyperlink"/>
                  <w:b/>
                  <w:sz w:val="13"/>
                  <w:szCs w:val="13"/>
                </w:rPr>
                <w:t>56</w:t>
              </w:r>
            </w:hyperlink>
            <w:hyperlink w:anchor="_49_Exchange_Server" w:history="1"/>
          </w:p>
        </w:tc>
        <w:tc>
          <w:tcPr>
            <w:tcW w:w="449"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5" w:type="dxa"/>
            <w:gridSpan w:val="2"/>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366"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FFFFF" w:themeFill="background1"/>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rPr>
            </w:pPr>
            <w:bookmarkStart w:id="215" w:name="_Toc336337960"/>
            <w:bookmarkStart w:id="216" w:name="_Toc370983087"/>
            <w:r w:rsidRPr="00C83DF5">
              <w:rPr>
                <w:rFonts w:ascii="Tahoma" w:hAnsi="Tahoma" w:cs="Tahoma"/>
                <w:position w:val="0"/>
                <w:sz w:val="14"/>
              </w:rPr>
              <w:t>Exchange Server 2007 Standard für Small Business</w:t>
            </w:r>
            <w:bookmarkEnd w:id="215"/>
            <w:bookmarkEnd w:id="216"/>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FFFFF" w:themeFill="background1"/>
          </w:tcPr>
          <w:p w:rsidR="00913A0A" w:rsidRPr="00C83DF5" w:rsidRDefault="00913A0A" w:rsidP="001A63C6">
            <w:pPr>
              <w:pStyle w:val="ProductNames"/>
              <w:rPr>
                <w:rFonts w:ascii="Tahoma" w:hAnsi="Tahoma" w:cs="Tahoma"/>
                <w:position w:val="0"/>
                <w:sz w:val="14"/>
              </w:rPr>
            </w:pPr>
            <w:bookmarkStart w:id="217" w:name="_Toc336337961"/>
            <w:bookmarkStart w:id="218" w:name="_Toc370983088"/>
            <w:r w:rsidRPr="00C83DF5">
              <w:rPr>
                <w:rFonts w:ascii="Tahoma" w:hAnsi="Tahoma" w:cs="Tahoma"/>
                <w:position w:val="0"/>
                <w:sz w:val="14"/>
              </w:rPr>
              <w:t>CAL für Exchange Server 2007 Standard für Small Business</w:t>
            </w:r>
            <w:bookmarkEnd w:id="217"/>
            <w:bookmarkEnd w:id="218"/>
          </w:p>
        </w:tc>
        <w:tc>
          <w:tcPr>
            <w:tcW w:w="414"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FFFFF" w:themeFill="background1"/>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lang w:val="de-DE"/>
              </w:rPr>
            </w:pPr>
            <w:bookmarkStart w:id="219" w:name="_Toc336337963"/>
            <w:bookmarkStart w:id="220" w:name="_Toc370983089"/>
            <w:r w:rsidRPr="00C83DF5">
              <w:rPr>
                <w:rFonts w:ascii="Tahoma" w:hAnsi="Tahoma" w:cs="Tahoma"/>
                <w:position w:val="0"/>
                <w:sz w:val="14"/>
                <w:lang w:val="de-DE"/>
              </w:rPr>
              <w:t>Standard-CAL für Exchange Server 2010 (Gerät &amp; Nutzer)</w:t>
            </w:r>
            <w:bookmarkEnd w:id="219"/>
            <w:bookmarkEnd w:id="220"/>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color w:val="0000FF"/>
                <w:sz w:val="13"/>
                <w:szCs w:val="13"/>
                <w:u w:val="single"/>
              </w:rPr>
            </w:pPr>
            <w:hyperlink w:anchor="_50_Exchange_Server" w:history="1">
              <w:r w:rsidR="00CF5A3E" w:rsidRPr="00C83DF5">
                <w:rPr>
                  <w:rStyle w:val="Hyperlink"/>
                  <w:b/>
                  <w:sz w:val="13"/>
                  <w:szCs w:val="13"/>
                </w:rPr>
                <w:t>57</w:t>
              </w:r>
            </w:hyperlink>
            <w:hyperlink w:anchor="_50_Exchange_Server" w:history="1"/>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8A0F85" w:rsidRPr="00C83DF5" w:rsidDel="00515A83" w:rsidTr="004909D7">
        <w:trPr>
          <w:trHeight w:val="145"/>
        </w:trPr>
        <w:tc>
          <w:tcPr>
            <w:tcW w:w="2546" w:type="dxa"/>
            <w:gridSpan w:val="2"/>
            <w:tcBorders>
              <w:bottom w:val="single" w:sz="4" w:space="0" w:color="auto"/>
            </w:tcBorders>
            <w:shd w:val="clear" w:color="auto" w:fill="FFFFFF" w:themeFill="background1"/>
          </w:tcPr>
          <w:p w:rsidR="00913A0A" w:rsidRPr="00C83DF5" w:rsidDel="00515A83" w:rsidRDefault="00913A0A" w:rsidP="001A63C6">
            <w:pPr>
              <w:pStyle w:val="ProductNames"/>
              <w:rPr>
                <w:rFonts w:ascii="Tahoma" w:hAnsi="Tahoma" w:cs="Tahoma"/>
                <w:position w:val="0"/>
                <w:sz w:val="14"/>
              </w:rPr>
            </w:pPr>
            <w:bookmarkStart w:id="221" w:name="_Toc336337965"/>
            <w:bookmarkStart w:id="222" w:name="_Toc370983090"/>
            <w:r w:rsidRPr="00C83DF5">
              <w:rPr>
                <w:rFonts w:ascii="Tahoma" w:hAnsi="Tahoma" w:cs="Tahoma"/>
                <w:position w:val="0"/>
                <w:sz w:val="14"/>
              </w:rPr>
              <w:t>Forefront Endpoint Protection</w:t>
            </w:r>
            <w:bookmarkEnd w:id="221"/>
            <w:bookmarkEnd w:id="222"/>
          </w:p>
        </w:tc>
        <w:tc>
          <w:tcPr>
            <w:tcW w:w="414" w:type="dxa"/>
            <w:tcBorders>
              <w:bottom w:val="single" w:sz="4" w:space="0" w:color="auto"/>
            </w:tcBorders>
            <w:shd w:val="clear" w:color="auto" w:fill="FFFFFF" w:themeFill="background1"/>
            <w:vAlign w:val="center"/>
          </w:tcPr>
          <w:p w:rsidR="00913A0A" w:rsidRPr="00C83DF5" w:rsidDel="00515A83" w:rsidRDefault="005519A5" w:rsidP="003D4F46">
            <w:pPr>
              <w:pStyle w:val="TableText"/>
              <w:widowControl w:val="0"/>
              <w:rPr>
                <w:rStyle w:val="EndnoteReference"/>
                <w:color w:val="000000"/>
                <w:sz w:val="13"/>
                <w:szCs w:val="13"/>
                <w:u w:val="single"/>
              </w:rPr>
            </w:pPr>
            <w:hyperlink w:anchor="_53_Forefront_Endpoint" w:history="1">
              <w:r w:rsidR="00CF5A3E" w:rsidRPr="00C83DF5">
                <w:rPr>
                  <w:rStyle w:val="Hyperlink"/>
                  <w:b/>
                  <w:sz w:val="13"/>
                  <w:szCs w:val="13"/>
                </w:rPr>
                <w:t>58</w:t>
              </w:r>
            </w:hyperlink>
          </w:p>
        </w:tc>
        <w:tc>
          <w:tcPr>
            <w:tcW w:w="449" w:type="dxa"/>
            <w:tcBorders>
              <w:bottom w:val="single" w:sz="4" w:space="0" w:color="auto"/>
            </w:tcBorders>
            <w:shd w:val="clear" w:color="auto" w:fill="FFFFFF" w:themeFill="background1"/>
            <w:vAlign w:val="center"/>
          </w:tcPr>
          <w:p w:rsidR="00913A0A" w:rsidRPr="00C83DF5"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913A0A" w:rsidRPr="00C83DF5"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C83DF5"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C83DF5" w:rsidDel="00515A83"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lang w:val="de-DE"/>
              </w:rPr>
            </w:pPr>
            <w:bookmarkStart w:id="223" w:name="_Toc336337966"/>
            <w:bookmarkStart w:id="224" w:name="_Toc370983091"/>
            <w:r w:rsidRPr="00C83DF5">
              <w:rPr>
                <w:rFonts w:ascii="Tahoma" w:hAnsi="Tahoma" w:cs="Tahoma"/>
                <w:position w:val="0"/>
                <w:sz w:val="14"/>
                <w:lang w:val="de-DE"/>
              </w:rPr>
              <w:t>CAL für Forefront Identity Manager 2010 R2 (nur Nutzer)</w:t>
            </w:r>
            <w:bookmarkEnd w:id="223"/>
            <w:bookmarkEnd w:id="224"/>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b w:val="0"/>
                <w:color w:val="0000FF"/>
                <w:sz w:val="13"/>
                <w:szCs w:val="13"/>
                <w:u w:val="single"/>
              </w:rPr>
            </w:pPr>
            <w:hyperlink w:anchor="_54_Forefront_Identity" w:history="1">
              <w:r w:rsidR="00CF5A3E" w:rsidRPr="00C83DF5">
                <w:rPr>
                  <w:rStyle w:val="Hyperlink"/>
                  <w:b/>
                  <w:sz w:val="13"/>
                  <w:szCs w:val="13"/>
                </w:rPr>
                <w:t>59</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3</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2</w:t>
            </w:r>
          </w:p>
        </w:tc>
        <w:tc>
          <w:tcPr>
            <w:tcW w:w="455" w:type="dxa"/>
            <w:gridSpan w:val="2"/>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w:t>
            </w:r>
          </w:p>
        </w:tc>
        <w:tc>
          <w:tcPr>
            <w:tcW w:w="366"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w:t>
            </w:r>
          </w:p>
        </w:tc>
        <w:tc>
          <w:tcPr>
            <w:tcW w:w="450" w:type="dxa"/>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FFFFF" w:themeFill="background1"/>
          </w:tcPr>
          <w:p w:rsidR="00913A0A" w:rsidRPr="00C83DF5" w:rsidRDefault="00913A0A" w:rsidP="001A63C6">
            <w:pPr>
              <w:pStyle w:val="ProductNames"/>
              <w:rPr>
                <w:rFonts w:ascii="Tahoma" w:hAnsi="Tahoma" w:cs="Tahoma"/>
                <w:position w:val="0"/>
                <w:sz w:val="14"/>
              </w:rPr>
            </w:pPr>
            <w:bookmarkStart w:id="225" w:name="_Toc336337967"/>
            <w:bookmarkStart w:id="226" w:name="_Toc370983092"/>
            <w:r w:rsidRPr="00C83DF5">
              <w:rPr>
                <w:rFonts w:ascii="Tahoma" w:hAnsi="Tahoma" w:cs="Tahoma"/>
                <w:position w:val="0"/>
                <w:sz w:val="14"/>
              </w:rPr>
              <w:t>Externer Connector für Forefront Identity Manager 2010 R2</w:t>
            </w:r>
            <w:bookmarkEnd w:id="225"/>
            <w:bookmarkEnd w:id="226"/>
          </w:p>
        </w:tc>
        <w:tc>
          <w:tcPr>
            <w:tcW w:w="414" w:type="dxa"/>
            <w:tcBorders>
              <w:bottom w:val="single" w:sz="4" w:space="0" w:color="auto"/>
            </w:tcBorders>
            <w:shd w:val="clear" w:color="auto" w:fill="FFFFFF" w:themeFill="background1"/>
            <w:vAlign w:val="center"/>
          </w:tcPr>
          <w:p w:rsidR="00913A0A" w:rsidRPr="00C83DF5" w:rsidRDefault="005519A5" w:rsidP="003D4F46">
            <w:pPr>
              <w:pStyle w:val="TableText"/>
              <w:widowControl w:val="0"/>
              <w:rPr>
                <w:rStyle w:val="EndnoteReference"/>
                <w:color w:val="000000"/>
                <w:sz w:val="13"/>
                <w:szCs w:val="13"/>
                <w:u w:val="single"/>
              </w:rPr>
            </w:pPr>
            <w:hyperlink w:anchor="_54_Forefront_Identity" w:history="1">
              <w:r w:rsidR="00304804" w:rsidRPr="00C83DF5">
                <w:rPr>
                  <w:rStyle w:val="Hyperlink"/>
                  <w:b/>
                  <w:sz w:val="13"/>
                  <w:szCs w:val="13"/>
                </w:rPr>
                <w:t>59</w:t>
              </w:r>
            </w:hyperlink>
          </w:p>
        </w:tc>
        <w:tc>
          <w:tcPr>
            <w:tcW w:w="449"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450" w:type="dxa"/>
            <w:gridSpan w:val="3"/>
            <w:tcBorders>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188</w:t>
            </w:r>
          </w:p>
        </w:tc>
        <w:tc>
          <w:tcPr>
            <w:tcW w:w="455" w:type="dxa"/>
            <w:gridSpan w:val="2"/>
            <w:tcBorders>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366" w:type="dxa"/>
            <w:tcBorders>
              <w:bottom w:val="single" w:sz="4" w:space="0" w:color="auto"/>
              <w:right w:val="single" w:sz="18"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FFFFF" w:themeFill="background1"/>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rPr>
            </w:pPr>
            <w:bookmarkStart w:id="227" w:name="_Toc336337968"/>
            <w:bookmarkStart w:id="228" w:name="_Toc370983093"/>
            <w:r w:rsidRPr="00C83DF5">
              <w:rPr>
                <w:rFonts w:ascii="Tahoma" w:hAnsi="Tahoma" w:cs="Tahoma"/>
                <w:position w:val="0"/>
                <w:sz w:val="14"/>
              </w:rPr>
              <w:t>Forefront Identity Manager 2010 R2 Server</w:t>
            </w:r>
            <w:bookmarkEnd w:id="227"/>
            <w:bookmarkEnd w:id="228"/>
            <w:r w:rsidRPr="00C83DF5">
              <w:rPr>
                <w:rFonts w:ascii="Tahoma" w:hAnsi="Tahoma" w:cs="Tahoma"/>
                <w:position w:val="0"/>
                <w:sz w:val="14"/>
              </w:rPr>
              <w:t xml:space="preserve"> </w:t>
            </w:r>
          </w:p>
        </w:tc>
        <w:tc>
          <w:tcPr>
            <w:tcW w:w="414" w:type="dxa"/>
            <w:tcBorders>
              <w:bottom w:val="single" w:sz="4" w:space="0" w:color="auto"/>
            </w:tcBorders>
            <w:shd w:val="clear" w:color="auto" w:fill="FABF8F"/>
            <w:vAlign w:val="center"/>
          </w:tcPr>
          <w:p w:rsidR="00913A0A" w:rsidRPr="00C83DF5" w:rsidRDefault="005519A5" w:rsidP="0045693C">
            <w:pPr>
              <w:pStyle w:val="TableText"/>
              <w:widowControl w:val="0"/>
              <w:rPr>
                <w:rStyle w:val="EndnoteReference"/>
                <w:color w:val="000000"/>
                <w:sz w:val="13"/>
                <w:szCs w:val="13"/>
                <w:u w:val="single"/>
              </w:rPr>
            </w:pPr>
            <w:hyperlink w:anchor="_54_Forefront_Identity" w:history="1">
              <w:r w:rsidR="00304804" w:rsidRPr="00C83DF5">
                <w:rPr>
                  <w:rStyle w:val="Hyperlink"/>
                  <w:b/>
                  <w:sz w:val="13"/>
                  <w:szCs w:val="13"/>
                </w:rPr>
                <w:t>59</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313</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250</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188</w:t>
            </w:r>
          </w:p>
        </w:tc>
        <w:tc>
          <w:tcPr>
            <w:tcW w:w="450" w:type="dxa"/>
            <w:gridSpan w:val="2"/>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188</w:t>
            </w:r>
          </w:p>
        </w:tc>
        <w:tc>
          <w:tcPr>
            <w:tcW w:w="455" w:type="dxa"/>
            <w:gridSpan w:val="2"/>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366"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450" w:type="dxa"/>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FFFFF" w:themeFill="background1"/>
          </w:tcPr>
          <w:p w:rsidR="00913A0A" w:rsidRPr="00C83DF5" w:rsidRDefault="00913A0A" w:rsidP="001A63C6">
            <w:pPr>
              <w:pStyle w:val="Heading2"/>
              <w:ind w:left="0"/>
              <w:rPr>
                <w:rFonts w:ascii="Tahoma" w:hAnsi="Tahoma" w:cs="Tahoma"/>
                <w:b w:val="0"/>
              </w:rPr>
            </w:pPr>
            <w:bookmarkStart w:id="229" w:name="_Toc336337969"/>
            <w:bookmarkStart w:id="230" w:name="_Toc370983094"/>
            <w:r w:rsidRPr="00C83DF5">
              <w:rPr>
                <w:rFonts w:ascii="Tahoma" w:hAnsi="Tahoma" w:cs="Tahoma"/>
                <w:b w:val="0"/>
                <w:sz w:val="14"/>
              </w:rPr>
              <w:t>Forefront Identity Manager 2010 R2 – Windows Live Edition</w:t>
            </w:r>
            <w:bookmarkEnd w:id="229"/>
            <w:bookmarkEnd w:id="230"/>
          </w:p>
        </w:tc>
        <w:tc>
          <w:tcPr>
            <w:tcW w:w="414" w:type="dxa"/>
            <w:tcBorders>
              <w:bottom w:val="single" w:sz="4" w:space="0" w:color="auto"/>
            </w:tcBorders>
            <w:shd w:val="clear" w:color="auto" w:fill="FFFFFF" w:themeFill="background1"/>
            <w:vAlign w:val="center"/>
          </w:tcPr>
          <w:p w:rsidR="00913A0A" w:rsidRPr="00C83DF5" w:rsidRDefault="005519A5" w:rsidP="003D4F46">
            <w:pPr>
              <w:pStyle w:val="TableText"/>
              <w:widowControl w:val="0"/>
              <w:rPr>
                <w:b/>
                <w:color w:val="0000FF"/>
                <w:sz w:val="13"/>
                <w:szCs w:val="13"/>
                <w:u w:val="single"/>
              </w:rPr>
            </w:pPr>
            <w:hyperlink w:anchor="_55_Forefront_Identity" w:history="1">
              <w:r w:rsidR="00CF5A3E" w:rsidRPr="00C83DF5">
                <w:rPr>
                  <w:rStyle w:val="Hyperlink"/>
                  <w:b/>
                  <w:sz w:val="13"/>
                  <w:szCs w:val="13"/>
                </w:rPr>
                <w:t>60</w:t>
              </w:r>
            </w:hyperlink>
          </w:p>
        </w:tc>
        <w:tc>
          <w:tcPr>
            <w:tcW w:w="449"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25</w:t>
            </w:r>
          </w:p>
        </w:tc>
        <w:tc>
          <w:tcPr>
            <w:tcW w:w="450" w:type="dxa"/>
            <w:gridSpan w:val="3"/>
            <w:tcBorders>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63</w:t>
            </w:r>
          </w:p>
        </w:tc>
        <w:tc>
          <w:tcPr>
            <w:tcW w:w="450" w:type="dxa"/>
            <w:gridSpan w:val="3"/>
            <w:tcBorders>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38</w:t>
            </w:r>
          </w:p>
        </w:tc>
        <w:tc>
          <w:tcPr>
            <w:tcW w:w="455" w:type="dxa"/>
            <w:gridSpan w:val="2"/>
            <w:tcBorders>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25</w:t>
            </w:r>
          </w:p>
        </w:tc>
        <w:tc>
          <w:tcPr>
            <w:tcW w:w="366" w:type="dxa"/>
            <w:tcBorders>
              <w:bottom w:val="single" w:sz="4" w:space="0" w:color="auto"/>
              <w:right w:val="single" w:sz="18"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913A0A" w:rsidRPr="00C83DF5" w:rsidRDefault="00913A0A" w:rsidP="001A63C6">
            <w:pPr>
              <w:pStyle w:val="TableText"/>
              <w:widowControl w:val="0"/>
              <w:spacing w:before="100" w:beforeAutospacing="1" w:after="120"/>
              <w:rPr>
                <w:rFonts w:ascii="Tahoma" w:hAnsi="Tahoma" w:cs="Tahoma"/>
                <w:color w:val="000000"/>
                <w:sz w:val="13"/>
                <w:szCs w:val="13"/>
              </w:rPr>
            </w:pPr>
            <w:r w:rsidRPr="00C83DF5">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FFFFF" w:themeFill="background1"/>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Heading2"/>
              <w:ind w:left="0"/>
              <w:rPr>
                <w:rFonts w:ascii="Tahoma" w:hAnsi="Tahoma" w:cs="Tahoma"/>
                <w:b w:val="0"/>
                <w:sz w:val="14"/>
                <w:lang w:val="de-DE"/>
              </w:rPr>
            </w:pPr>
            <w:bookmarkStart w:id="231" w:name="_Toc370983095"/>
            <w:r w:rsidRPr="00C83DF5">
              <w:rPr>
                <w:rFonts w:ascii="Tahoma" w:hAnsi="Tahoma" w:cs="Tahoma"/>
                <w:b w:val="0"/>
                <w:sz w:val="14"/>
                <w:lang w:val="de-DE"/>
              </w:rPr>
              <w:t>Forefront Online Protection für Exchange (Geräte- und Nutzer-AL)</w:t>
            </w:r>
            <w:bookmarkEnd w:id="231"/>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b/>
                <w:sz w:val="13"/>
                <w:szCs w:val="13"/>
              </w:rPr>
            </w:pPr>
            <w:hyperlink w:anchor="_59_Forefront_Online" w:history="1">
              <w:r w:rsidR="00CF5A3E" w:rsidRPr="00C83DF5">
                <w:rPr>
                  <w:rStyle w:val="Hyperlink"/>
                  <w:b/>
                  <w:sz w:val="13"/>
                  <w:szCs w:val="13"/>
                </w:rPr>
                <w:t>61</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5" w:type="dxa"/>
            <w:gridSpan w:val="2"/>
            <w:tcBorders>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366"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1A63C6">
            <w:pPr>
              <w:pStyle w:val="ProductNames"/>
              <w:rPr>
                <w:rFonts w:ascii="Tahoma" w:hAnsi="Tahoma" w:cs="Tahoma"/>
                <w:position w:val="0"/>
                <w:sz w:val="14"/>
                <w:lang w:val="de-DE"/>
              </w:rPr>
            </w:pPr>
            <w:bookmarkStart w:id="232" w:name="_Toc336337971"/>
            <w:bookmarkStart w:id="233" w:name="_Toc370983096"/>
            <w:r w:rsidRPr="00C83DF5">
              <w:rPr>
                <w:rFonts w:ascii="Tahoma" w:hAnsi="Tahoma" w:cs="Tahoma"/>
                <w:position w:val="0"/>
                <w:sz w:val="14"/>
                <w:lang w:val="de-DE"/>
              </w:rPr>
              <w:t>Forefront Protection 2010 für Exchange Server (Geräte- und Nutzer-AL)</w:t>
            </w:r>
            <w:bookmarkEnd w:id="232"/>
            <w:bookmarkEnd w:id="233"/>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b/>
                <w:color w:val="000000"/>
                <w:sz w:val="13"/>
                <w:szCs w:val="13"/>
                <w:u w:val="single"/>
              </w:rPr>
            </w:pPr>
            <w:hyperlink w:anchor="_54_Forefront_Protection" w:history="1">
              <w:r w:rsidR="00CF5A3E" w:rsidRPr="00C83DF5">
                <w:rPr>
                  <w:rStyle w:val="Hyperlink"/>
                  <w:b/>
                  <w:sz w:val="13"/>
                  <w:szCs w:val="13"/>
                </w:rPr>
                <w:t>62</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7" w:type="dxa"/>
            <w:gridSpan w:val="2"/>
            <w:tcBorders>
              <w:left w:val="single" w:sz="18"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43"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left w:val="single" w:sz="4" w:space="0" w:color="auto"/>
              <w:bottom w:val="single" w:sz="4" w:space="0" w:color="auto"/>
              <w:right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left w:val="single" w:sz="4"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4909D7"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rPr>
            </w:pPr>
            <w:bookmarkStart w:id="234" w:name="_Toc336337976"/>
            <w:bookmarkStart w:id="235" w:name="_Toc370983097"/>
            <w:r w:rsidRPr="00C83DF5">
              <w:rPr>
                <w:rFonts w:ascii="Tahoma" w:hAnsi="Tahoma" w:cs="Tahoma"/>
                <w:position w:val="0"/>
                <w:sz w:val="14"/>
              </w:rPr>
              <w:t>Forefront Protection 2010 for SharePoint (Geräte- und Nutzer-AL)</w:t>
            </w:r>
            <w:bookmarkEnd w:id="234"/>
            <w:bookmarkEnd w:id="235"/>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b w:val="0"/>
                <w:color w:val="000000"/>
                <w:sz w:val="13"/>
                <w:szCs w:val="13"/>
                <w:u w:val="single"/>
              </w:rPr>
            </w:pPr>
            <w:hyperlink w:anchor="_54_Forefront_Protection" w:history="1">
              <w:r w:rsidR="00CF5A3E" w:rsidRPr="00C83DF5">
                <w:rPr>
                  <w:rStyle w:val="Hyperlink"/>
                  <w:b/>
                  <w:sz w:val="13"/>
                  <w:szCs w:val="13"/>
                </w:rPr>
                <w:t>62</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7" w:type="dxa"/>
            <w:gridSpan w:val="2"/>
            <w:tcBorders>
              <w:left w:val="single" w:sz="18"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43" w:type="dxa"/>
            <w:gridSpan w:val="2"/>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left w:val="single" w:sz="4" w:space="0" w:color="auto"/>
              <w:bottom w:val="single" w:sz="4" w:space="0" w:color="auto"/>
              <w:right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left w:val="single" w:sz="4"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4465DB">
            <w:pPr>
              <w:pStyle w:val="ProductNames"/>
              <w:rPr>
                <w:rFonts w:ascii="Tahoma" w:hAnsi="Tahoma" w:cs="Tahoma"/>
                <w:position w:val="0"/>
                <w:sz w:val="14"/>
              </w:rPr>
            </w:pPr>
            <w:bookmarkStart w:id="236" w:name="_Toc336337977"/>
            <w:bookmarkStart w:id="237" w:name="_Toc370983098"/>
            <w:r w:rsidRPr="00C83DF5">
              <w:rPr>
                <w:rFonts w:ascii="Tahoma" w:hAnsi="Tahoma" w:cs="Tahoma"/>
                <w:position w:val="0"/>
                <w:sz w:val="14"/>
              </w:rPr>
              <w:t>Forefront Protection 2010 for SharePoint for Internet Sites</w:t>
            </w:r>
            <w:r w:rsidR="004465DB">
              <w:rPr>
                <w:rFonts w:ascii="Tahoma" w:hAnsi="Tahoma" w:cs="Tahoma"/>
                <w:position w:val="0"/>
                <w:sz w:val="14"/>
              </w:rPr>
              <w:br/>
            </w:r>
            <w:r w:rsidRPr="00C83DF5">
              <w:rPr>
                <w:rFonts w:ascii="Tahoma" w:hAnsi="Tahoma" w:cs="Tahoma"/>
                <w:position w:val="0"/>
                <w:sz w:val="14"/>
              </w:rPr>
              <w:t>(Add-On-AL)</w:t>
            </w:r>
            <w:bookmarkEnd w:id="236"/>
            <w:bookmarkEnd w:id="237"/>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rStyle w:val="EndnoteReference"/>
                <w:b w:val="0"/>
                <w:color w:val="000000"/>
                <w:sz w:val="13"/>
                <w:szCs w:val="13"/>
                <w:u w:val="single"/>
              </w:rPr>
            </w:pPr>
            <w:hyperlink w:anchor="_54_Forefront_Protection" w:history="1">
              <w:r w:rsidR="00813575" w:rsidRPr="00C83DF5">
                <w:rPr>
                  <w:rStyle w:val="Hyperlink"/>
                  <w:b/>
                  <w:sz w:val="13"/>
                  <w:szCs w:val="13"/>
                </w:rPr>
                <w:t>62</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OV</w:t>
            </w: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3D4F46" w:rsidRPr="00C83DF5" w:rsidTr="004909D7">
        <w:trPr>
          <w:trHeight w:val="145"/>
        </w:trPr>
        <w:tc>
          <w:tcPr>
            <w:tcW w:w="2546" w:type="dxa"/>
            <w:gridSpan w:val="2"/>
            <w:tcBorders>
              <w:bottom w:val="single" w:sz="4" w:space="0" w:color="auto"/>
            </w:tcBorders>
            <w:shd w:val="clear" w:color="auto" w:fill="FABF8F"/>
          </w:tcPr>
          <w:p w:rsidR="003D4F46" w:rsidRPr="00D942DF" w:rsidRDefault="003D4F46" w:rsidP="001A63C6">
            <w:pPr>
              <w:pStyle w:val="ProductNames"/>
              <w:rPr>
                <w:rFonts w:ascii="Tahoma" w:hAnsi="Tahoma" w:cs="Tahoma"/>
                <w:position w:val="0"/>
                <w:sz w:val="14"/>
                <w:lang w:val="de-DE"/>
              </w:rPr>
            </w:pPr>
            <w:bookmarkStart w:id="238" w:name="_Toc370983099"/>
            <w:r w:rsidRPr="00D942DF">
              <w:rPr>
                <w:rFonts w:ascii="Tahoma" w:hAnsi="Tahoma" w:cs="Tahoma"/>
                <w:position w:val="0"/>
                <w:sz w:val="14"/>
                <w:lang w:val="de-DE"/>
              </w:rPr>
              <w:t xml:space="preserve">Forefront Protection Suite </w:t>
            </w:r>
            <w:r w:rsidR="004465DB" w:rsidRPr="00D942DF">
              <w:rPr>
                <w:rFonts w:ascii="Tahoma" w:hAnsi="Tahoma" w:cs="Tahoma"/>
                <w:position w:val="0"/>
                <w:sz w:val="14"/>
                <w:lang w:val="de-DE"/>
              </w:rPr>
              <w:br/>
            </w:r>
            <w:r w:rsidRPr="00D942DF">
              <w:rPr>
                <w:rFonts w:ascii="Tahoma" w:hAnsi="Tahoma" w:cs="Tahoma"/>
                <w:position w:val="0"/>
                <w:sz w:val="14"/>
                <w:lang w:val="de-DE"/>
              </w:rPr>
              <w:t>(Geräte- und Nutzer-AL)</w:t>
            </w:r>
            <w:bookmarkEnd w:id="238"/>
          </w:p>
        </w:tc>
        <w:tc>
          <w:tcPr>
            <w:tcW w:w="414" w:type="dxa"/>
            <w:tcBorders>
              <w:bottom w:val="single" w:sz="4" w:space="0" w:color="auto"/>
            </w:tcBorders>
            <w:shd w:val="clear" w:color="auto" w:fill="FABF8F"/>
            <w:vAlign w:val="center"/>
          </w:tcPr>
          <w:p w:rsidR="003D4F46" w:rsidRPr="00C83DF5" w:rsidRDefault="005519A5">
            <w:pPr>
              <w:pStyle w:val="TableText"/>
              <w:widowControl w:val="0"/>
            </w:pPr>
            <w:hyperlink w:anchor="_61_Forefront_Protection" w:history="1">
              <w:hyperlink w:anchor="_61_Forefront_Protection" w:history="1">
                <w:r w:rsidR="00CF5A3E" w:rsidRPr="00D31BDF">
                  <w:rPr>
                    <w:rStyle w:val="Hyperlink"/>
                    <w:b/>
                    <w:sz w:val="13"/>
                    <w:szCs w:val="13"/>
                  </w:rPr>
                  <w:t>6</w:t>
                </w:r>
              </w:hyperlink>
              <w:r w:rsidR="00CF5A3E" w:rsidRPr="00D31BDF">
                <w:rPr>
                  <w:rStyle w:val="Hyperlink"/>
                  <w:b/>
                  <w:sz w:val="13"/>
                  <w:szCs w:val="13"/>
                </w:rPr>
                <w:t>3</w:t>
              </w:r>
            </w:hyperlink>
          </w:p>
        </w:tc>
        <w:tc>
          <w:tcPr>
            <w:tcW w:w="449" w:type="dxa"/>
            <w:tcBorders>
              <w:bottom w:val="single" w:sz="4" w:space="0" w:color="auto"/>
            </w:tcBorders>
            <w:shd w:val="clear" w:color="auto" w:fill="FABF8F"/>
          </w:tcPr>
          <w:p w:rsidR="003D4F46" w:rsidRPr="00C83DF5"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3D4F46" w:rsidRPr="00C83DF5"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3D4F46" w:rsidRPr="00C83DF5"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3D4F46" w:rsidRPr="00C83DF5" w:rsidRDefault="003D4F46" w:rsidP="001A63C6">
            <w:pPr>
              <w:pStyle w:val="TableText"/>
              <w:widowControl w:val="0"/>
              <w:rPr>
                <w:rFonts w:ascii="Tahoma" w:hAnsi="Tahoma" w:cs="Tahoma"/>
                <w:sz w:val="13"/>
              </w:rPr>
            </w:pPr>
          </w:p>
        </w:tc>
      </w:tr>
      <w:tr w:rsidR="0045693C" w:rsidRPr="00C83DF5" w:rsidTr="004909D7">
        <w:trPr>
          <w:trHeight w:val="145"/>
        </w:trPr>
        <w:tc>
          <w:tcPr>
            <w:tcW w:w="2546" w:type="dxa"/>
            <w:gridSpan w:val="2"/>
            <w:tcBorders>
              <w:bottom w:val="single" w:sz="4" w:space="0" w:color="auto"/>
            </w:tcBorders>
            <w:shd w:val="clear" w:color="auto" w:fill="auto"/>
          </w:tcPr>
          <w:p w:rsidR="003D4F46" w:rsidRPr="00C83DF5" w:rsidRDefault="003D4F46" w:rsidP="001A63C6">
            <w:pPr>
              <w:pStyle w:val="ProductNames"/>
              <w:rPr>
                <w:rFonts w:ascii="Tahoma" w:hAnsi="Tahoma" w:cs="Tahoma"/>
                <w:position w:val="0"/>
                <w:sz w:val="14"/>
              </w:rPr>
            </w:pPr>
            <w:bookmarkStart w:id="239" w:name="_Toc370983100"/>
            <w:r w:rsidRPr="00C83DF5">
              <w:rPr>
                <w:rFonts w:ascii="Tahoma" w:hAnsi="Tahoma" w:cs="Tahoma"/>
                <w:position w:val="0"/>
                <w:sz w:val="14"/>
              </w:rPr>
              <w:t xml:space="preserve">Forefront Security für Office Communications Server </w:t>
            </w:r>
            <w:r w:rsidR="004465DB">
              <w:rPr>
                <w:rFonts w:ascii="Tahoma" w:hAnsi="Tahoma" w:cs="Tahoma"/>
                <w:position w:val="0"/>
                <w:sz w:val="14"/>
              </w:rPr>
              <w:br/>
            </w:r>
            <w:r w:rsidRPr="00C83DF5">
              <w:rPr>
                <w:rFonts w:ascii="Tahoma" w:hAnsi="Tahoma" w:cs="Tahoma"/>
                <w:position w:val="0"/>
                <w:sz w:val="14"/>
              </w:rPr>
              <w:t>(Nutzer- und Geräte-AL)</w:t>
            </w:r>
            <w:bookmarkEnd w:id="239"/>
          </w:p>
        </w:tc>
        <w:tc>
          <w:tcPr>
            <w:tcW w:w="414" w:type="dxa"/>
            <w:tcBorders>
              <w:bottom w:val="single" w:sz="4" w:space="0" w:color="auto"/>
            </w:tcBorders>
            <w:shd w:val="clear" w:color="auto" w:fill="auto"/>
            <w:vAlign w:val="center"/>
          </w:tcPr>
          <w:p w:rsidR="003D4F46" w:rsidRPr="00C83DF5" w:rsidRDefault="005519A5" w:rsidP="003D4F46">
            <w:pPr>
              <w:pStyle w:val="TableText"/>
              <w:widowControl w:val="0"/>
            </w:pPr>
            <w:hyperlink w:anchor="_65_Forefront_Security" w:history="1">
              <w:hyperlink w:anchor="_61_Forefront_Protection" w:history="1">
                <w:r w:rsidR="00CF5A3E" w:rsidRPr="006D5F84">
                  <w:rPr>
                    <w:rStyle w:val="Hyperlink"/>
                    <w:b/>
                    <w:sz w:val="13"/>
                    <w:szCs w:val="13"/>
                  </w:rPr>
                  <w:t>6</w:t>
                </w:r>
              </w:hyperlink>
              <w:r w:rsidR="00CF5A3E" w:rsidRPr="006D5F84">
                <w:rPr>
                  <w:rStyle w:val="Hyperlink"/>
                  <w:b/>
                  <w:sz w:val="13"/>
                  <w:szCs w:val="13"/>
                </w:rPr>
                <w:t>4</w:t>
              </w:r>
            </w:hyperlink>
          </w:p>
        </w:tc>
        <w:tc>
          <w:tcPr>
            <w:tcW w:w="449" w:type="dxa"/>
            <w:tcBorders>
              <w:bottom w:val="single" w:sz="4" w:space="0" w:color="auto"/>
            </w:tcBorders>
            <w:shd w:val="clear" w:color="auto" w:fill="auto"/>
          </w:tcPr>
          <w:p w:rsidR="003D4F46" w:rsidRPr="00C83DF5"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3D4F46" w:rsidRPr="00C83DF5"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3D4F46" w:rsidRPr="00C83DF5"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3D4F46" w:rsidRPr="00C83DF5" w:rsidRDefault="003D4F46"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rPr>
            </w:pPr>
            <w:bookmarkStart w:id="240" w:name="_Toc336337981"/>
            <w:bookmarkStart w:id="241" w:name="_Toc370983101"/>
            <w:r w:rsidRPr="00C83DF5">
              <w:rPr>
                <w:rFonts w:ascii="Tahoma" w:hAnsi="Tahoma" w:cs="Tahoma"/>
                <w:position w:val="0"/>
                <w:sz w:val="14"/>
              </w:rPr>
              <w:t>Forefront Threat Management Gateway Web Protection Services</w:t>
            </w:r>
            <w:bookmarkEnd w:id="240"/>
            <w:bookmarkEnd w:id="241"/>
            <w:r w:rsidRPr="00C83DF5">
              <w:rPr>
                <w:rFonts w:ascii="Tahoma" w:hAnsi="Tahoma" w:cs="Tahoma"/>
                <w:position w:val="0"/>
                <w:sz w:val="14"/>
              </w:rPr>
              <w:t xml:space="preserve"> </w:t>
            </w:r>
          </w:p>
        </w:tc>
        <w:tc>
          <w:tcPr>
            <w:tcW w:w="414" w:type="dxa"/>
            <w:tcBorders>
              <w:bottom w:val="single" w:sz="4" w:space="0" w:color="auto"/>
            </w:tcBorders>
            <w:shd w:val="clear" w:color="auto" w:fill="FABF8F"/>
            <w:vAlign w:val="center"/>
          </w:tcPr>
          <w:p w:rsidR="00913A0A" w:rsidRPr="00C83DF5" w:rsidRDefault="005519A5" w:rsidP="003D4F46">
            <w:pPr>
              <w:pStyle w:val="TableText"/>
              <w:widowControl w:val="0"/>
              <w:rPr>
                <w:rStyle w:val="EndnoteReference"/>
                <w:b w:val="0"/>
                <w:color w:val="0000FF"/>
                <w:sz w:val="13"/>
                <w:szCs w:val="13"/>
                <w:u w:val="single"/>
              </w:rPr>
            </w:pPr>
            <w:hyperlink w:anchor="_50__Forefront" w:history="1">
              <w:r w:rsidR="00CF5A3E" w:rsidRPr="00C83DF5">
                <w:rPr>
                  <w:rStyle w:val="Hyperlink"/>
                  <w:b/>
                  <w:sz w:val="13"/>
                  <w:szCs w:val="13"/>
                </w:rPr>
                <w:t>65</w:t>
              </w:r>
            </w:hyperlink>
            <w:hyperlink w:anchor="_57_Forefront_Threat" w:history="1"/>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1A63C6">
            <w:pPr>
              <w:pStyle w:val="ProductNames"/>
              <w:rPr>
                <w:rFonts w:ascii="Tahoma" w:hAnsi="Tahoma" w:cs="Tahoma"/>
                <w:position w:val="0"/>
                <w:sz w:val="14"/>
              </w:rPr>
            </w:pPr>
            <w:bookmarkStart w:id="242" w:name="_Toc336337982"/>
            <w:bookmarkStart w:id="243" w:name="_Toc370983102"/>
            <w:r w:rsidRPr="00C83DF5">
              <w:rPr>
                <w:rFonts w:ascii="Tahoma" w:hAnsi="Tahoma" w:cs="Tahoma"/>
                <w:position w:val="0"/>
                <w:sz w:val="14"/>
              </w:rPr>
              <w:t>Forefront Unified Access Gateway Server 2010</w:t>
            </w:r>
            <w:bookmarkEnd w:id="242"/>
            <w:bookmarkEnd w:id="243"/>
          </w:p>
        </w:tc>
        <w:tc>
          <w:tcPr>
            <w:tcW w:w="414" w:type="dxa"/>
            <w:tcBorders>
              <w:bottom w:val="single" w:sz="4" w:space="0" w:color="auto"/>
            </w:tcBorders>
            <w:shd w:val="clear" w:color="auto" w:fill="auto"/>
            <w:vAlign w:val="center"/>
          </w:tcPr>
          <w:p w:rsidR="00913A0A" w:rsidRPr="00C83DF5" w:rsidRDefault="005519A5" w:rsidP="003D4F46">
            <w:pPr>
              <w:pStyle w:val="TableText"/>
              <w:widowControl w:val="0"/>
              <w:rPr>
                <w:b/>
                <w:color w:val="000000"/>
                <w:sz w:val="13"/>
                <w:szCs w:val="13"/>
                <w:u w:val="single"/>
              </w:rPr>
            </w:pPr>
            <w:hyperlink w:anchor="_67_Forefront_Unified" w:history="1">
              <w:r w:rsidR="00CF5A3E" w:rsidRPr="00C83DF5">
                <w:rPr>
                  <w:rStyle w:val="Hyperlink"/>
                  <w:b/>
                  <w:sz w:val="13"/>
                  <w:szCs w:val="13"/>
                </w:rPr>
                <w:t>66</w:t>
              </w:r>
            </w:hyperlink>
            <w:hyperlink w:anchor="Srv_52ForefrontUnifiedAccessGtwy2010" w:history="1"/>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rPr>
            </w:pPr>
            <w:bookmarkStart w:id="244" w:name="_Toc336337983"/>
            <w:bookmarkStart w:id="245" w:name="_Toc370983103"/>
            <w:r w:rsidRPr="00C83DF5">
              <w:rPr>
                <w:rFonts w:ascii="Tahoma" w:hAnsi="Tahoma" w:cs="Tahoma"/>
                <w:position w:val="0"/>
                <w:sz w:val="14"/>
              </w:rPr>
              <w:t>Externer Connector für Forefront Unified Access Gateway 2010</w:t>
            </w:r>
            <w:bookmarkEnd w:id="244"/>
            <w:bookmarkEnd w:id="245"/>
          </w:p>
        </w:tc>
        <w:tc>
          <w:tcPr>
            <w:tcW w:w="414" w:type="dxa"/>
            <w:tcBorders>
              <w:bottom w:val="single" w:sz="4" w:space="0" w:color="auto"/>
            </w:tcBorders>
            <w:shd w:val="clear" w:color="auto" w:fill="FABF8F"/>
            <w:vAlign w:val="center"/>
          </w:tcPr>
          <w:p w:rsidR="00913A0A" w:rsidRPr="006D5F84" w:rsidRDefault="005519A5" w:rsidP="003D4F46">
            <w:pPr>
              <w:pStyle w:val="TableText"/>
              <w:widowControl w:val="0"/>
              <w:rPr>
                <w:b/>
                <w:bCs/>
                <w:color w:val="000000"/>
                <w:sz w:val="13"/>
                <w:szCs w:val="13"/>
                <w:u w:val="single"/>
              </w:rPr>
            </w:pPr>
            <w:hyperlink w:anchor="_67_Forefront_Unified" w:history="1">
              <w:r w:rsidR="00813575" w:rsidRPr="00C83DF5">
                <w:rPr>
                  <w:rStyle w:val="Hyperlink"/>
                  <w:b/>
                  <w:sz w:val="13"/>
                  <w:szCs w:val="13"/>
                </w:rPr>
                <w:t>66</w:t>
              </w:r>
            </w:hyperlink>
            <w:hyperlink w:anchor="Srv_56ForefrontUnifiedAccessGtwy2010" w:history="1"/>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300</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200</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200</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DE1233">
        <w:trPr>
          <w:trHeight w:val="377"/>
        </w:trPr>
        <w:tc>
          <w:tcPr>
            <w:tcW w:w="2546" w:type="dxa"/>
            <w:gridSpan w:val="2"/>
            <w:tcBorders>
              <w:bottom w:val="single" w:sz="4" w:space="0" w:color="auto"/>
            </w:tcBorders>
            <w:shd w:val="clear" w:color="auto" w:fill="auto"/>
          </w:tcPr>
          <w:p w:rsidR="00913A0A" w:rsidRPr="00C83DF5" w:rsidRDefault="00913A0A" w:rsidP="00DE1233">
            <w:pPr>
              <w:pStyle w:val="ProductNames"/>
              <w:spacing w:after="0"/>
              <w:rPr>
                <w:rFonts w:ascii="Tahoma" w:hAnsi="Tahoma" w:cs="Tahoma"/>
                <w:position w:val="0"/>
                <w:sz w:val="14"/>
              </w:rPr>
            </w:pPr>
            <w:bookmarkStart w:id="246" w:name="_Toc336337984"/>
            <w:bookmarkStart w:id="247" w:name="_Toc370983104"/>
            <w:r w:rsidRPr="00C83DF5">
              <w:rPr>
                <w:rFonts w:ascii="Tahoma" w:hAnsi="Tahoma" w:cs="Tahoma"/>
                <w:position w:val="0"/>
                <w:sz w:val="14"/>
              </w:rPr>
              <w:t>CAL für Forefront Unified Access Gateway 2010</w:t>
            </w:r>
            <w:bookmarkEnd w:id="246"/>
            <w:bookmarkEnd w:id="247"/>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5519A5" w:rsidP="00793532">
            <w:pPr>
              <w:pStyle w:val="TableText"/>
              <w:widowControl w:val="0"/>
              <w:rPr>
                <w:b/>
                <w:color w:val="000000"/>
                <w:sz w:val="13"/>
                <w:szCs w:val="13"/>
                <w:u w:val="single"/>
              </w:rPr>
            </w:pPr>
            <w:hyperlink w:anchor="_67_Forefront_Unified" w:history="1">
              <w:r w:rsidR="00813575" w:rsidRPr="00C83DF5">
                <w:rPr>
                  <w:rStyle w:val="Hyperlink"/>
                  <w:b/>
                  <w:sz w:val="13"/>
                  <w:szCs w:val="13"/>
                </w:rPr>
                <w:t>66</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DE1233">
            <w:pPr>
              <w:pStyle w:val="TableText"/>
              <w:widowControl w:val="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rPr>
            </w:pPr>
            <w:bookmarkStart w:id="248" w:name="_Toc336337985"/>
            <w:bookmarkStart w:id="249" w:name="_Toc370983105"/>
            <w:r w:rsidRPr="00C83DF5">
              <w:rPr>
                <w:rFonts w:ascii="Tahoma" w:hAnsi="Tahoma" w:cs="Tahoma"/>
                <w:position w:val="0"/>
                <w:sz w:val="14"/>
              </w:rPr>
              <w:t>10K CAL Pack für Forefront Unified Access Gateway 2010</w:t>
            </w:r>
            <w:bookmarkEnd w:id="248"/>
            <w:bookmarkEnd w:id="249"/>
          </w:p>
        </w:tc>
        <w:tc>
          <w:tcPr>
            <w:tcW w:w="414" w:type="dxa"/>
            <w:tcBorders>
              <w:bottom w:val="single" w:sz="4" w:space="0" w:color="auto"/>
            </w:tcBorders>
            <w:shd w:val="clear" w:color="auto" w:fill="FABF8F"/>
            <w:vAlign w:val="center"/>
          </w:tcPr>
          <w:p w:rsidR="00913A0A" w:rsidRPr="00C83DF5" w:rsidRDefault="005519A5" w:rsidP="00793532">
            <w:pPr>
              <w:pStyle w:val="TableText"/>
              <w:widowControl w:val="0"/>
              <w:rPr>
                <w:b/>
                <w:color w:val="000000"/>
                <w:sz w:val="13"/>
                <w:szCs w:val="13"/>
                <w:u w:val="single"/>
              </w:rPr>
            </w:pPr>
            <w:hyperlink w:anchor="_67_Forefront_Unified" w:history="1">
              <w:r w:rsidR="00813575" w:rsidRPr="00C83DF5">
                <w:rPr>
                  <w:rStyle w:val="Hyperlink"/>
                  <w:b/>
                  <w:sz w:val="13"/>
                  <w:szCs w:val="13"/>
                </w:rPr>
                <w:t>66</w:t>
              </w:r>
            </w:hyperlink>
            <w:hyperlink w:anchor="Srv_52ForefrontUnifiedAccessGtwy2010" w:history="1"/>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300</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200</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1A63C6">
            <w:pPr>
              <w:pStyle w:val="ProductNames"/>
              <w:rPr>
                <w:rFonts w:ascii="Tahoma" w:hAnsi="Tahoma" w:cs="Tahoma"/>
                <w:position w:val="0"/>
                <w:sz w:val="14"/>
              </w:rPr>
            </w:pPr>
            <w:bookmarkStart w:id="250" w:name="_Toc336337990"/>
            <w:bookmarkStart w:id="251" w:name="_Toc370983106"/>
            <w:r w:rsidRPr="00C83DF5">
              <w:rPr>
                <w:rFonts w:ascii="Tahoma" w:hAnsi="Tahoma" w:cs="Tahoma"/>
                <w:position w:val="0"/>
                <w:sz w:val="14"/>
              </w:rPr>
              <w:t>HPC Pack 2008 R2 Enterprise</w:t>
            </w:r>
            <w:bookmarkEnd w:id="250"/>
            <w:bookmarkEnd w:id="251"/>
          </w:p>
        </w:tc>
        <w:tc>
          <w:tcPr>
            <w:tcW w:w="414" w:type="dxa"/>
            <w:tcBorders>
              <w:bottom w:val="single" w:sz="4" w:space="0" w:color="auto"/>
            </w:tcBorders>
            <w:shd w:val="clear" w:color="auto" w:fill="auto"/>
            <w:vAlign w:val="center"/>
          </w:tcPr>
          <w:p w:rsidR="00913A0A" w:rsidRPr="00C83DF5" w:rsidRDefault="005519A5" w:rsidP="00793532">
            <w:pPr>
              <w:pStyle w:val="TableText"/>
              <w:widowControl w:val="0"/>
              <w:rPr>
                <w:rStyle w:val="EndnoteReference"/>
                <w:rFonts w:cs="Tahoma"/>
                <w:color w:val="000000"/>
                <w:sz w:val="13"/>
                <w:szCs w:val="13"/>
                <w:u w:val="single"/>
              </w:rPr>
            </w:pPr>
            <w:hyperlink w:anchor="_51_High_Performance" w:history="1">
              <w:hyperlink w:anchor="_51_High_Performance" w:history="1">
                <w:r w:rsidR="00CF5A3E" w:rsidRPr="001A14F2">
                  <w:rPr>
                    <w:rStyle w:val="Hyperlink"/>
                    <w:b/>
                    <w:sz w:val="13"/>
                    <w:szCs w:val="13"/>
                  </w:rPr>
                  <w:t>6</w:t>
                </w:r>
              </w:hyperlink>
              <w:r w:rsidR="00CF5A3E" w:rsidRPr="001A14F2">
                <w:rPr>
                  <w:rStyle w:val="Hyperlink"/>
                  <w:b/>
                  <w:sz w:val="13"/>
                  <w:szCs w:val="13"/>
                </w:rPr>
                <w:t>7</w:t>
              </w:r>
            </w:hyperlink>
            <w:hyperlink w:anchor="Srv_54HighPerfComputingPack" w:history="1"/>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1A63C6">
            <w:pPr>
              <w:pStyle w:val="ProductNames"/>
              <w:rPr>
                <w:rFonts w:ascii="Tahoma" w:hAnsi="Tahoma" w:cs="Tahoma"/>
                <w:position w:val="0"/>
                <w:sz w:val="14"/>
                <w:lang w:val="de-DE"/>
              </w:rPr>
            </w:pPr>
            <w:bookmarkStart w:id="252" w:name="_Toc336337991"/>
            <w:bookmarkStart w:id="253" w:name="_Toc370983107"/>
            <w:r w:rsidRPr="00C83DF5">
              <w:rPr>
                <w:rFonts w:ascii="Tahoma" w:hAnsi="Tahoma" w:cs="Tahoma"/>
                <w:position w:val="0"/>
                <w:sz w:val="14"/>
                <w:lang w:val="de-DE"/>
              </w:rPr>
              <w:lastRenderedPageBreak/>
              <w:t>HPC Pack 2008 R2 für Workstation</w:t>
            </w:r>
            <w:bookmarkEnd w:id="252"/>
            <w:bookmarkEnd w:id="253"/>
          </w:p>
        </w:tc>
        <w:tc>
          <w:tcPr>
            <w:tcW w:w="414" w:type="dxa"/>
            <w:tcBorders>
              <w:bottom w:val="single" w:sz="4" w:space="0" w:color="auto"/>
            </w:tcBorders>
            <w:shd w:val="clear" w:color="auto" w:fill="FABF8F"/>
            <w:vAlign w:val="center"/>
          </w:tcPr>
          <w:p w:rsidR="00913A0A" w:rsidRPr="00C83DF5" w:rsidRDefault="005519A5"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813575" w:rsidRPr="001A14F2">
                  <w:rPr>
                    <w:rStyle w:val="Hyperlink"/>
                    <w:b/>
                    <w:sz w:val="13"/>
                    <w:szCs w:val="13"/>
                  </w:rPr>
                  <w:t>6</w:t>
                </w:r>
              </w:hyperlink>
              <w:r w:rsidR="00813575" w:rsidRPr="001A14F2">
                <w:rPr>
                  <w:rStyle w:val="Hyperlink"/>
                  <w:b/>
                  <w:sz w:val="13"/>
                  <w:szCs w:val="13"/>
                </w:rPr>
                <w:t>7</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4465DB"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1233">
            <w:pPr>
              <w:pStyle w:val="Heading2"/>
              <w:spacing w:after="10"/>
              <w:ind w:left="0"/>
              <w:rPr>
                <w:rFonts w:ascii="Tahoma" w:hAnsi="Tahoma" w:cs="Tahoma"/>
                <w:b w:val="0"/>
                <w:sz w:val="14"/>
                <w:szCs w:val="16"/>
                <w:lang w:val="de-DE"/>
              </w:rPr>
            </w:pPr>
            <w:bookmarkStart w:id="254" w:name="_Toc370983108"/>
            <w:r w:rsidRPr="00C83DF5">
              <w:rPr>
                <w:rFonts w:ascii="Tahoma" w:hAnsi="Tahoma" w:cs="Tahoma"/>
                <w:b w:val="0"/>
                <w:sz w:val="14"/>
                <w:szCs w:val="16"/>
                <w:lang w:val="de-DE"/>
              </w:rPr>
              <w:t xml:space="preserve">Add-On für Lync Online Plan 1 </w:t>
            </w:r>
            <w:r w:rsidR="004465DB">
              <w:rPr>
                <w:rFonts w:ascii="Tahoma" w:hAnsi="Tahoma" w:cs="Tahoma"/>
                <w:b w:val="0"/>
                <w:sz w:val="14"/>
                <w:szCs w:val="16"/>
                <w:lang w:val="de-DE"/>
              </w:rPr>
              <w:br/>
            </w:r>
            <w:r w:rsidRPr="00C83DF5">
              <w:rPr>
                <w:rFonts w:ascii="Tahoma" w:hAnsi="Tahoma" w:cs="Tahoma"/>
                <w:b w:val="0"/>
                <w:sz w:val="14"/>
                <w:szCs w:val="16"/>
                <w:lang w:val="de-DE"/>
              </w:rPr>
              <w:t>(Nutzer-AL)</w:t>
            </w:r>
            <w:bookmarkEnd w:id="254"/>
          </w:p>
        </w:tc>
        <w:tc>
          <w:tcPr>
            <w:tcW w:w="414" w:type="dxa"/>
            <w:tcBorders>
              <w:bottom w:val="single" w:sz="4" w:space="0" w:color="auto"/>
            </w:tcBorders>
            <w:shd w:val="clear" w:color="auto" w:fill="auto"/>
            <w:vAlign w:val="center"/>
          </w:tcPr>
          <w:p w:rsidR="00913A0A" w:rsidRPr="004465DB" w:rsidRDefault="005519A5" w:rsidP="00793532">
            <w:pPr>
              <w:pStyle w:val="TableText"/>
              <w:widowControl w:val="0"/>
              <w:rPr>
                <w:b/>
                <w:sz w:val="13"/>
                <w:szCs w:val="13"/>
                <w:lang w:val="de-DE"/>
              </w:rPr>
            </w:pPr>
            <w:hyperlink w:anchor="_58_Learning_Solutions" w:history="1">
              <w:r w:rsidR="00CF5A3E" w:rsidRPr="004465DB">
                <w:rPr>
                  <w:rStyle w:val="Hyperlink"/>
                  <w:b/>
                  <w:sz w:val="13"/>
                  <w:szCs w:val="13"/>
                  <w:lang w:val="de-DE"/>
                </w:rPr>
                <w:t>68</w:t>
              </w:r>
            </w:hyperlink>
          </w:p>
        </w:tc>
        <w:tc>
          <w:tcPr>
            <w:tcW w:w="449" w:type="dxa"/>
            <w:tcBorders>
              <w:bottom w:val="single" w:sz="4" w:space="0" w:color="auto"/>
            </w:tcBorders>
            <w:shd w:val="clear" w:color="auto" w:fill="auto"/>
          </w:tcPr>
          <w:p w:rsidR="00913A0A" w:rsidRPr="004465DB" w:rsidRDefault="00913A0A" w:rsidP="001A63C6">
            <w:pPr>
              <w:pStyle w:val="TableText"/>
              <w:widowControl w:val="0"/>
              <w:spacing w:before="120"/>
              <w:rPr>
                <w:rFonts w:ascii="Tahoma" w:hAnsi="Tahoma" w:cs="Tahoma"/>
                <w:color w:val="000000"/>
                <w:sz w:val="13"/>
                <w:lang w:val="de-DE"/>
              </w:rPr>
            </w:pPr>
            <w:r w:rsidRPr="004465DB">
              <w:rPr>
                <w:rFonts w:ascii="Tahoma" w:hAnsi="Tahoma" w:cs="Tahoma"/>
                <w:color w:val="000000"/>
                <w:sz w:val="13"/>
                <w:lang w:val="de-DE"/>
              </w:rPr>
              <w:t>08/13</w:t>
            </w:r>
          </w:p>
        </w:tc>
        <w:tc>
          <w:tcPr>
            <w:tcW w:w="360" w:type="dxa"/>
            <w:tcBorders>
              <w:bottom w:val="single" w:sz="4" w:space="0" w:color="auto"/>
              <w:right w:val="single" w:sz="18"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5" w:type="dxa"/>
            <w:gridSpan w:val="2"/>
            <w:tcBorders>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366" w:type="dxa"/>
            <w:tcBorders>
              <w:bottom w:val="single" w:sz="4" w:space="0" w:color="auto"/>
              <w:right w:val="single" w:sz="18"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r w:rsidRPr="004465DB">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tcPr>
          <w:p w:rsidR="00913A0A" w:rsidRPr="004465DB" w:rsidRDefault="00913A0A" w:rsidP="001A63C6">
            <w:pPr>
              <w:pStyle w:val="TableText"/>
              <w:widowControl w:val="0"/>
              <w:spacing w:before="120"/>
              <w:rPr>
                <w:rFonts w:ascii="Tahoma" w:hAnsi="Tahoma" w:cs="Tahoma"/>
                <w:sz w:val="13"/>
                <w:lang w:val="de-DE"/>
              </w:rPr>
            </w:pPr>
          </w:p>
        </w:tc>
        <w:tc>
          <w:tcPr>
            <w:tcW w:w="506" w:type="dxa"/>
            <w:tcBorders>
              <w:bottom w:val="single" w:sz="4" w:space="0" w:color="auto"/>
            </w:tcBorders>
            <w:shd w:val="clear" w:color="auto" w:fill="auto"/>
            <w:vAlign w:val="center"/>
          </w:tcPr>
          <w:p w:rsidR="00913A0A" w:rsidRPr="004465DB" w:rsidRDefault="00913A0A" w:rsidP="001A63C6">
            <w:pPr>
              <w:pStyle w:val="TableText"/>
              <w:widowControl w:val="0"/>
              <w:rPr>
                <w:rFonts w:ascii="Tahoma" w:hAnsi="Tahoma" w:cs="Tahoma"/>
                <w:sz w:val="13"/>
                <w:lang w:val="de-DE"/>
              </w:rPr>
            </w:pPr>
          </w:p>
        </w:tc>
        <w:tc>
          <w:tcPr>
            <w:tcW w:w="484" w:type="dxa"/>
            <w:tcBorders>
              <w:bottom w:val="single" w:sz="4" w:space="0" w:color="auto"/>
            </w:tcBorders>
          </w:tcPr>
          <w:p w:rsidR="00913A0A" w:rsidRPr="004465DB" w:rsidRDefault="002C4BA9" w:rsidP="001A63C6">
            <w:pPr>
              <w:pStyle w:val="TableText"/>
              <w:widowControl w:val="0"/>
              <w:rPr>
                <w:rFonts w:ascii="Tahoma" w:hAnsi="Tahoma" w:cs="Tahoma"/>
                <w:sz w:val="13"/>
                <w:lang w:val="de-DE"/>
              </w:rPr>
            </w:pPr>
            <w:r w:rsidRPr="004465DB">
              <w:rPr>
                <w:rFonts w:ascii="Tahoma" w:hAnsi="Tahoma" w:cs="Tahoma"/>
                <w:sz w:val="13"/>
                <w:lang w:val="de-DE"/>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ind w:left="0"/>
              <w:rPr>
                <w:rFonts w:ascii="Tahoma" w:hAnsi="Tahoma" w:cs="Tahoma"/>
                <w:b w:val="0"/>
                <w:sz w:val="14"/>
                <w:szCs w:val="16"/>
                <w:lang w:val="de-DE"/>
              </w:rPr>
            </w:pPr>
            <w:bookmarkStart w:id="255" w:name="_Toc336337995"/>
            <w:bookmarkStart w:id="256" w:name="_Toc370983109"/>
            <w:r w:rsidRPr="00C83DF5">
              <w:rPr>
                <w:rFonts w:ascii="Tahoma" w:hAnsi="Tahoma" w:cs="Tahoma"/>
                <w:b w:val="0"/>
                <w:sz w:val="14"/>
                <w:szCs w:val="16"/>
                <w:lang w:val="de-DE"/>
              </w:rPr>
              <w:t>Lync Online Plan 1 (Nutzer-AL)</w:t>
            </w:r>
            <w:bookmarkEnd w:id="255"/>
            <w:bookmarkEnd w:id="256"/>
          </w:p>
        </w:tc>
        <w:tc>
          <w:tcPr>
            <w:tcW w:w="414" w:type="dxa"/>
            <w:tcBorders>
              <w:bottom w:val="single" w:sz="4" w:space="0" w:color="auto"/>
            </w:tcBorders>
            <w:shd w:val="clear" w:color="auto" w:fill="FABF8F"/>
            <w:vAlign w:val="center"/>
          </w:tcPr>
          <w:p w:rsidR="00913A0A" w:rsidRPr="001A14F2" w:rsidRDefault="005519A5" w:rsidP="00793532">
            <w:pPr>
              <w:pStyle w:val="TableText"/>
              <w:widowControl w:val="0"/>
              <w:rPr>
                <w:b/>
                <w:bCs/>
                <w:color w:val="0000FF"/>
                <w:sz w:val="13"/>
                <w:szCs w:val="13"/>
                <w:u w:val="single"/>
                <w:lang w:val="de-DE"/>
              </w:rPr>
            </w:pPr>
            <w:hyperlink w:anchor="_58_Learning_Solutions" w:history="1">
              <w:r w:rsidR="00813575" w:rsidRPr="004465DB">
                <w:rPr>
                  <w:rStyle w:val="Hyperlink"/>
                  <w:b/>
                  <w:sz w:val="13"/>
                  <w:szCs w:val="13"/>
                  <w:lang w:val="de-DE"/>
                </w:rPr>
                <w:t>68</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4465DB">
              <w:rPr>
                <w:rFonts w:ascii="Tahoma" w:hAnsi="Tahoma" w:cs="Tahoma"/>
                <w:color w:val="000000"/>
                <w:sz w:val="13"/>
                <w:lang w:val="de-DE"/>
              </w:rPr>
              <w:t>06</w:t>
            </w:r>
            <w:r w:rsidRPr="00C83DF5">
              <w:rPr>
                <w:rFonts w:ascii="Tahoma" w:hAnsi="Tahoma" w:cs="Tahoma"/>
                <w:color w:val="000000"/>
                <w:sz w:val="13"/>
              </w:rPr>
              <w:t>/11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ind w:left="0"/>
              <w:rPr>
                <w:rFonts w:ascii="Tahoma" w:hAnsi="Tahoma" w:cs="Tahoma"/>
                <w:b w:val="0"/>
                <w:sz w:val="14"/>
                <w:szCs w:val="16"/>
                <w:lang w:val="de-DE"/>
              </w:rPr>
            </w:pPr>
            <w:bookmarkStart w:id="257" w:name="_Toc336337996"/>
            <w:bookmarkStart w:id="258" w:name="_Toc370983110"/>
            <w:r w:rsidRPr="00C83DF5">
              <w:rPr>
                <w:rFonts w:ascii="Tahoma" w:hAnsi="Tahoma" w:cs="Tahoma"/>
                <w:b w:val="0"/>
                <w:sz w:val="14"/>
                <w:szCs w:val="16"/>
                <w:lang w:val="de-DE"/>
              </w:rPr>
              <w:t>Lync Online Plan 2 (Nutzer-AL)</w:t>
            </w:r>
            <w:bookmarkEnd w:id="257"/>
            <w:bookmarkEnd w:id="258"/>
          </w:p>
        </w:tc>
        <w:tc>
          <w:tcPr>
            <w:tcW w:w="414" w:type="dxa"/>
            <w:tcBorders>
              <w:bottom w:val="single" w:sz="4" w:space="0" w:color="auto"/>
            </w:tcBorders>
            <w:shd w:val="clear" w:color="auto" w:fill="auto"/>
            <w:vAlign w:val="center"/>
          </w:tcPr>
          <w:p w:rsidR="00913A0A" w:rsidRPr="00C83DF5" w:rsidRDefault="005519A5" w:rsidP="00793532">
            <w:pPr>
              <w:pStyle w:val="TableText"/>
              <w:widowControl w:val="0"/>
              <w:rPr>
                <w:b/>
                <w:color w:val="0000FF"/>
                <w:sz w:val="13"/>
                <w:szCs w:val="13"/>
                <w:u w:val="single"/>
              </w:rPr>
            </w:pPr>
            <w:hyperlink w:anchor="_58_Learning_Solutions" w:history="1">
              <w:r w:rsidR="00813575" w:rsidRPr="004465DB">
                <w:rPr>
                  <w:rStyle w:val="Hyperlink"/>
                  <w:b/>
                  <w:sz w:val="13"/>
                  <w:szCs w:val="13"/>
                  <w:lang w:val="de-DE"/>
                </w:rPr>
                <w:t>68</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ind w:left="0"/>
              <w:rPr>
                <w:rFonts w:ascii="Tahoma" w:hAnsi="Tahoma" w:cs="Tahoma"/>
                <w:b w:val="0"/>
                <w:sz w:val="14"/>
                <w:szCs w:val="16"/>
                <w:lang w:val="de-DE"/>
              </w:rPr>
            </w:pPr>
            <w:bookmarkStart w:id="259" w:name="_Toc336337997"/>
            <w:bookmarkStart w:id="260" w:name="_Toc370983111"/>
            <w:r w:rsidRPr="00C83DF5">
              <w:rPr>
                <w:rFonts w:ascii="Tahoma" w:hAnsi="Tahoma" w:cs="Tahoma"/>
                <w:b w:val="0"/>
                <w:sz w:val="14"/>
                <w:szCs w:val="16"/>
                <w:lang w:val="de-DE"/>
              </w:rPr>
              <w:t>Lync Online Plan 3 (Nutzer-AL)</w:t>
            </w:r>
            <w:bookmarkEnd w:id="259"/>
            <w:bookmarkEnd w:id="260"/>
          </w:p>
        </w:tc>
        <w:tc>
          <w:tcPr>
            <w:tcW w:w="414" w:type="dxa"/>
            <w:tcBorders>
              <w:bottom w:val="single" w:sz="4" w:space="0" w:color="auto"/>
            </w:tcBorders>
            <w:shd w:val="clear" w:color="auto" w:fill="FABF8F"/>
            <w:vAlign w:val="center"/>
          </w:tcPr>
          <w:p w:rsidR="00913A0A" w:rsidRPr="00C83DF5" w:rsidRDefault="005519A5" w:rsidP="00793532">
            <w:pPr>
              <w:pStyle w:val="TableText"/>
              <w:widowControl w:val="0"/>
              <w:rPr>
                <w:b/>
                <w:color w:val="0000FF"/>
                <w:sz w:val="13"/>
                <w:szCs w:val="13"/>
                <w:u w:val="single"/>
              </w:rPr>
            </w:pPr>
            <w:hyperlink w:anchor="_58_Learning_Solutions" w:history="1">
              <w:r w:rsidR="00813575" w:rsidRPr="004465DB">
                <w:rPr>
                  <w:rStyle w:val="Hyperlink"/>
                  <w:b/>
                  <w:sz w:val="13"/>
                  <w:szCs w:val="13"/>
                  <w:lang w:val="de-DE"/>
                </w:rPr>
                <w:t>68</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ind w:left="0"/>
              <w:rPr>
                <w:rFonts w:ascii="Tahoma" w:hAnsi="Tahoma" w:cs="Tahoma"/>
                <w:b w:val="0"/>
                <w:sz w:val="14"/>
                <w:szCs w:val="16"/>
                <w:lang w:val="de-DE"/>
              </w:rPr>
            </w:pPr>
            <w:bookmarkStart w:id="261" w:name="_Toc336337998"/>
            <w:bookmarkStart w:id="262" w:name="_Toc370983112"/>
            <w:r w:rsidRPr="00C83DF5">
              <w:rPr>
                <w:rFonts w:ascii="Tahoma" w:hAnsi="Tahoma" w:cs="Tahoma"/>
                <w:b w:val="0"/>
                <w:sz w:val="14"/>
                <w:szCs w:val="16"/>
                <w:lang w:val="de-DE"/>
              </w:rPr>
              <w:t>Lync Online Plan 3A (Nutzer-AL)</w:t>
            </w:r>
            <w:bookmarkEnd w:id="261"/>
            <w:bookmarkEnd w:id="262"/>
          </w:p>
        </w:tc>
        <w:tc>
          <w:tcPr>
            <w:tcW w:w="414" w:type="dxa"/>
            <w:tcBorders>
              <w:bottom w:val="single" w:sz="4" w:space="0" w:color="auto"/>
            </w:tcBorders>
            <w:shd w:val="clear" w:color="auto" w:fill="auto"/>
            <w:vAlign w:val="center"/>
          </w:tcPr>
          <w:p w:rsidR="00913A0A" w:rsidRPr="00C83DF5" w:rsidRDefault="005519A5" w:rsidP="00793532">
            <w:pPr>
              <w:pStyle w:val="TableText"/>
              <w:widowControl w:val="0"/>
              <w:rPr>
                <w:b/>
                <w:color w:val="0000FF"/>
                <w:sz w:val="13"/>
                <w:szCs w:val="13"/>
                <w:u w:val="single"/>
              </w:rPr>
            </w:pPr>
            <w:hyperlink w:anchor="_58_Learning_Solutions" w:history="1">
              <w:r w:rsidR="00813575" w:rsidRPr="004465DB">
                <w:rPr>
                  <w:rStyle w:val="Hyperlink"/>
                  <w:b/>
                  <w:sz w:val="13"/>
                  <w:szCs w:val="13"/>
                  <w:lang w:val="de-DE"/>
                </w:rPr>
                <w:t>68</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E00FE0">
            <w:pPr>
              <w:pStyle w:val="TableText"/>
              <w:widowControl w:val="0"/>
              <w:spacing w:after="10"/>
              <w:rPr>
                <w:rFonts w:ascii="Tahoma" w:hAnsi="Tahoma" w:cs="Tahoma"/>
                <w:sz w:val="13"/>
              </w:rPr>
            </w:pPr>
            <w:r w:rsidRPr="00C83DF5">
              <w:rPr>
                <w:rFonts w:ascii="Tahoma" w:hAnsi="Tahoma" w:cs="Tahoma"/>
                <w:sz w:val="13"/>
              </w:rPr>
              <w:t>A, ST (nur EES)</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ind w:left="0"/>
              <w:rPr>
                <w:rFonts w:ascii="Tahoma" w:hAnsi="Tahoma" w:cs="Tahoma"/>
                <w:b w:val="0"/>
                <w:sz w:val="14"/>
                <w:szCs w:val="16"/>
              </w:rPr>
            </w:pPr>
            <w:bookmarkStart w:id="263" w:name="_Toc336337999"/>
            <w:bookmarkStart w:id="264" w:name="_Toc370983113"/>
            <w:r w:rsidRPr="00C83DF5">
              <w:rPr>
                <w:rFonts w:ascii="Tahoma" w:hAnsi="Tahoma" w:cs="Tahoma"/>
                <w:b w:val="0"/>
                <w:sz w:val="14"/>
                <w:szCs w:val="16"/>
              </w:rPr>
              <w:t xml:space="preserve">Lync Server </w:t>
            </w:r>
            <w:bookmarkEnd w:id="263"/>
            <w:r w:rsidRPr="00C83DF5">
              <w:rPr>
                <w:rFonts w:ascii="Tahoma" w:hAnsi="Tahoma" w:cs="Tahoma"/>
                <w:b w:val="0"/>
                <w:sz w:val="14"/>
                <w:szCs w:val="16"/>
              </w:rPr>
              <w:t>2013</w:t>
            </w:r>
            <w:bookmarkEnd w:id="264"/>
          </w:p>
        </w:tc>
        <w:tc>
          <w:tcPr>
            <w:tcW w:w="414" w:type="dxa"/>
            <w:tcBorders>
              <w:bottom w:val="single" w:sz="4" w:space="0" w:color="auto"/>
            </w:tcBorders>
            <w:shd w:val="clear" w:color="auto" w:fill="FABF8F"/>
            <w:vAlign w:val="center"/>
          </w:tcPr>
          <w:p w:rsidR="00913A0A" w:rsidRPr="00C83DF5" w:rsidRDefault="005519A5" w:rsidP="00793532">
            <w:pPr>
              <w:pStyle w:val="TableText"/>
              <w:widowControl w:val="0"/>
              <w:rPr>
                <w:b/>
                <w:color w:val="0000FF"/>
                <w:sz w:val="13"/>
                <w:szCs w:val="13"/>
                <w:u w:val="single"/>
              </w:rPr>
            </w:pPr>
            <w:hyperlink w:anchor="_62_Lync_Server" w:history="1">
              <w:r w:rsidR="00CF5A3E" w:rsidRPr="00C83DF5">
                <w:rPr>
                  <w:rStyle w:val="Hyperlink"/>
                  <w:b/>
                  <w:sz w:val="13"/>
                  <w:szCs w:val="13"/>
                </w:rPr>
                <w:t>69</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DE1233">
        <w:trPr>
          <w:trHeight w:val="368"/>
        </w:trPr>
        <w:tc>
          <w:tcPr>
            <w:tcW w:w="2546" w:type="dxa"/>
            <w:gridSpan w:val="2"/>
            <w:tcBorders>
              <w:bottom w:val="single" w:sz="4" w:space="0" w:color="auto"/>
            </w:tcBorders>
            <w:shd w:val="clear" w:color="auto" w:fill="auto"/>
            <w:vAlign w:val="center"/>
          </w:tcPr>
          <w:p w:rsidR="00913A0A" w:rsidRPr="00C83DF5" w:rsidDel="006A2F66" w:rsidRDefault="00913A0A" w:rsidP="001A63C6">
            <w:pPr>
              <w:pStyle w:val="Heading2"/>
              <w:ind w:left="0"/>
              <w:rPr>
                <w:rFonts w:ascii="Tahoma" w:hAnsi="Tahoma" w:cs="Tahoma"/>
                <w:b w:val="0"/>
                <w:sz w:val="14"/>
                <w:szCs w:val="16"/>
              </w:rPr>
            </w:pPr>
            <w:bookmarkStart w:id="265" w:name="_Toc336338000"/>
            <w:bookmarkStart w:id="266" w:name="_Toc370983114"/>
            <w:r w:rsidRPr="00C83DF5">
              <w:rPr>
                <w:rFonts w:ascii="Tahoma" w:hAnsi="Tahoma" w:cs="Tahoma"/>
                <w:b w:val="0"/>
                <w:sz w:val="14"/>
                <w:szCs w:val="16"/>
              </w:rPr>
              <w:t>Enterprise-CAL für Lync Server</w:t>
            </w:r>
            <w:bookmarkEnd w:id="265"/>
            <w:r w:rsidRPr="00C83DF5">
              <w:rPr>
                <w:rFonts w:ascii="Tahoma" w:hAnsi="Tahoma" w:cs="Tahoma"/>
                <w:b w:val="0"/>
                <w:sz w:val="14"/>
                <w:szCs w:val="16"/>
              </w:rPr>
              <w:t xml:space="preserve"> 2013</w:t>
            </w:r>
            <w:bookmarkEnd w:id="266"/>
          </w:p>
        </w:tc>
        <w:tc>
          <w:tcPr>
            <w:tcW w:w="414" w:type="dxa"/>
            <w:tcBorders>
              <w:bottom w:val="single" w:sz="4" w:space="0" w:color="auto"/>
            </w:tcBorders>
            <w:shd w:val="clear" w:color="auto" w:fill="auto"/>
            <w:vAlign w:val="center"/>
          </w:tcPr>
          <w:p w:rsidR="00913A0A" w:rsidRPr="00C83DF5" w:rsidDel="006A2F66"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auto"/>
          </w:tcPr>
          <w:p w:rsidR="00913A0A" w:rsidRPr="00C83DF5" w:rsidDel="006A2F66"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Del="006A2F66" w:rsidRDefault="00913A0A" w:rsidP="00DE1233">
            <w:pPr>
              <w:pStyle w:val="TableText"/>
              <w:widowControl w:val="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Del="006A2F66" w:rsidRDefault="00913A0A" w:rsidP="001A63C6">
            <w:pPr>
              <w:pStyle w:val="Heading2"/>
              <w:ind w:left="0"/>
              <w:rPr>
                <w:rFonts w:ascii="Tahoma" w:hAnsi="Tahoma" w:cs="Tahoma"/>
                <w:b w:val="0"/>
                <w:sz w:val="14"/>
                <w:szCs w:val="16"/>
              </w:rPr>
            </w:pPr>
            <w:bookmarkStart w:id="267" w:name="_Toc336338002"/>
            <w:bookmarkStart w:id="268" w:name="_Toc370983115"/>
            <w:r w:rsidRPr="00C83DF5">
              <w:rPr>
                <w:rFonts w:ascii="Tahoma" w:hAnsi="Tahoma" w:cs="Tahoma"/>
                <w:b w:val="0"/>
                <w:sz w:val="14"/>
                <w:szCs w:val="16"/>
              </w:rPr>
              <w:t>CAL für Lync Server Plus</w:t>
            </w:r>
            <w:bookmarkEnd w:id="267"/>
            <w:r w:rsidRPr="00C83DF5">
              <w:rPr>
                <w:rFonts w:ascii="Tahoma" w:hAnsi="Tahoma" w:cs="Tahoma"/>
                <w:b w:val="0"/>
                <w:sz w:val="14"/>
                <w:szCs w:val="16"/>
              </w:rPr>
              <w:t xml:space="preserve"> 2013</w:t>
            </w:r>
            <w:bookmarkEnd w:id="268"/>
          </w:p>
        </w:tc>
        <w:tc>
          <w:tcPr>
            <w:tcW w:w="414" w:type="dxa"/>
            <w:tcBorders>
              <w:bottom w:val="single" w:sz="4" w:space="0" w:color="auto"/>
            </w:tcBorders>
            <w:shd w:val="clear" w:color="auto" w:fill="FABF8F"/>
            <w:vAlign w:val="center"/>
          </w:tcPr>
          <w:p w:rsidR="00913A0A" w:rsidRPr="00C83DF5" w:rsidDel="006A2F66" w:rsidRDefault="00913A0A" w:rsidP="001A63C6">
            <w:pPr>
              <w:pStyle w:val="TableText"/>
              <w:widowControl w:val="0"/>
              <w:rPr>
                <w:b/>
                <w:color w:val="0000FF"/>
                <w:sz w:val="13"/>
                <w:szCs w:val="13"/>
                <w:u w:val="single"/>
              </w:rPr>
            </w:pPr>
            <w:bookmarkStart w:id="269" w:name="_Hlt335908886"/>
          </w:p>
        </w:tc>
        <w:bookmarkEnd w:id="269"/>
        <w:tc>
          <w:tcPr>
            <w:tcW w:w="449" w:type="dxa"/>
            <w:tcBorders>
              <w:bottom w:val="single" w:sz="4" w:space="0" w:color="auto"/>
            </w:tcBorders>
            <w:shd w:val="clear" w:color="auto" w:fill="FABF8F"/>
          </w:tcPr>
          <w:p w:rsidR="00913A0A" w:rsidRPr="00C83DF5" w:rsidDel="006A2F66"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Del="006A2F66" w:rsidRDefault="00913A0A" w:rsidP="001A63C6">
            <w:pPr>
              <w:pStyle w:val="TableText"/>
              <w:widowControl w:val="0"/>
              <w:spacing w:before="12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Del="006A2F66" w:rsidRDefault="00913A0A" w:rsidP="001A63C6">
            <w:pPr>
              <w:pStyle w:val="Heading2"/>
              <w:ind w:left="0"/>
              <w:rPr>
                <w:rFonts w:ascii="Tahoma" w:hAnsi="Tahoma" w:cs="Tahoma"/>
                <w:b w:val="0"/>
                <w:sz w:val="14"/>
                <w:szCs w:val="16"/>
              </w:rPr>
            </w:pPr>
            <w:bookmarkStart w:id="270" w:name="_Toc336338005"/>
            <w:bookmarkStart w:id="271" w:name="_Toc370983116"/>
            <w:r w:rsidRPr="00C83DF5">
              <w:rPr>
                <w:rFonts w:ascii="Tahoma" w:hAnsi="Tahoma" w:cs="Tahoma"/>
                <w:b w:val="0"/>
                <w:sz w:val="14"/>
                <w:szCs w:val="16"/>
              </w:rPr>
              <w:t>Standard-CAL für Lync Server</w:t>
            </w:r>
            <w:bookmarkEnd w:id="270"/>
            <w:r w:rsidRPr="00C83DF5">
              <w:rPr>
                <w:rFonts w:ascii="Tahoma" w:hAnsi="Tahoma" w:cs="Tahoma"/>
                <w:b w:val="0"/>
                <w:sz w:val="14"/>
                <w:szCs w:val="16"/>
              </w:rPr>
              <w:t xml:space="preserve"> 2013</w:t>
            </w:r>
            <w:bookmarkEnd w:id="271"/>
          </w:p>
        </w:tc>
        <w:tc>
          <w:tcPr>
            <w:tcW w:w="414" w:type="dxa"/>
            <w:tcBorders>
              <w:bottom w:val="single" w:sz="4" w:space="0" w:color="auto"/>
            </w:tcBorders>
            <w:shd w:val="clear" w:color="auto" w:fill="auto"/>
            <w:vAlign w:val="center"/>
          </w:tcPr>
          <w:p w:rsidR="00913A0A" w:rsidRPr="00C83DF5" w:rsidDel="006A2F66"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auto"/>
          </w:tcPr>
          <w:p w:rsidR="00913A0A" w:rsidRPr="00C83DF5" w:rsidDel="006A2F66"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Del="006A2F66"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Del="006A2F66" w:rsidRDefault="00913A0A" w:rsidP="001A63C6">
            <w:pPr>
              <w:pStyle w:val="TableText"/>
              <w:widowControl w:val="0"/>
              <w:spacing w:before="12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70"/>
        </w:trPr>
        <w:tc>
          <w:tcPr>
            <w:tcW w:w="2546" w:type="dxa"/>
            <w:gridSpan w:val="2"/>
            <w:tcBorders>
              <w:bottom w:val="single" w:sz="4" w:space="0" w:color="auto"/>
            </w:tcBorders>
            <w:shd w:val="clear" w:color="auto" w:fill="FABF8F"/>
            <w:vAlign w:val="center"/>
          </w:tcPr>
          <w:p w:rsidR="00913A0A" w:rsidRPr="00C83DF5" w:rsidRDefault="00913A0A" w:rsidP="00DE1233">
            <w:pPr>
              <w:pStyle w:val="Heading2"/>
              <w:spacing w:after="10"/>
              <w:ind w:left="0"/>
              <w:rPr>
                <w:rFonts w:ascii="Tahoma" w:hAnsi="Tahoma" w:cs="Tahoma"/>
                <w:b w:val="0"/>
                <w:sz w:val="14"/>
                <w:szCs w:val="14"/>
                <w:lang w:val="de-DE"/>
              </w:rPr>
            </w:pPr>
            <w:bookmarkStart w:id="272" w:name="_Toc336338007"/>
            <w:bookmarkStart w:id="273" w:name="_Toc370983117"/>
            <w:r w:rsidRPr="00C83DF5">
              <w:rPr>
                <w:rFonts w:ascii="Tahoma" w:hAnsi="Tahoma" w:cs="Tahoma"/>
                <w:b w:val="0"/>
                <w:sz w:val="14"/>
                <w:szCs w:val="14"/>
                <w:lang w:val="de-DE"/>
              </w:rPr>
              <w:t>Zusätzliche CAL für Microsoft Dynamics AX 2012 R2 Enterprise (Nutzer &amp; Gerät)</w:t>
            </w:r>
            <w:bookmarkEnd w:id="272"/>
            <w:bookmarkEnd w:id="273"/>
          </w:p>
        </w:tc>
        <w:tc>
          <w:tcPr>
            <w:tcW w:w="414" w:type="dxa"/>
            <w:tcBorders>
              <w:bottom w:val="single" w:sz="4" w:space="0" w:color="auto"/>
            </w:tcBorders>
            <w:shd w:val="clear" w:color="auto" w:fill="FABF8F"/>
            <w:vAlign w:val="center"/>
          </w:tcPr>
          <w:p w:rsidR="00913A0A" w:rsidRPr="00C83DF5" w:rsidRDefault="005519A5" w:rsidP="00793532">
            <w:pPr>
              <w:pStyle w:val="TableText"/>
              <w:widowControl w:val="0"/>
              <w:rPr>
                <w:rFonts w:cs="Tahoma"/>
                <w:b/>
                <w:color w:val="0000FF"/>
                <w:sz w:val="13"/>
                <w:szCs w:val="13"/>
                <w:u w:val="single"/>
              </w:rPr>
            </w:pPr>
            <w:hyperlink w:anchor="_72_Microsoft_Dynamics" w:history="1">
              <w:r w:rsidR="00CF5A3E" w:rsidRPr="00C83DF5">
                <w:rPr>
                  <w:rStyle w:val="Hyperlink"/>
                  <w:rFonts w:cs="Tahoma"/>
                  <w:b/>
                  <w:sz w:val="13"/>
                  <w:szCs w:val="13"/>
                </w:rPr>
                <w:t>70</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jc w:val="left"/>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1233">
            <w:pPr>
              <w:pStyle w:val="Heading2"/>
              <w:spacing w:after="10"/>
              <w:ind w:left="0"/>
              <w:rPr>
                <w:rFonts w:ascii="Tahoma" w:hAnsi="Tahoma" w:cs="Tahoma"/>
                <w:b w:val="0"/>
                <w:sz w:val="14"/>
                <w:szCs w:val="14"/>
                <w:lang w:val="de-DE"/>
              </w:rPr>
            </w:pPr>
            <w:bookmarkStart w:id="274" w:name="_Toc336338008"/>
            <w:bookmarkStart w:id="275" w:name="_Toc370983118"/>
            <w:r w:rsidRPr="00C83DF5">
              <w:rPr>
                <w:rFonts w:ascii="Tahoma" w:hAnsi="Tahoma" w:cs="Tahoma"/>
                <w:b w:val="0"/>
                <w:sz w:val="14"/>
                <w:szCs w:val="14"/>
                <w:lang w:val="de-DE"/>
              </w:rPr>
              <w:t>CAL für Microsoft Dynamics AX 2012 R2 Enterprise (Nutzer &amp; Gerät)</w:t>
            </w:r>
            <w:bookmarkEnd w:id="274"/>
            <w:bookmarkEnd w:id="275"/>
          </w:p>
        </w:tc>
        <w:tc>
          <w:tcPr>
            <w:tcW w:w="414" w:type="dxa"/>
            <w:tcBorders>
              <w:bottom w:val="single" w:sz="4" w:space="0" w:color="auto"/>
            </w:tcBorders>
            <w:shd w:val="clear" w:color="auto" w:fill="auto"/>
            <w:vAlign w:val="center"/>
          </w:tcPr>
          <w:p w:rsidR="00913A0A" w:rsidRPr="00C83DF5" w:rsidRDefault="005519A5" w:rsidP="00793532">
            <w:pPr>
              <w:pStyle w:val="TableText"/>
              <w:widowControl w:val="0"/>
              <w:rPr>
                <w:rFonts w:cs="Tahoma"/>
                <w:b/>
                <w:color w:val="0000FF"/>
                <w:sz w:val="13"/>
                <w:szCs w:val="13"/>
                <w:u w:val="single"/>
              </w:rPr>
            </w:pPr>
            <w:hyperlink w:anchor="_72_Microsoft_Dynamics" w:history="1">
              <w:r w:rsidR="00813575" w:rsidRPr="00C83DF5">
                <w:rPr>
                  <w:rStyle w:val="Hyperlink"/>
                  <w:rFonts w:cs="Tahoma"/>
                  <w:b/>
                  <w:sz w:val="13"/>
                  <w:szCs w:val="13"/>
                </w:rPr>
                <w:t>70</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jc w:val="left"/>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1233">
            <w:pPr>
              <w:pStyle w:val="Heading2"/>
              <w:spacing w:after="10"/>
              <w:ind w:left="0"/>
              <w:rPr>
                <w:rFonts w:ascii="Tahoma" w:hAnsi="Tahoma" w:cs="Tahoma"/>
                <w:b w:val="0"/>
                <w:sz w:val="14"/>
                <w:szCs w:val="14"/>
                <w:lang w:val="de-DE"/>
              </w:rPr>
            </w:pPr>
            <w:bookmarkStart w:id="276" w:name="_Toc336338009"/>
            <w:bookmarkStart w:id="277" w:name="_Toc370983119"/>
            <w:r w:rsidRPr="00C83DF5">
              <w:rPr>
                <w:rFonts w:ascii="Tahoma" w:hAnsi="Tahoma" w:cs="Tahoma"/>
                <w:b w:val="0"/>
                <w:sz w:val="14"/>
                <w:szCs w:val="14"/>
                <w:lang w:val="de-DE"/>
              </w:rPr>
              <w:t>Zusätzliche Funktions-CAL für Microsoft Dynamics AX 2012 R2 (Nutzer &amp; Gerät)</w:t>
            </w:r>
            <w:bookmarkEnd w:id="276"/>
            <w:bookmarkEnd w:id="277"/>
          </w:p>
        </w:tc>
        <w:tc>
          <w:tcPr>
            <w:tcW w:w="414" w:type="dxa"/>
            <w:tcBorders>
              <w:bottom w:val="single" w:sz="4" w:space="0" w:color="auto"/>
            </w:tcBorders>
            <w:shd w:val="clear" w:color="auto" w:fill="FABF8F"/>
            <w:vAlign w:val="center"/>
          </w:tcPr>
          <w:p w:rsidR="00913A0A" w:rsidRPr="00C83DF5" w:rsidRDefault="005519A5" w:rsidP="00793532">
            <w:pPr>
              <w:pStyle w:val="TableText"/>
              <w:widowControl w:val="0"/>
              <w:rPr>
                <w:rFonts w:cs="Tahoma"/>
                <w:b/>
                <w:color w:val="0000FF"/>
                <w:sz w:val="13"/>
                <w:szCs w:val="13"/>
                <w:u w:val="single"/>
              </w:rPr>
            </w:pPr>
            <w:hyperlink w:anchor="_72_Microsoft_Dynamics" w:history="1">
              <w:r w:rsidR="00813575" w:rsidRPr="00C83DF5">
                <w:rPr>
                  <w:rStyle w:val="Hyperlink"/>
                  <w:rFonts w:cs="Tahoma"/>
                  <w:b/>
                  <w:sz w:val="13"/>
                  <w:szCs w:val="13"/>
                </w:rPr>
                <w:t>70</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jc w:val="left"/>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1233">
            <w:pPr>
              <w:pStyle w:val="Heading2"/>
              <w:spacing w:after="10"/>
              <w:ind w:left="0"/>
              <w:rPr>
                <w:rFonts w:ascii="Tahoma" w:hAnsi="Tahoma" w:cs="Tahoma"/>
                <w:b w:val="0"/>
                <w:sz w:val="14"/>
                <w:szCs w:val="14"/>
                <w:lang w:val="de-DE"/>
              </w:rPr>
            </w:pPr>
            <w:bookmarkStart w:id="278" w:name="_Toc336338010"/>
            <w:bookmarkStart w:id="279" w:name="_Toc370983120"/>
            <w:r w:rsidRPr="00C83DF5">
              <w:rPr>
                <w:rFonts w:ascii="Tahoma" w:hAnsi="Tahoma" w:cs="Tahoma"/>
                <w:b w:val="0"/>
                <w:sz w:val="14"/>
                <w:szCs w:val="14"/>
                <w:lang w:val="de-DE"/>
              </w:rPr>
              <w:t>Funktions-CAL für Microsoft Dynamics AX 2012 R2 (Nutzer &amp; Gerät)</w:t>
            </w:r>
            <w:bookmarkEnd w:id="278"/>
            <w:bookmarkEnd w:id="279"/>
          </w:p>
        </w:tc>
        <w:tc>
          <w:tcPr>
            <w:tcW w:w="414" w:type="dxa"/>
            <w:tcBorders>
              <w:bottom w:val="single" w:sz="4" w:space="0" w:color="auto"/>
            </w:tcBorders>
            <w:shd w:val="clear" w:color="auto" w:fill="auto"/>
            <w:vAlign w:val="center"/>
          </w:tcPr>
          <w:p w:rsidR="00913A0A" w:rsidRPr="00C83DF5" w:rsidRDefault="005519A5" w:rsidP="00793532">
            <w:pPr>
              <w:pStyle w:val="TableText"/>
              <w:widowControl w:val="0"/>
              <w:rPr>
                <w:rFonts w:cs="Tahoma"/>
                <w:b/>
                <w:color w:val="0000FF"/>
                <w:sz w:val="13"/>
                <w:szCs w:val="13"/>
                <w:u w:val="single"/>
              </w:rPr>
            </w:pPr>
            <w:hyperlink w:anchor="_72_Microsoft_Dynamics" w:history="1">
              <w:r w:rsidR="00813575" w:rsidRPr="00C83DF5">
                <w:rPr>
                  <w:rStyle w:val="Hyperlink"/>
                  <w:rFonts w:cs="Tahoma"/>
                  <w:b/>
                  <w:sz w:val="13"/>
                  <w:szCs w:val="13"/>
                </w:rPr>
                <w:t>70</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jc w:val="left"/>
              <w:rPr>
                <w:rFonts w:ascii="Tahoma" w:hAnsi="Tahoma" w:cs="Tahoma"/>
                <w:sz w:val="13"/>
              </w:rPr>
            </w:pPr>
          </w:p>
        </w:tc>
      </w:tr>
      <w:tr w:rsidR="008A0F85" w:rsidRPr="00C83DF5" w:rsidTr="004909D7">
        <w:trPr>
          <w:trHeight w:val="233"/>
        </w:trPr>
        <w:tc>
          <w:tcPr>
            <w:tcW w:w="2546" w:type="dxa"/>
            <w:gridSpan w:val="2"/>
            <w:tcBorders>
              <w:bottom w:val="single" w:sz="4" w:space="0" w:color="auto"/>
            </w:tcBorders>
            <w:shd w:val="clear" w:color="auto" w:fill="FABF8F"/>
            <w:vAlign w:val="center"/>
          </w:tcPr>
          <w:p w:rsidR="00913A0A" w:rsidRPr="00C83DF5" w:rsidRDefault="00913A0A" w:rsidP="00DE1233">
            <w:pPr>
              <w:pStyle w:val="Heading2"/>
              <w:spacing w:after="10"/>
              <w:ind w:left="0"/>
              <w:rPr>
                <w:rFonts w:ascii="Tahoma" w:hAnsi="Tahoma" w:cs="Tahoma"/>
                <w:b w:val="0"/>
                <w:sz w:val="14"/>
                <w:szCs w:val="14"/>
                <w:lang w:val="de-DE"/>
              </w:rPr>
            </w:pPr>
            <w:bookmarkStart w:id="280" w:name="_Toc336338011"/>
            <w:bookmarkStart w:id="281" w:name="_Toc370983121"/>
            <w:r w:rsidRPr="00C83DF5">
              <w:rPr>
                <w:rFonts w:ascii="Tahoma" w:hAnsi="Tahoma" w:cs="Tahoma"/>
                <w:b w:val="0"/>
                <w:sz w:val="14"/>
                <w:szCs w:val="14"/>
                <w:lang w:val="de-DE"/>
              </w:rPr>
              <w:t>CAL für Microsoft Dynamics AX 2012 R2 Self-Service (Nutzer &amp; Gerät)</w:t>
            </w:r>
            <w:bookmarkEnd w:id="280"/>
            <w:bookmarkEnd w:id="281"/>
          </w:p>
        </w:tc>
        <w:tc>
          <w:tcPr>
            <w:tcW w:w="414" w:type="dxa"/>
            <w:tcBorders>
              <w:bottom w:val="single" w:sz="4" w:space="0" w:color="auto"/>
            </w:tcBorders>
            <w:shd w:val="clear" w:color="auto" w:fill="FABF8F"/>
            <w:vAlign w:val="center"/>
          </w:tcPr>
          <w:p w:rsidR="00913A0A" w:rsidRPr="00C83DF5" w:rsidRDefault="005519A5" w:rsidP="00793532">
            <w:pPr>
              <w:pStyle w:val="TableText"/>
              <w:widowControl w:val="0"/>
              <w:rPr>
                <w:rFonts w:cs="Tahoma"/>
                <w:b/>
                <w:color w:val="0000FF"/>
                <w:sz w:val="13"/>
                <w:szCs w:val="13"/>
                <w:u w:val="single"/>
              </w:rPr>
            </w:pPr>
            <w:hyperlink w:anchor="_72_Microsoft_Dynamics" w:history="1">
              <w:r w:rsidR="00813575" w:rsidRPr="00C83DF5">
                <w:rPr>
                  <w:rStyle w:val="Hyperlink"/>
                  <w:rFonts w:cs="Tahoma"/>
                  <w:b/>
                  <w:sz w:val="13"/>
                  <w:szCs w:val="13"/>
                </w:rPr>
                <w:t>70</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jc w:val="left"/>
              <w:rPr>
                <w:rFonts w:ascii="Tahoma" w:hAnsi="Tahoma" w:cs="Tahoma"/>
                <w:sz w:val="13"/>
              </w:rPr>
            </w:pPr>
          </w:p>
        </w:tc>
      </w:tr>
      <w:tr w:rsidR="00913A0A" w:rsidRPr="00C83DF5" w:rsidTr="004909D7">
        <w:trPr>
          <w:trHeight w:val="242"/>
        </w:trPr>
        <w:tc>
          <w:tcPr>
            <w:tcW w:w="2546" w:type="dxa"/>
            <w:gridSpan w:val="2"/>
            <w:tcBorders>
              <w:bottom w:val="single" w:sz="4" w:space="0" w:color="auto"/>
            </w:tcBorders>
            <w:shd w:val="clear" w:color="auto" w:fill="auto"/>
            <w:vAlign w:val="center"/>
          </w:tcPr>
          <w:p w:rsidR="00913A0A" w:rsidRPr="00D92F39" w:rsidRDefault="00913A0A" w:rsidP="001A63C6">
            <w:pPr>
              <w:pStyle w:val="Heading2"/>
              <w:ind w:left="0"/>
              <w:rPr>
                <w:rFonts w:ascii="Tahoma" w:hAnsi="Tahoma" w:cs="Tahoma"/>
                <w:b w:val="0"/>
                <w:sz w:val="14"/>
                <w:szCs w:val="14"/>
                <w:lang w:val="pt-BR"/>
              </w:rPr>
            </w:pPr>
            <w:bookmarkStart w:id="282" w:name="_Toc336338012"/>
            <w:bookmarkStart w:id="283" w:name="_Toc370983122"/>
            <w:r w:rsidRPr="00D92F39">
              <w:rPr>
                <w:rFonts w:ascii="Tahoma" w:hAnsi="Tahoma" w:cs="Tahoma"/>
                <w:b w:val="0"/>
                <w:sz w:val="14"/>
                <w:szCs w:val="14"/>
                <w:lang w:val="pt-BR"/>
              </w:rPr>
              <w:t>Microsoft Dynamics AX 2012 R2 Server</w:t>
            </w:r>
            <w:bookmarkEnd w:id="282"/>
            <w:bookmarkEnd w:id="283"/>
          </w:p>
        </w:tc>
        <w:tc>
          <w:tcPr>
            <w:tcW w:w="414" w:type="dxa"/>
            <w:tcBorders>
              <w:bottom w:val="single" w:sz="4" w:space="0" w:color="auto"/>
            </w:tcBorders>
            <w:shd w:val="clear" w:color="auto" w:fill="auto"/>
            <w:vAlign w:val="center"/>
          </w:tcPr>
          <w:p w:rsidR="00913A0A" w:rsidRPr="00C83DF5" w:rsidRDefault="005519A5" w:rsidP="00793532">
            <w:pPr>
              <w:pStyle w:val="TableText"/>
              <w:widowControl w:val="0"/>
              <w:rPr>
                <w:rFonts w:cs="Tahoma"/>
                <w:b/>
                <w:color w:val="0000FF"/>
                <w:sz w:val="13"/>
                <w:szCs w:val="13"/>
                <w:u w:val="single"/>
              </w:rPr>
            </w:pPr>
            <w:hyperlink w:anchor="_72_Microsoft_Dynamics" w:history="1">
              <w:r w:rsidR="00813575" w:rsidRPr="00C83DF5">
                <w:rPr>
                  <w:rStyle w:val="Hyperlink"/>
                  <w:rFonts w:cs="Tahoma"/>
                  <w:b/>
                  <w:sz w:val="13"/>
                  <w:szCs w:val="13"/>
                </w:rPr>
                <w:t>70</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jc w:val="left"/>
              <w:rPr>
                <w:rFonts w:ascii="Tahoma" w:hAnsi="Tahoma" w:cs="Tahoma"/>
                <w:sz w:val="13"/>
              </w:rPr>
            </w:pPr>
          </w:p>
        </w:tc>
      </w:tr>
      <w:tr w:rsidR="008A0F85" w:rsidRPr="00C83DF5" w:rsidTr="004909D7">
        <w:trPr>
          <w:trHeight w:val="278"/>
        </w:trPr>
        <w:tc>
          <w:tcPr>
            <w:tcW w:w="2546" w:type="dxa"/>
            <w:gridSpan w:val="2"/>
            <w:tcBorders>
              <w:bottom w:val="single" w:sz="4" w:space="0" w:color="auto"/>
            </w:tcBorders>
            <w:shd w:val="clear" w:color="auto" w:fill="FABF8F"/>
            <w:vAlign w:val="center"/>
          </w:tcPr>
          <w:p w:rsidR="00913A0A" w:rsidRPr="00C83DF5" w:rsidRDefault="00913A0A" w:rsidP="00DE1233">
            <w:pPr>
              <w:pStyle w:val="Heading2"/>
              <w:spacing w:after="10"/>
              <w:ind w:left="0"/>
              <w:rPr>
                <w:rFonts w:ascii="Tahoma" w:hAnsi="Tahoma" w:cs="Tahoma"/>
                <w:b w:val="0"/>
                <w:sz w:val="14"/>
                <w:szCs w:val="14"/>
                <w:lang w:val="de-DE"/>
              </w:rPr>
            </w:pPr>
            <w:bookmarkStart w:id="284" w:name="_Toc336338013"/>
            <w:bookmarkStart w:id="285" w:name="_Toc370983123"/>
            <w:r w:rsidRPr="00C83DF5">
              <w:rPr>
                <w:rFonts w:ascii="Tahoma" w:hAnsi="Tahoma" w:cs="Tahoma"/>
                <w:b w:val="0"/>
                <w:sz w:val="14"/>
                <w:szCs w:val="14"/>
                <w:lang w:val="de-DE"/>
              </w:rPr>
              <w:t>Zusätzliche Aufgaben-CAL für Microsoft Dynamics AX 2012 R2 (Nutzer &amp; Gerät)</w:t>
            </w:r>
            <w:bookmarkEnd w:id="284"/>
            <w:bookmarkEnd w:id="285"/>
          </w:p>
        </w:tc>
        <w:tc>
          <w:tcPr>
            <w:tcW w:w="414" w:type="dxa"/>
            <w:tcBorders>
              <w:bottom w:val="single" w:sz="4" w:space="0" w:color="auto"/>
            </w:tcBorders>
            <w:shd w:val="clear" w:color="auto" w:fill="FABF8F"/>
            <w:vAlign w:val="center"/>
          </w:tcPr>
          <w:p w:rsidR="00913A0A" w:rsidRPr="00C83DF5" w:rsidRDefault="005519A5" w:rsidP="00793532">
            <w:pPr>
              <w:pStyle w:val="TableText"/>
              <w:widowControl w:val="0"/>
              <w:rPr>
                <w:rFonts w:cs="Tahoma"/>
                <w:b/>
                <w:color w:val="0000FF"/>
                <w:sz w:val="13"/>
                <w:szCs w:val="13"/>
                <w:u w:val="single"/>
              </w:rPr>
            </w:pPr>
            <w:hyperlink w:anchor="_72_Microsoft_Dynamics" w:history="1">
              <w:r w:rsidR="00813575" w:rsidRPr="00C83DF5">
                <w:rPr>
                  <w:rStyle w:val="Hyperlink"/>
                  <w:rFonts w:cs="Tahoma"/>
                  <w:b/>
                  <w:sz w:val="13"/>
                  <w:szCs w:val="13"/>
                </w:rPr>
                <w:t>70</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jc w:val="left"/>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1233">
            <w:pPr>
              <w:pStyle w:val="Heading2"/>
              <w:spacing w:after="10"/>
              <w:ind w:left="0"/>
              <w:rPr>
                <w:rFonts w:ascii="Tahoma" w:hAnsi="Tahoma" w:cs="Tahoma"/>
                <w:b w:val="0"/>
                <w:sz w:val="14"/>
                <w:szCs w:val="14"/>
                <w:lang w:val="de-DE"/>
              </w:rPr>
            </w:pPr>
            <w:bookmarkStart w:id="286" w:name="_Toc336338014"/>
            <w:bookmarkStart w:id="287" w:name="_Toc370983124"/>
            <w:r w:rsidRPr="00C83DF5">
              <w:rPr>
                <w:rFonts w:ascii="Tahoma" w:hAnsi="Tahoma" w:cs="Tahoma"/>
                <w:b w:val="0"/>
                <w:sz w:val="14"/>
                <w:szCs w:val="14"/>
                <w:lang w:val="de-DE"/>
              </w:rPr>
              <w:t>Aufgaben-CAL für Microsoft Dynamics AX 2012 R2 (Nutzer &amp; Gerät)</w:t>
            </w:r>
            <w:bookmarkEnd w:id="286"/>
            <w:bookmarkEnd w:id="287"/>
          </w:p>
        </w:tc>
        <w:tc>
          <w:tcPr>
            <w:tcW w:w="414" w:type="dxa"/>
            <w:tcBorders>
              <w:bottom w:val="single" w:sz="4" w:space="0" w:color="auto"/>
            </w:tcBorders>
            <w:shd w:val="clear" w:color="auto" w:fill="auto"/>
            <w:vAlign w:val="center"/>
          </w:tcPr>
          <w:p w:rsidR="00913A0A" w:rsidRPr="00C83DF5" w:rsidRDefault="005519A5" w:rsidP="00793532">
            <w:pPr>
              <w:pStyle w:val="TableText"/>
              <w:widowControl w:val="0"/>
              <w:rPr>
                <w:rFonts w:cs="Tahoma"/>
                <w:b/>
                <w:color w:val="0000FF"/>
                <w:sz w:val="13"/>
                <w:szCs w:val="13"/>
                <w:u w:val="single"/>
              </w:rPr>
            </w:pPr>
            <w:hyperlink w:anchor="_72_Microsoft_Dynamics" w:history="1">
              <w:r w:rsidR="00813575" w:rsidRPr="00C83DF5">
                <w:rPr>
                  <w:rStyle w:val="Hyperlink"/>
                  <w:rFonts w:cs="Tahoma"/>
                  <w:b/>
                  <w:sz w:val="13"/>
                  <w:szCs w:val="13"/>
                </w:rPr>
                <w:t>70</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jc w:val="left"/>
              <w:rPr>
                <w:rFonts w:ascii="Tahoma" w:hAnsi="Tahoma" w:cs="Tahoma"/>
                <w:sz w:val="13"/>
              </w:rPr>
            </w:pPr>
          </w:p>
        </w:tc>
      </w:tr>
      <w:tr w:rsidR="00BA5266" w:rsidRPr="00C83DF5" w:rsidTr="004909D7">
        <w:trPr>
          <w:trHeight w:val="145"/>
        </w:trPr>
        <w:tc>
          <w:tcPr>
            <w:tcW w:w="2546" w:type="dxa"/>
            <w:gridSpan w:val="2"/>
            <w:tcBorders>
              <w:bottom w:val="single" w:sz="4" w:space="0" w:color="auto"/>
            </w:tcBorders>
            <w:shd w:val="clear" w:color="auto" w:fill="FABF8F"/>
            <w:vAlign w:val="center"/>
          </w:tcPr>
          <w:p w:rsidR="007E430D" w:rsidRPr="00C83DF5" w:rsidRDefault="007E430D" w:rsidP="00DE1233">
            <w:pPr>
              <w:pStyle w:val="Heading2"/>
              <w:spacing w:after="10"/>
              <w:ind w:left="0"/>
              <w:rPr>
                <w:rFonts w:ascii="Tahoma" w:hAnsi="Tahoma" w:cs="Tahoma"/>
                <w:b w:val="0"/>
                <w:sz w:val="14"/>
                <w:szCs w:val="14"/>
                <w:lang w:val="de-DE"/>
              </w:rPr>
            </w:pPr>
            <w:bookmarkStart w:id="288" w:name="_Toc336338015"/>
            <w:bookmarkStart w:id="289" w:name="_Toc370983125"/>
            <w:r w:rsidRPr="00C83DF5">
              <w:rPr>
                <w:rFonts w:ascii="Tahoma" w:hAnsi="Tahoma" w:cs="Tahoma"/>
                <w:b w:val="0"/>
                <w:sz w:val="14"/>
                <w:szCs w:val="14"/>
                <w:lang w:val="de-DE"/>
              </w:rPr>
              <w:t>CAL für Microsoft Dynamics CRM 2013 Basic (Nutzer &amp; Gerät)</w:t>
            </w:r>
            <w:bookmarkEnd w:id="288"/>
            <w:bookmarkEnd w:id="289"/>
          </w:p>
        </w:tc>
        <w:tc>
          <w:tcPr>
            <w:tcW w:w="414" w:type="dxa"/>
            <w:tcBorders>
              <w:bottom w:val="single" w:sz="4" w:space="0" w:color="auto"/>
            </w:tcBorders>
            <w:shd w:val="clear" w:color="auto" w:fill="FABF8F"/>
            <w:vAlign w:val="center"/>
          </w:tcPr>
          <w:p w:rsidR="007E430D" w:rsidRPr="00C83DF5" w:rsidRDefault="005519A5" w:rsidP="00793532">
            <w:pPr>
              <w:pStyle w:val="TableText"/>
              <w:widowControl w:val="0"/>
              <w:rPr>
                <w:b/>
                <w:color w:val="0000FF"/>
                <w:sz w:val="13"/>
                <w:szCs w:val="13"/>
                <w:u w:val="single"/>
              </w:rPr>
            </w:pPr>
            <w:hyperlink w:anchor="_71_Microsoft_Dynamics_1" w:history="1">
              <w:hyperlink w:anchor="_70_Microsoft_Dynamics" w:history="1">
                <w:r w:rsidR="00CF5A3E" w:rsidRPr="004300F7">
                  <w:rPr>
                    <w:rStyle w:val="Hyperlink"/>
                    <w:b/>
                    <w:sz w:val="13"/>
                    <w:szCs w:val="13"/>
                  </w:rPr>
                  <w:t>7</w:t>
                </w:r>
              </w:hyperlink>
              <w:r w:rsidR="00CF5A3E" w:rsidRPr="004300F7">
                <w:rPr>
                  <w:rStyle w:val="Hyperlink"/>
                  <w:b/>
                  <w:sz w:val="13"/>
                  <w:szCs w:val="13"/>
                </w:rPr>
                <w:t>1</w:t>
              </w:r>
            </w:hyperlink>
          </w:p>
        </w:tc>
        <w:tc>
          <w:tcPr>
            <w:tcW w:w="449" w:type="dxa"/>
            <w:tcBorders>
              <w:bottom w:val="single" w:sz="4" w:space="0" w:color="auto"/>
            </w:tcBorders>
            <w:shd w:val="clear" w:color="auto" w:fill="FABF8F"/>
          </w:tcPr>
          <w:p w:rsidR="007E430D" w:rsidRPr="00C83DF5" w:rsidRDefault="007E430D" w:rsidP="007E430D">
            <w:pPr>
              <w:pStyle w:val="TableText"/>
              <w:widowControl w:val="0"/>
              <w:spacing w:before="120"/>
              <w:rPr>
                <w:rFonts w:ascii="Tahoma" w:hAnsi="Tahoma" w:cs="Tahoma"/>
                <w:color w:val="000000"/>
                <w:sz w:val="13"/>
              </w:rPr>
            </w:pPr>
            <w:r w:rsidRPr="00C83DF5">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20</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15</w:t>
            </w:r>
          </w:p>
        </w:tc>
        <w:tc>
          <w:tcPr>
            <w:tcW w:w="450" w:type="dxa"/>
            <w:gridSpan w:val="2"/>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15</w:t>
            </w:r>
          </w:p>
        </w:tc>
        <w:tc>
          <w:tcPr>
            <w:tcW w:w="455" w:type="dxa"/>
            <w:gridSpan w:val="2"/>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366"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r>
      <w:tr w:rsidR="007E430D" w:rsidRPr="00C83DF5" w:rsidTr="004909D7">
        <w:trPr>
          <w:trHeight w:val="145"/>
        </w:trPr>
        <w:tc>
          <w:tcPr>
            <w:tcW w:w="2546" w:type="dxa"/>
            <w:gridSpan w:val="2"/>
            <w:tcBorders>
              <w:bottom w:val="single" w:sz="4" w:space="0" w:color="auto"/>
            </w:tcBorders>
            <w:shd w:val="clear" w:color="auto" w:fill="auto"/>
            <w:vAlign w:val="center"/>
          </w:tcPr>
          <w:p w:rsidR="007E430D" w:rsidRPr="00C83DF5" w:rsidRDefault="007E430D" w:rsidP="00DE1233">
            <w:pPr>
              <w:pStyle w:val="Heading2"/>
              <w:spacing w:after="10"/>
              <w:ind w:left="0"/>
              <w:rPr>
                <w:rFonts w:ascii="Tahoma" w:hAnsi="Tahoma" w:cs="Tahoma"/>
                <w:b w:val="0"/>
                <w:sz w:val="14"/>
                <w:szCs w:val="14"/>
                <w:lang w:val="de-DE"/>
              </w:rPr>
            </w:pPr>
            <w:bookmarkStart w:id="290" w:name="_Toc336338016"/>
            <w:bookmarkStart w:id="291" w:name="_Toc370983126"/>
            <w:r w:rsidRPr="00C83DF5">
              <w:rPr>
                <w:rFonts w:ascii="Tahoma" w:hAnsi="Tahoma" w:cs="Tahoma"/>
                <w:b w:val="0"/>
                <w:sz w:val="14"/>
                <w:szCs w:val="14"/>
                <w:lang w:val="de-DE"/>
              </w:rPr>
              <w:t>Zusätzliche CAL zur Grundlegenden Verwendung von Microsoft Dynamics 2013 CRM (Nutzer &amp; Gerät)</w:t>
            </w:r>
            <w:bookmarkEnd w:id="290"/>
            <w:bookmarkEnd w:id="291"/>
          </w:p>
        </w:tc>
        <w:tc>
          <w:tcPr>
            <w:tcW w:w="414" w:type="dxa"/>
            <w:tcBorders>
              <w:bottom w:val="single" w:sz="4" w:space="0" w:color="auto"/>
            </w:tcBorders>
            <w:shd w:val="clear" w:color="auto" w:fill="auto"/>
            <w:vAlign w:val="center"/>
          </w:tcPr>
          <w:p w:rsidR="007E430D" w:rsidRPr="00C83DF5" w:rsidRDefault="005519A5" w:rsidP="00793532">
            <w:pPr>
              <w:pStyle w:val="TableText"/>
              <w:widowControl w:val="0"/>
              <w:rPr>
                <w:b/>
                <w:color w:val="0000FF"/>
                <w:sz w:val="13"/>
                <w:szCs w:val="13"/>
                <w:u w:val="single"/>
              </w:rPr>
            </w:pPr>
            <w:hyperlink w:anchor="_71_Microsoft_Dynamics_1" w:history="1">
              <w:hyperlink w:anchor="_70_Microsoft_Dynamics" w:history="1">
                <w:r w:rsidR="00813575" w:rsidRPr="004300F7">
                  <w:rPr>
                    <w:rStyle w:val="Hyperlink"/>
                    <w:b/>
                    <w:sz w:val="13"/>
                    <w:szCs w:val="13"/>
                  </w:rPr>
                  <w:t>7</w:t>
                </w:r>
              </w:hyperlink>
              <w:r w:rsidR="00813575" w:rsidRPr="004300F7">
                <w:rPr>
                  <w:rStyle w:val="Hyperlink"/>
                  <w:b/>
                  <w:sz w:val="13"/>
                  <w:szCs w:val="13"/>
                </w:rPr>
                <w:t>1</w:t>
              </w:r>
            </w:hyperlink>
          </w:p>
        </w:tc>
        <w:tc>
          <w:tcPr>
            <w:tcW w:w="449" w:type="dxa"/>
            <w:tcBorders>
              <w:bottom w:val="single" w:sz="4" w:space="0" w:color="auto"/>
            </w:tcBorders>
            <w:shd w:val="clear" w:color="auto" w:fill="auto"/>
          </w:tcPr>
          <w:p w:rsidR="007E430D" w:rsidRPr="00C83DF5" w:rsidRDefault="007E430D" w:rsidP="007E430D">
            <w:pPr>
              <w:pStyle w:val="TableText"/>
              <w:widowControl w:val="0"/>
              <w:spacing w:before="120"/>
              <w:rPr>
                <w:rFonts w:ascii="Tahoma" w:hAnsi="Tahoma" w:cs="Tahoma"/>
                <w:color w:val="000000"/>
                <w:sz w:val="13"/>
              </w:rPr>
            </w:pPr>
            <w:r w:rsidRPr="00C83DF5">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7E430D" w:rsidRPr="00C83DF5" w:rsidRDefault="007E430D" w:rsidP="007E430D">
            <w:pPr>
              <w:pStyle w:val="TableText"/>
              <w:widowControl w:val="0"/>
              <w:spacing w:before="12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r>
      <w:tr w:rsidR="00BA5266" w:rsidRPr="00C83DF5" w:rsidTr="004909D7">
        <w:trPr>
          <w:trHeight w:val="145"/>
        </w:trPr>
        <w:tc>
          <w:tcPr>
            <w:tcW w:w="2546" w:type="dxa"/>
            <w:gridSpan w:val="2"/>
            <w:tcBorders>
              <w:bottom w:val="single" w:sz="4" w:space="0" w:color="auto"/>
            </w:tcBorders>
            <w:shd w:val="clear" w:color="auto" w:fill="FABF8F"/>
            <w:vAlign w:val="center"/>
          </w:tcPr>
          <w:p w:rsidR="007E430D" w:rsidRPr="00C83DF5" w:rsidRDefault="007E430D" w:rsidP="002905E6">
            <w:pPr>
              <w:pStyle w:val="Heading2"/>
              <w:spacing w:after="10"/>
              <w:ind w:left="0"/>
              <w:rPr>
                <w:rFonts w:ascii="Tahoma" w:hAnsi="Tahoma" w:cs="Tahoma"/>
                <w:b w:val="0"/>
                <w:sz w:val="14"/>
                <w:szCs w:val="14"/>
              </w:rPr>
            </w:pPr>
            <w:bookmarkStart w:id="292" w:name="_Toc336338017"/>
            <w:bookmarkStart w:id="293" w:name="_Toc370983127"/>
            <w:r w:rsidRPr="00C83DF5">
              <w:rPr>
                <w:rFonts w:ascii="Tahoma" w:hAnsi="Tahoma" w:cs="Tahoma"/>
                <w:b w:val="0"/>
                <w:sz w:val="14"/>
                <w:szCs w:val="14"/>
              </w:rPr>
              <w:t>CAL für Microsoft Dynamics 2013 CRM</w:t>
            </w:r>
            <w:r w:rsidR="002905E6">
              <w:rPr>
                <w:rFonts w:ascii="Tahoma" w:hAnsi="Tahoma" w:cs="Tahoma"/>
                <w:b w:val="0"/>
                <w:sz w:val="14"/>
                <w:szCs w:val="14"/>
              </w:rPr>
              <w:t> </w:t>
            </w:r>
            <w:r w:rsidRPr="00C83DF5">
              <w:rPr>
                <w:rFonts w:ascii="Tahoma" w:hAnsi="Tahoma" w:cs="Tahoma"/>
                <w:b w:val="0"/>
                <w:sz w:val="14"/>
                <w:szCs w:val="14"/>
              </w:rPr>
              <w:t>Essential</w:t>
            </w:r>
            <w:bookmarkEnd w:id="292"/>
            <w:bookmarkEnd w:id="293"/>
          </w:p>
        </w:tc>
        <w:tc>
          <w:tcPr>
            <w:tcW w:w="414" w:type="dxa"/>
            <w:tcBorders>
              <w:bottom w:val="single" w:sz="4" w:space="0" w:color="auto"/>
            </w:tcBorders>
            <w:shd w:val="clear" w:color="auto" w:fill="FABF8F"/>
            <w:vAlign w:val="center"/>
          </w:tcPr>
          <w:p w:rsidR="007E430D" w:rsidRPr="00C83DF5" w:rsidRDefault="005519A5" w:rsidP="00793532">
            <w:pPr>
              <w:pStyle w:val="TableText"/>
              <w:widowControl w:val="0"/>
              <w:rPr>
                <w:b/>
                <w:color w:val="0000FF"/>
                <w:sz w:val="13"/>
                <w:szCs w:val="13"/>
                <w:u w:val="single"/>
              </w:rPr>
            </w:pPr>
            <w:hyperlink w:anchor="_71_Microsoft_Dynamics_1" w:history="1">
              <w:hyperlink w:anchor="_70_Microsoft_Dynamics" w:history="1">
                <w:r w:rsidR="00813575" w:rsidRPr="004300F7">
                  <w:rPr>
                    <w:rStyle w:val="Hyperlink"/>
                    <w:b/>
                    <w:sz w:val="13"/>
                    <w:szCs w:val="13"/>
                  </w:rPr>
                  <w:t>7</w:t>
                </w:r>
              </w:hyperlink>
              <w:r w:rsidR="00813575" w:rsidRPr="004300F7">
                <w:rPr>
                  <w:rStyle w:val="Hyperlink"/>
                  <w:b/>
                  <w:sz w:val="13"/>
                  <w:szCs w:val="13"/>
                </w:rPr>
                <w:t>1</w:t>
              </w:r>
            </w:hyperlink>
          </w:p>
        </w:tc>
        <w:tc>
          <w:tcPr>
            <w:tcW w:w="449" w:type="dxa"/>
            <w:tcBorders>
              <w:bottom w:val="single" w:sz="4" w:space="0" w:color="auto"/>
            </w:tcBorders>
            <w:shd w:val="clear" w:color="auto" w:fill="FABF8F"/>
          </w:tcPr>
          <w:p w:rsidR="007E430D" w:rsidRPr="00C83DF5" w:rsidRDefault="007E430D" w:rsidP="007E430D">
            <w:pPr>
              <w:pStyle w:val="TableText"/>
              <w:widowControl w:val="0"/>
              <w:spacing w:before="120"/>
              <w:rPr>
                <w:rFonts w:ascii="Tahoma" w:hAnsi="Tahoma" w:cs="Tahoma"/>
                <w:color w:val="000000"/>
                <w:sz w:val="13"/>
              </w:rPr>
            </w:pPr>
            <w:r w:rsidRPr="00C83DF5">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7E430D" w:rsidRPr="00C83DF5" w:rsidRDefault="007E430D" w:rsidP="007E430D">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w:t>
            </w:r>
          </w:p>
        </w:tc>
      </w:tr>
      <w:tr w:rsidR="007E430D" w:rsidRPr="00C83DF5" w:rsidTr="004909D7">
        <w:trPr>
          <w:trHeight w:val="145"/>
        </w:trPr>
        <w:tc>
          <w:tcPr>
            <w:tcW w:w="2546" w:type="dxa"/>
            <w:gridSpan w:val="2"/>
            <w:tcBorders>
              <w:bottom w:val="single" w:sz="4" w:space="0" w:color="auto"/>
            </w:tcBorders>
            <w:shd w:val="clear" w:color="auto" w:fill="auto"/>
            <w:vAlign w:val="center"/>
          </w:tcPr>
          <w:p w:rsidR="007E430D" w:rsidRPr="00C83DF5" w:rsidRDefault="007E430D" w:rsidP="00DE1233">
            <w:pPr>
              <w:pStyle w:val="Heading2"/>
              <w:spacing w:after="10"/>
              <w:ind w:left="0"/>
              <w:rPr>
                <w:rFonts w:ascii="Tahoma" w:hAnsi="Tahoma" w:cs="Tahoma"/>
                <w:b w:val="0"/>
                <w:sz w:val="14"/>
                <w:szCs w:val="14"/>
                <w:lang w:val="de-DE"/>
              </w:rPr>
            </w:pPr>
            <w:bookmarkStart w:id="294" w:name="_Toc336338018"/>
            <w:bookmarkStart w:id="295" w:name="_Toc370983128"/>
            <w:r w:rsidRPr="00C83DF5">
              <w:rPr>
                <w:rFonts w:ascii="Tahoma" w:hAnsi="Tahoma" w:cs="Tahoma"/>
                <w:b w:val="0"/>
                <w:sz w:val="14"/>
                <w:szCs w:val="14"/>
                <w:lang w:val="de-DE"/>
              </w:rPr>
              <w:t>CAL für Microsoft Dynamics 2013 CRM Professional (Nutzer &amp; Gerät)</w:t>
            </w:r>
            <w:bookmarkEnd w:id="294"/>
            <w:bookmarkEnd w:id="295"/>
          </w:p>
        </w:tc>
        <w:tc>
          <w:tcPr>
            <w:tcW w:w="414" w:type="dxa"/>
            <w:tcBorders>
              <w:bottom w:val="single" w:sz="4" w:space="0" w:color="auto"/>
            </w:tcBorders>
            <w:shd w:val="clear" w:color="auto" w:fill="auto"/>
            <w:vAlign w:val="center"/>
          </w:tcPr>
          <w:p w:rsidR="007E430D" w:rsidRPr="00C83DF5" w:rsidRDefault="005519A5" w:rsidP="00793532">
            <w:pPr>
              <w:pStyle w:val="TableText"/>
              <w:widowControl w:val="0"/>
              <w:rPr>
                <w:b/>
                <w:color w:val="0000FF"/>
                <w:sz w:val="13"/>
                <w:szCs w:val="13"/>
                <w:u w:val="single"/>
              </w:rPr>
            </w:pPr>
            <w:hyperlink w:anchor="_71_Microsoft_Dynamics_1" w:history="1">
              <w:hyperlink w:anchor="_70_Microsoft_Dynamics" w:history="1">
                <w:r w:rsidR="00813575" w:rsidRPr="004300F7">
                  <w:rPr>
                    <w:rStyle w:val="Hyperlink"/>
                    <w:b/>
                    <w:sz w:val="13"/>
                    <w:szCs w:val="13"/>
                  </w:rPr>
                  <w:t>7</w:t>
                </w:r>
              </w:hyperlink>
              <w:r w:rsidR="00813575" w:rsidRPr="004300F7">
                <w:rPr>
                  <w:rStyle w:val="Hyperlink"/>
                  <w:b/>
                  <w:sz w:val="13"/>
                  <w:szCs w:val="13"/>
                </w:rPr>
                <w:t>1</w:t>
              </w:r>
            </w:hyperlink>
          </w:p>
        </w:tc>
        <w:tc>
          <w:tcPr>
            <w:tcW w:w="449" w:type="dxa"/>
            <w:tcBorders>
              <w:bottom w:val="single" w:sz="4" w:space="0" w:color="auto"/>
            </w:tcBorders>
            <w:shd w:val="clear" w:color="auto" w:fill="auto"/>
          </w:tcPr>
          <w:p w:rsidR="007E430D" w:rsidRPr="00C83DF5" w:rsidRDefault="007E430D" w:rsidP="007E430D">
            <w:pPr>
              <w:pStyle w:val="TableText"/>
              <w:widowControl w:val="0"/>
              <w:spacing w:before="120"/>
              <w:rPr>
                <w:rFonts w:ascii="Tahoma" w:hAnsi="Tahoma" w:cs="Tahoma"/>
                <w:color w:val="000000"/>
                <w:sz w:val="13"/>
              </w:rPr>
            </w:pPr>
            <w:r w:rsidRPr="00C83DF5">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20</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15</w:t>
            </w:r>
          </w:p>
        </w:tc>
        <w:tc>
          <w:tcPr>
            <w:tcW w:w="450" w:type="dxa"/>
            <w:gridSpan w:val="2"/>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15</w:t>
            </w:r>
          </w:p>
        </w:tc>
        <w:tc>
          <w:tcPr>
            <w:tcW w:w="455" w:type="dxa"/>
            <w:gridSpan w:val="2"/>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366"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7E430D" w:rsidRPr="00C83DF5" w:rsidRDefault="007E430D" w:rsidP="007E430D">
            <w:pPr>
              <w:pStyle w:val="TableText"/>
              <w:widowControl w:val="0"/>
              <w:spacing w:before="12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r>
      <w:tr w:rsidR="00BA5266" w:rsidRPr="00C83DF5" w:rsidTr="004909D7">
        <w:trPr>
          <w:trHeight w:val="145"/>
        </w:trPr>
        <w:tc>
          <w:tcPr>
            <w:tcW w:w="2546" w:type="dxa"/>
            <w:gridSpan w:val="2"/>
            <w:tcBorders>
              <w:bottom w:val="single" w:sz="4" w:space="0" w:color="auto"/>
            </w:tcBorders>
            <w:shd w:val="clear" w:color="auto" w:fill="FABF8F"/>
            <w:vAlign w:val="center"/>
          </w:tcPr>
          <w:p w:rsidR="007E430D" w:rsidRPr="00C83DF5" w:rsidRDefault="007E430D" w:rsidP="007E430D">
            <w:pPr>
              <w:pStyle w:val="Heading2"/>
              <w:ind w:left="0"/>
              <w:rPr>
                <w:rFonts w:ascii="Tahoma" w:hAnsi="Tahoma" w:cs="Tahoma"/>
                <w:b w:val="0"/>
                <w:sz w:val="14"/>
                <w:szCs w:val="14"/>
                <w:lang w:val="de-DE"/>
              </w:rPr>
            </w:pPr>
            <w:bookmarkStart w:id="296" w:name="_Toc336338019"/>
            <w:bookmarkStart w:id="297" w:name="_Toc370983129"/>
            <w:r w:rsidRPr="00C83DF5">
              <w:rPr>
                <w:rFonts w:ascii="Tahoma" w:hAnsi="Tahoma" w:cs="Tahoma"/>
                <w:b w:val="0"/>
                <w:sz w:val="14"/>
                <w:szCs w:val="14"/>
                <w:lang w:val="de-DE"/>
              </w:rPr>
              <w:t>Zusätzliche CAL zur Professionellen Verwendung von Microsoft Dynamics 2013 CRM (Nutzer &amp; Gerät)</w:t>
            </w:r>
            <w:bookmarkEnd w:id="296"/>
            <w:bookmarkEnd w:id="297"/>
          </w:p>
        </w:tc>
        <w:tc>
          <w:tcPr>
            <w:tcW w:w="414" w:type="dxa"/>
            <w:tcBorders>
              <w:bottom w:val="single" w:sz="4" w:space="0" w:color="auto"/>
            </w:tcBorders>
            <w:shd w:val="clear" w:color="auto" w:fill="FABF8F"/>
            <w:vAlign w:val="center"/>
          </w:tcPr>
          <w:p w:rsidR="007E430D" w:rsidRPr="00C83DF5" w:rsidRDefault="005519A5" w:rsidP="00793532">
            <w:pPr>
              <w:pStyle w:val="TableText"/>
              <w:widowControl w:val="0"/>
              <w:rPr>
                <w:b/>
                <w:color w:val="0000FF"/>
                <w:sz w:val="13"/>
                <w:szCs w:val="13"/>
                <w:u w:val="single"/>
              </w:rPr>
            </w:pPr>
            <w:hyperlink w:anchor="_71_Microsoft_Dynamics_1" w:history="1">
              <w:hyperlink w:anchor="_70_Microsoft_Dynamics" w:history="1">
                <w:r w:rsidR="004300F7" w:rsidRPr="004300F7">
                  <w:rPr>
                    <w:rStyle w:val="Hyperlink"/>
                    <w:b/>
                    <w:sz w:val="13"/>
                    <w:szCs w:val="13"/>
                  </w:rPr>
                  <w:t>7</w:t>
                </w:r>
              </w:hyperlink>
              <w:r w:rsidR="004300F7" w:rsidRPr="004300F7">
                <w:rPr>
                  <w:rStyle w:val="Hyperlink"/>
                  <w:b/>
                  <w:sz w:val="13"/>
                  <w:szCs w:val="13"/>
                </w:rPr>
                <w:t>1</w:t>
              </w:r>
            </w:hyperlink>
          </w:p>
        </w:tc>
        <w:tc>
          <w:tcPr>
            <w:tcW w:w="449" w:type="dxa"/>
            <w:tcBorders>
              <w:bottom w:val="single" w:sz="4" w:space="0" w:color="auto"/>
            </w:tcBorders>
            <w:shd w:val="clear" w:color="auto" w:fill="FABF8F"/>
          </w:tcPr>
          <w:p w:rsidR="007E430D" w:rsidRPr="00C83DF5" w:rsidRDefault="007E430D" w:rsidP="007E430D">
            <w:pPr>
              <w:pStyle w:val="TableText"/>
              <w:widowControl w:val="0"/>
              <w:spacing w:before="120"/>
              <w:rPr>
                <w:rFonts w:ascii="Tahoma" w:hAnsi="Tahoma" w:cs="Tahoma"/>
                <w:color w:val="000000"/>
                <w:sz w:val="13"/>
              </w:rPr>
            </w:pPr>
            <w:r w:rsidRPr="00C83DF5">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13</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450" w:type="dxa"/>
            <w:gridSpan w:val="3"/>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8</w:t>
            </w:r>
          </w:p>
        </w:tc>
        <w:tc>
          <w:tcPr>
            <w:tcW w:w="450" w:type="dxa"/>
            <w:gridSpan w:val="2"/>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8</w:t>
            </w:r>
          </w:p>
        </w:tc>
        <w:tc>
          <w:tcPr>
            <w:tcW w:w="455" w:type="dxa"/>
            <w:gridSpan w:val="2"/>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w:t>
            </w:r>
          </w:p>
        </w:tc>
        <w:tc>
          <w:tcPr>
            <w:tcW w:w="366"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7E430D" w:rsidRPr="00C83DF5" w:rsidRDefault="007E430D" w:rsidP="007E430D">
            <w:pPr>
              <w:pStyle w:val="TableText"/>
              <w:widowControl w:val="0"/>
              <w:spacing w:before="12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w:t>
            </w:r>
          </w:p>
        </w:tc>
      </w:tr>
      <w:tr w:rsidR="0045693C" w:rsidRPr="00C83DF5" w:rsidTr="004909D7">
        <w:trPr>
          <w:trHeight w:val="145"/>
        </w:trPr>
        <w:tc>
          <w:tcPr>
            <w:tcW w:w="2546" w:type="dxa"/>
            <w:gridSpan w:val="2"/>
            <w:tcBorders>
              <w:bottom w:val="single" w:sz="4" w:space="0" w:color="auto"/>
            </w:tcBorders>
            <w:shd w:val="clear" w:color="auto" w:fill="auto"/>
            <w:vAlign w:val="center"/>
          </w:tcPr>
          <w:p w:rsidR="007E430D" w:rsidRPr="00C83DF5" w:rsidRDefault="007E430D" w:rsidP="007E430D">
            <w:pPr>
              <w:pStyle w:val="Heading2"/>
              <w:ind w:left="0"/>
              <w:rPr>
                <w:rFonts w:ascii="Tahoma" w:hAnsi="Tahoma" w:cs="Tahoma"/>
                <w:b w:val="0"/>
                <w:sz w:val="14"/>
                <w:szCs w:val="14"/>
              </w:rPr>
            </w:pPr>
            <w:bookmarkStart w:id="298" w:name="_Toc336338021"/>
            <w:bookmarkStart w:id="299" w:name="_Toc370983130"/>
            <w:r w:rsidRPr="00C83DF5">
              <w:rPr>
                <w:rFonts w:ascii="Tahoma" w:hAnsi="Tahoma" w:cs="Tahoma"/>
                <w:b w:val="0"/>
                <w:sz w:val="14"/>
                <w:szCs w:val="14"/>
              </w:rPr>
              <w:t>Microsoft Dynamics CRM 2013 Server</w:t>
            </w:r>
            <w:bookmarkEnd w:id="298"/>
            <w:bookmarkEnd w:id="299"/>
            <w:r w:rsidRPr="00C83DF5">
              <w:rPr>
                <w:rFonts w:ascii="Tahoma" w:hAnsi="Tahoma" w:cs="Tahoma"/>
                <w:b w:val="0"/>
                <w:sz w:val="14"/>
                <w:szCs w:val="14"/>
              </w:rPr>
              <w:t xml:space="preserve"> </w:t>
            </w:r>
          </w:p>
        </w:tc>
        <w:tc>
          <w:tcPr>
            <w:tcW w:w="414" w:type="dxa"/>
            <w:tcBorders>
              <w:bottom w:val="single" w:sz="4" w:space="0" w:color="auto"/>
            </w:tcBorders>
            <w:shd w:val="clear" w:color="auto" w:fill="auto"/>
            <w:vAlign w:val="center"/>
          </w:tcPr>
          <w:p w:rsidR="007E430D" w:rsidRPr="00C83DF5" w:rsidRDefault="005519A5" w:rsidP="004F2AF3">
            <w:pPr>
              <w:pStyle w:val="TableText"/>
              <w:widowControl w:val="0"/>
              <w:rPr>
                <w:b/>
                <w:color w:val="0000FF"/>
                <w:sz w:val="13"/>
                <w:szCs w:val="13"/>
                <w:u w:val="single"/>
              </w:rPr>
            </w:pPr>
            <w:hyperlink w:anchor="_71_Microsoft_Dynamics_1" w:history="1">
              <w:hyperlink w:anchor="_70_Microsoft_Dynamics" w:history="1">
                <w:r w:rsidR="003D6358" w:rsidRPr="004300F7">
                  <w:rPr>
                    <w:rStyle w:val="Hyperlink"/>
                    <w:b/>
                    <w:sz w:val="13"/>
                    <w:szCs w:val="13"/>
                  </w:rPr>
                  <w:t>7</w:t>
                </w:r>
              </w:hyperlink>
              <w:r w:rsidR="003D6358" w:rsidRPr="004300F7">
                <w:rPr>
                  <w:rStyle w:val="Hyperlink"/>
                  <w:b/>
                  <w:sz w:val="13"/>
                  <w:szCs w:val="13"/>
                </w:rPr>
                <w:t>1</w:t>
              </w:r>
            </w:hyperlink>
          </w:p>
        </w:tc>
        <w:tc>
          <w:tcPr>
            <w:tcW w:w="449" w:type="dxa"/>
            <w:tcBorders>
              <w:bottom w:val="single" w:sz="4" w:space="0" w:color="auto"/>
            </w:tcBorders>
            <w:shd w:val="clear" w:color="auto" w:fill="auto"/>
          </w:tcPr>
          <w:p w:rsidR="007E430D" w:rsidRPr="00C83DF5" w:rsidRDefault="007E430D" w:rsidP="007E430D">
            <w:pPr>
              <w:pStyle w:val="TableText"/>
              <w:widowControl w:val="0"/>
              <w:spacing w:before="120"/>
              <w:rPr>
                <w:rFonts w:ascii="Tahoma" w:hAnsi="Tahoma" w:cs="Tahoma"/>
                <w:color w:val="000000"/>
                <w:sz w:val="13"/>
              </w:rPr>
            </w:pPr>
            <w:r w:rsidRPr="00C83DF5">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100</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75</w:t>
            </w:r>
          </w:p>
        </w:tc>
        <w:tc>
          <w:tcPr>
            <w:tcW w:w="450" w:type="dxa"/>
            <w:gridSpan w:val="2"/>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75</w:t>
            </w:r>
          </w:p>
        </w:tc>
        <w:tc>
          <w:tcPr>
            <w:tcW w:w="455" w:type="dxa"/>
            <w:gridSpan w:val="2"/>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50</w:t>
            </w:r>
          </w:p>
        </w:tc>
        <w:tc>
          <w:tcPr>
            <w:tcW w:w="366"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7E430D" w:rsidRPr="00C83DF5" w:rsidRDefault="007E430D" w:rsidP="007E430D">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50</w:t>
            </w:r>
          </w:p>
        </w:tc>
      </w:tr>
      <w:tr w:rsidR="004F2AF3" w:rsidRPr="00C83DF5" w:rsidTr="004909D7">
        <w:trPr>
          <w:trHeight w:val="145"/>
        </w:trPr>
        <w:tc>
          <w:tcPr>
            <w:tcW w:w="2546" w:type="dxa"/>
            <w:gridSpan w:val="2"/>
            <w:tcBorders>
              <w:bottom w:val="single" w:sz="4" w:space="0" w:color="auto"/>
            </w:tcBorders>
            <w:shd w:val="clear" w:color="auto" w:fill="FABF8F"/>
            <w:vAlign w:val="center"/>
          </w:tcPr>
          <w:p w:rsidR="004F2AF3" w:rsidRPr="00C83DF5" w:rsidRDefault="004F2AF3" w:rsidP="004F2AF3">
            <w:pPr>
              <w:pStyle w:val="Heading2"/>
              <w:ind w:left="0"/>
              <w:rPr>
                <w:rFonts w:ascii="Tahoma" w:hAnsi="Tahoma" w:cs="Tahoma"/>
                <w:b w:val="0"/>
                <w:sz w:val="14"/>
                <w:szCs w:val="14"/>
              </w:rPr>
            </w:pPr>
            <w:bookmarkStart w:id="300" w:name="_Toc370983131"/>
            <w:r w:rsidRPr="00C83DF5">
              <w:rPr>
                <w:rFonts w:ascii="Tahoma" w:hAnsi="Tahoma" w:cs="Tahoma"/>
                <w:b w:val="0"/>
                <w:sz w:val="14"/>
                <w:szCs w:val="14"/>
              </w:rPr>
              <w:t>Externe Connectors für Microsoft Dynamics CRM 2011</w:t>
            </w:r>
            <w:bookmarkEnd w:id="300"/>
          </w:p>
        </w:tc>
        <w:tc>
          <w:tcPr>
            <w:tcW w:w="414" w:type="dxa"/>
            <w:tcBorders>
              <w:bottom w:val="single" w:sz="4" w:space="0" w:color="auto"/>
            </w:tcBorders>
            <w:shd w:val="clear" w:color="auto" w:fill="FABF8F"/>
            <w:vAlign w:val="center"/>
          </w:tcPr>
          <w:p w:rsidR="004F2AF3" w:rsidRPr="00C83DF5" w:rsidRDefault="005519A5" w:rsidP="004F2AF3">
            <w:pPr>
              <w:pStyle w:val="TableText"/>
              <w:widowControl w:val="0"/>
            </w:pPr>
            <w:hyperlink w:anchor="_72_Externer_Connector" w:history="1">
              <w:hyperlink w:anchor="_70_Microsoft_Dynamics" w:history="1">
                <w:r w:rsidR="00CF5A3E" w:rsidRPr="004300F7">
                  <w:rPr>
                    <w:rStyle w:val="Hyperlink"/>
                    <w:b/>
                    <w:sz w:val="13"/>
                    <w:szCs w:val="13"/>
                  </w:rPr>
                  <w:t>7</w:t>
                </w:r>
              </w:hyperlink>
              <w:r w:rsidR="00CF5A3E" w:rsidRPr="004300F7">
                <w:rPr>
                  <w:rStyle w:val="Hyperlink"/>
                  <w:b/>
                  <w:sz w:val="13"/>
                  <w:szCs w:val="13"/>
                </w:rPr>
                <w:t>2</w:t>
              </w:r>
            </w:hyperlink>
          </w:p>
        </w:tc>
        <w:tc>
          <w:tcPr>
            <w:tcW w:w="449" w:type="dxa"/>
            <w:tcBorders>
              <w:bottom w:val="single" w:sz="4" w:space="0" w:color="auto"/>
            </w:tcBorders>
            <w:shd w:val="clear" w:color="auto" w:fill="FABF8F"/>
          </w:tcPr>
          <w:p w:rsidR="004F2AF3" w:rsidRPr="00C83DF5" w:rsidRDefault="004F2AF3" w:rsidP="004F2AF3">
            <w:pPr>
              <w:pStyle w:val="TableText"/>
              <w:widowControl w:val="0"/>
              <w:spacing w:before="120"/>
              <w:rPr>
                <w:rFonts w:ascii="Tahoma" w:hAnsi="Tahoma" w:cs="Tahoma"/>
                <w:color w:val="000000"/>
                <w:sz w:val="13"/>
              </w:rPr>
            </w:pPr>
            <w:r w:rsidRPr="00C83DF5">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4F2AF3" w:rsidRPr="00C83DF5" w:rsidRDefault="004F2AF3" w:rsidP="004F2AF3">
            <w:pPr>
              <w:pStyle w:val="TableText"/>
              <w:widowControl w:val="0"/>
              <w:spacing w:before="12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vAlign w:val="center"/>
          </w:tcPr>
          <w:p w:rsidR="004F2AF3" w:rsidRPr="00C83DF5" w:rsidRDefault="004F2AF3" w:rsidP="004F2AF3">
            <w:pPr>
              <w:pStyle w:val="TableText"/>
              <w:widowControl w:val="0"/>
              <w:rPr>
                <w:rFonts w:ascii="Tahoma" w:hAnsi="Tahoma" w:cs="Tahoma"/>
                <w:sz w:val="13"/>
              </w:rPr>
            </w:pPr>
            <w:r w:rsidRPr="00C83DF5">
              <w:rPr>
                <w:rFonts w:ascii="Tahoma" w:hAnsi="Tahoma" w:cs="Tahoma"/>
                <w:sz w:val="13"/>
              </w:rPr>
              <w:t>50</w:t>
            </w:r>
          </w:p>
        </w:tc>
      </w:tr>
      <w:tr w:rsidR="007E430D" w:rsidRPr="00C83DF5" w:rsidTr="004909D7">
        <w:trPr>
          <w:trHeight w:val="145"/>
        </w:trPr>
        <w:tc>
          <w:tcPr>
            <w:tcW w:w="2546" w:type="dxa"/>
            <w:gridSpan w:val="2"/>
            <w:tcBorders>
              <w:bottom w:val="single" w:sz="4" w:space="0" w:color="auto"/>
            </w:tcBorders>
            <w:shd w:val="clear" w:color="auto" w:fill="auto"/>
            <w:vAlign w:val="center"/>
          </w:tcPr>
          <w:p w:rsidR="007E430D" w:rsidRPr="00C83DF5" w:rsidRDefault="007E430D" w:rsidP="007E430D">
            <w:pPr>
              <w:pStyle w:val="Heading2"/>
              <w:ind w:left="0"/>
              <w:rPr>
                <w:rFonts w:ascii="Tahoma" w:hAnsi="Tahoma" w:cs="Tahoma"/>
                <w:b w:val="0"/>
                <w:sz w:val="14"/>
                <w:szCs w:val="14"/>
              </w:rPr>
            </w:pPr>
            <w:bookmarkStart w:id="301" w:name="_Toc336338022"/>
            <w:bookmarkStart w:id="302" w:name="_Toc370983132"/>
            <w:r w:rsidRPr="00C83DF5">
              <w:rPr>
                <w:rFonts w:ascii="Tahoma" w:hAnsi="Tahoma" w:cs="Tahoma"/>
                <w:b w:val="0"/>
                <w:sz w:val="14"/>
                <w:szCs w:val="14"/>
              </w:rPr>
              <w:t>Microsoft Dynamics CRM Workgroup Server 2013</w:t>
            </w:r>
            <w:bookmarkEnd w:id="301"/>
            <w:bookmarkEnd w:id="302"/>
            <w:r w:rsidRPr="00C83DF5">
              <w:rPr>
                <w:rFonts w:ascii="Tahoma" w:hAnsi="Tahoma" w:cs="Tahoma"/>
                <w:b w:val="0"/>
                <w:sz w:val="14"/>
                <w:szCs w:val="14"/>
              </w:rPr>
              <w:t xml:space="preserve"> </w:t>
            </w:r>
          </w:p>
        </w:tc>
        <w:tc>
          <w:tcPr>
            <w:tcW w:w="414" w:type="dxa"/>
            <w:tcBorders>
              <w:bottom w:val="single" w:sz="4" w:space="0" w:color="auto"/>
            </w:tcBorders>
            <w:shd w:val="clear" w:color="auto" w:fill="auto"/>
            <w:vAlign w:val="center"/>
          </w:tcPr>
          <w:p w:rsidR="007E430D" w:rsidRPr="00C83DF5" w:rsidRDefault="005519A5" w:rsidP="004F2AF3">
            <w:pPr>
              <w:pStyle w:val="TableText"/>
              <w:widowControl w:val="0"/>
              <w:rPr>
                <w:b/>
                <w:color w:val="0000FF"/>
                <w:sz w:val="13"/>
                <w:szCs w:val="13"/>
                <w:u w:val="single"/>
              </w:rPr>
            </w:pPr>
            <w:hyperlink w:anchor="_71_Microsoft_Dynamics_1" w:history="1">
              <w:hyperlink w:anchor="_70_Microsoft_Dynamics" w:history="1">
                <w:r w:rsidR="003D6358" w:rsidRPr="004300F7">
                  <w:rPr>
                    <w:rStyle w:val="Hyperlink"/>
                    <w:b/>
                    <w:sz w:val="13"/>
                    <w:szCs w:val="13"/>
                  </w:rPr>
                  <w:t>7</w:t>
                </w:r>
              </w:hyperlink>
              <w:r w:rsidR="003D6358" w:rsidRPr="004300F7">
                <w:rPr>
                  <w:rStyle w:val="Hyperlink"/>
                  <w:b/>
                  <w:sz w:val="13"/>
                  <w:szCs w:val="13"/>
                </w:rPr>
                <w:t>1</w:t>
              </w:r>
            </w:hyperlink>
          </w:p>
        </w:tc>
        <w:tc>
          <w:tcPr>
            <w:tcW w:w="449" w:type="dxa"/>
            <w:tcBorders>
              <w:bottom w:val="single" w:sz="4" w:space="0" w:color="auto"/>
            </w:tcBorders>
            <w:shd w:val="clear" w:color="auto" w:fill="auto"/>
          </w:tcPr>
          <w:p w:rsidR="007E430D" w:rsidRPr="00C83DF5" w:rsidRDefault="007E430D" w:rsidP="007E430D">
            <w:pPr>
              <w:pStyle w:val="TableText"/>
              <w:widowControl w:val="0"/>
              <w:spacing w:before="120"/>
              <w:rPr>
                <w:rFonts w:ascii="Tahoma" w:hAnsi="Tahoma" w:cs="Tahoma"/>
                <w:color w:val="000000"/>
                <w:sz w:val="13"/>
              </w:rPr>
            </w:pPr>
            <w:r w:rsidRPr="00C83DF5">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60</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38</w:t>
            </w:r>
          </w:p>
        </w:tc>
        <w:tc>
          <w:tcPr>
            <w:tcW w:w="450" w:type="dxa"/>
            <w:gridSpan w:val="2"/>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38</w:t>
            </w:r>
          </w:p>
        </w:tc>
        <w:tc>
          <w:tcPr>
            <w:tcW w:w="455" w:type="dxa"/>
            <w:gridSpan w:val="2"/>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25</w:t>
            </w:r>
          </w:p>
        </w:tc>
        <w:tc>
          <w:tcPr>
            <w:tcW w:w="366"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7E430D" w:rsidRPr="00C83DF5"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vAlign w:val="center"/>
          </w:tcPr>
          <w:p w:rsidR="007E430D" w:rsidRPr="00C83DF5" w:rsidRDefault="007E430D" w:rsidP="007E430D">
            <w:pPr>
              <w:pStyle w:val="TableText"/>
              <w:widowControl w:val="0"/>
              <w:rPr>
                <w:rFonts w:ascii="Tahoma" w:hAnsi="Tahoma" w:cs="Tahoma"/>
                <w:sz w:val="13"/>
              </w:rPr>
            </w:pPr>
            <w:r w:rsidRPr="00C83DF5">
              <w:rPr>
                <w:rFonts w:ascii="Tahoma" w:hAnsi="Tahoma" w:cs="Tahoma"/>
                <w:sz w:val="13"/>
              </w:rPr>
              <w:t>25</w:t>
            </w:r>
          </w:p>
        </w:tc>
      </w:tr>
      <w:tr w:rsidR="00BE51ED" w:rsidRPr="00C83DF5" w:rsidTr="00BE51ED">
        <w:trPr>
          <w:trHeight w:val="145"/>
        </w:trPr>
        <w:tc>
          <w:tcPr>
            <w:tcW w:w="2546" w:type="dxa"/>
            <w:gridSpan w:val="2"/>
            <w:tcBorders>
              <w:bottom w:val="single" w:sz="4" w:space="0" w:color="auto"/>
            </w:tcBorders>
            <w:shd w:val="clear" w:color="auto" w:fill="FABF8F"/>
            <w:vAlign w:val="center"/>
          </w:tcPr>
          <w:p w:rsidR="00BE51ED" w:rsidRPr="00C83DF5" w:rsidRDefault="00BE51ED" w:rsidP="00BE51ED">
            <w:pPr>
              <w:pStyle w:val="Heading2"/>
              <w:spacing w:beforeLines="20" w:before="48" w:afterLines="20" w:after="48"/>
              <w:ind w:left="0"/>
              <w:rPr>
                <w:rFonts w:ascii="Tahoma" w:hAnsi="Tahoma" w:cs="Tahoma"/>
                <w:b w:val="0"/>
                <w:sz w:val="14"/>
              </w:rPr>
            </w:pPr>
            <w:bookmarkStart w:id="303" w:name="_Toc370983133"/>
            <w:r w:rsidRPr="00C83DF5">
              <w:rPr>
                <w:rFonts w:ascii="Tahoma" w:hAnsi="Tahoma" w:cs="Tahoma"/>
                <w:b w:val="0"/>
                <w:sz w:val="14"/>
              </w:rPr>
              <w:t>Microsoft Dynamics CRM Online Basic</w:t>
            </w:r>
            <w:bookmarkEnd w:id="303"/>
          </w:p>
        </w:tc>
        <w:tc>
          <w:tcPr>
            <w:tcW w:w="414" w:type="dxa"/>
            <w:tcBorders>
              <w:bottom w:val="single" w:sz="4" w:space="0" w:color="auto"/>
            </w:tcBorders>
            <w:shd w:val="clear" w:color="auto" w:fill="FABF8F"/>
            <w:vAlign w:val="center"/>
          </w:tcPr>
          <w:p w:rsidR="00BE51ED" w:rsidRPr="00C83DF5" w:rsidRDefault="00BE51ED" w:rsidP="00BE51ED">
            <w:pPr>
              <w:pStyle w:val="TableText"/>
              <w:widowControl w:val="0"/>
              <w:rPr>
                <w:rStyle w:val="EndnoteReference"/>
                <w:b w:val="0"/>
                <w:color w:val="0000FF"/>
                <w:sz w:val="13"/>
                <w:szCs w:val="13"/>
                <w:u w:val="single"/>
              </w:rPr>
            </w:pPr>
            <w:hyperlink w:anchor="_70_Microsoft_Dynamics" w:history="1">
              <w:hyperlink w:anchor="_70_Microsoft_Dynamics" w:history="1">
                <w:r w:rsidRPr="004E1C79">
                  <w:rPr>
                    <w:rStyle w:val="Hyperlink"/>
                    <w:b/>
                    <w:sz w:val="13"/>
                    <w:szCs w:val="13"/>
                  </w:rPr>
                  <w:t>7</w:t>
                </w:r>
              </w:hyperlink>
              <w:r w:rsidRPr="004E1C79">
                <w:rPr>
                  <w:rStyle w:val="Hyperlink"/>
                  <w:b/>
                  <w:sz w:val="13"/>
                  <w:szCs w:val="13"/>
                </w:rPr>
                <w:t>3</w:t>
              </w:r>
            </w:hyperlink>
          </w:p>
        </w:tc>
        <w:tc>
          <w:tcPr>
            <w:tcW w:w="449"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color w:val="000000"/>
                <w:sz w:val="13"/>
              </w:rPr>
            </w:pPr>
            <w:r w:rsidRPr="00C83DF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51ED" w:rsidRDefault="00BE51ED" w:rsidP="00BE51ED">
            <w:pPr>
              <w:jc w:val="center"/>
            </w:pPr>
            <w:r w:rsidRPr="0000708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51ED" w:rsidRDefault="00BE51ED" w:rsidP="00BE51ED">
            <w:pPr>
              <w:jc w:val="center"/>
            </w:pPr>
            <w:r w:rsidRPr="00ED3114">
              <w:rPr>
                <w:rFonts w:cs="Tahoma"/>
                <w:sz w:val="13"/>
              </w:rPr>
              <w:t>A, ST</w:t>
            </w:r>
          </w:p>
        </w:tc>
        <w:tc>
          <w:tcPr>
            <w:tcW w:w="506"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r>
      <w:tr w:rsidR="00BE51ED" w:rsidRPr="00C83DF5" w:rsidTr="00BE51ED">
        <w:trPr>
          <w:trHeight w:val="145"/>
        </w:trPr>
        <w:tc>
          <w:tcPr>
            <w:tcW w:w="2546" w:type="dxa"/>
            <w:gridSpan w:val="2"/>
            <w:tcBorders>
              <w:bottom w:val="single" w:sz="4" w:space="0" w:color="auto"/>
            </w:tcBorders>
            <w:shd w:val="clear" w:color="auto" w:fill="auto"/>
            <w:vAlign w:val="center"/>
          </w:tcPr>
          <w:p w:rsidR="00BE51ED" w:rsidRPr="00C83DF5" w:rsidRDefault="00BE51ED" w:rsidP="00BE51ED">
            <w:pPr>
              <w:pStyle w:val="Heading2"/>
              <w:spacing w:beforeLines="20" w:before="48" w:afterLines="20" w:after="48"/>
              <w:ind w:left="0"/>
              <w:rPr>
                <w:rFonts w:ascii="Tahoma" w:hAnsi="Tahoma" w:cs="Tahoma"/>
                <w:b w:val="0"/>
                <w:sz w:val="14"/>
              </w:rPr>
            </w:pPr>
            <w:bookmarkStart w:id="304" w:name="_Toc370983134"/>
            <w:r w:rsidRPr="00A23FD0">
              <w:rPr>
                <w:rFonts w:ascii="Tahoma" w:hAnsi="Tahoma" w:cs="Tahoma"/>
                <w:b w:val="0"/>
                <w:sz w:val="14"/>
              </w:rPr>
              <w:t>Microsoft Dynamics CRM Online Enhanced Support</w:t>
            </w:r>
            <w:bookmarkEnd w:id="304"/>
          </w:p>
        </w:tc>
        <w:tc>
          <w:tcPr>
            <w:tcW w:w="414" w:type="dxa"/>
            <w:tcBorders>
              <w:bottom w:val="single" w:sz="4" w:space="0" w:color="auto"/>
            </w:tcBorders>
            <w:shd w:val="clear" w:color="auto" w:fill="auto"/>
            <w:vAlign w:val="center"/>
          </w:tcPr>
          <w:p w:rsidR="00BE51ED" w:rsidRPr="00C83DF5" w:rsidRDefault="00BE51ED" w:rsidP="00BE51ED">
            <w:pPr>
              <w:pStyle w:val="TableText"/>
              <w:widowControl w:val="0"/>
              <w:rPr>
                <w:rStyle w:val="EndnoteReference"/>
                <w:b w:val="0"/>
                <w:color w:val="0000FF"/>
                <w:sz w:val="13"/>
                <w:szCs w:val="13"/>
                <w:u w:val="single"/>
              </w:rPr>
            </w:pPr>
            <w:hyperlink w:anchor="_70_Microsoft_Dynamics" w:history="1">
              <w:hyperlink w:anchor="_70_Microsoft_Dynamics" w:history="1">
                <w:r w:rsidRPr="004E1C79">
                  <w:rPr>
                    <w:rStyle w:val="Hyperlink"/>
                    <w:b/>
                    <w:sz w:val="13"/>
                    <w:szCs w:val="13"/>
                  </w:rPr>
                  <w:t>7</w:t>
                </w:r>
              </w:hyperlink>
              <w:r w:rsidRPr="004E1C79">
                <w:rPr>
                  <w:rStyle w:val="Hyperlink"/>
                  <w:b/>
                  <w:sz w:val="13"/>
                  <w:szCs w:val="13"/>
                </w:rPr>
                <w:t>3</w:t>
              </w:r>
            </w:hyperlink>
          </w:p>
        </w:tc>
        <w:tc>
          <w:tcPr>
            <w:tcW w:w="449"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color w:val="000000"/>
                <w:sz w:val="13"/>
              </w:rPr>
            </w:pPr>
            <w:r w:rsidRPr="00C83DF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51ED" w:rsidRDefault="00BE51ED" w:rsidP="00BE51ED">
            <w:pPr>
              <w:jc w:val="center"/>
            </w:pPr>
            <w:r w:rsidRPr="0000708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51ED" w:rsidRDefault="00BE51ED" w:rsidP="00BE51ED">
            <w:pPr>
              <w:jc w:val="center"/>
            </w:pPr>
            <w:r w:rsidRPr="00ED3114">
              <w:rPr>
                <w:rFonts w:cs="Tahoma"/>
                <w:sz w:val="13"/>
              </w:rPr>
              <w:t>A, ST</w:t>
            </w:r>
          </w:p>
        </w:tc>
        <w:tc>
          <w:tcPr>
            <w:tcW w:w="506"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84" w:type="dxa"/>
            <w:tcBorders>
              <w:bottom w:val="single" w:sz="4" w:space="0" w:color="auto"/>
            </w:tcBorders>
            <w:vAlign w:val="center"/>
          </w:tcPr>
          <w:p w:rsidR="00BE51ED" w:rsidRPr="00C83DF5" w:rsidRDefault="00BE51ED" w:rsidP="00BE51ED">
            <w:pPr>
              <w:pStyle w:val="TableText"/>
              <w:widowControl w:val="0"/>
              <w:rPr>
                <w:rFonts w:ascii="Tahoma" w:hAnsi="Tahoma" w:cs="Tahoma"/>
                <w:sz w:val="13"/>
              </w:rPr>
            </w:pPr>
          </w:p>
        </w:tc>
      </w:tr>
      <w:tr w:rsidR="00BE51ED" w:rsidRPr="00C83DF5" w:rsidTr="00BE51ED">
        <w:trPr>
          <w:trHeight w:val="145"/>
        </w:trPr>
        <w:tc>
          <w:tcPr>
            <w:tcW w:w="2546" w:type="dxa"/>
            <w:gridSpan w:val="2"/>
            <w:tcBorders>
              <w:bottom w:val="single" w:sz="4" w:space="0" w:color="auto"/>
            </w:tcBorders>
            <w:shd w:val="clear" w:color="auto" w:fill="FABF8F"/>
            <w:vAlign w:val="center"/>
          </w:tcPr>
          <w:p w:rsidR="00BE51ED" w:rsidRPr="00C83DF5" w:rsidRDefault="00BE51ED" w:rsidP="00BE51ED">
            <w:pPr>
              <w:pStyle w:val="Heading2"/>
              <w:spacing w:beforeLines="20" w:before="48" w:afterLines="20" w:after="48"/>
              <w:ind w:left="0"/>
              <w:rPr>
                <w:rFonts w:ascii="Tahoma" w:hAnsi="Tahoma" w:cs="Tahoma"/>
                <w:b w:val="0"/>
                <w:sz w:val="14"/>
              </w:rPr>
            </w:pPr>
            <w:bookmarkStart w:id="305" w:name="_Toc370983135"/>
            <w:r w:rsidRPr="00C83DF5">
              <w:rPr>
                <w:rFonts w:ascii="Tahoma" w:hAnsi="Tahoma" w:cs="Tahoma"/>
                <w:b w:val="0"/>
                <w:sz w:val="14"/>
              </w:rPr>
              <w:t>Microsoft Dynamics CRM Online Essential</w:t>
            </w:r>
            <w:bookmarkEnd w:id="305"/>
          </w:p>
        </w:tc>
        <w:tc>
          <w:tcPr>
            <w:tcW w:w="414" w:type="dxa"/>
            <w:tcBorders>
              <w:bottom w:val="single" w:sz="4" w:space="0" w:color="auto"/>
            </w:tcBorders>
            <w:shd w:val="clear" w:color="auto" w:fill="FABF8F"/>
            <w:vAlign w:val="center"/>
          </w:tcPr>
          <w:p w:rsidR="00BE51ED" w:rsidRPr="00C83DF5" w:rsidRDefault="00BE51ED" w:rsidP="00BE51ED">
            <w:pPr>
              <w:pStyle w:val="TableText"/>
              <w:widowControl w:val="0"/>
              <w:rPr>
                <w:rStyle w:val="EndnoteReference"/>
                <w:b w:val="0"/>
                <w:color w:val="0000FF"/>
                <w:sz w:val="13"/>
                <w:szCs w:val="13"/>
                <w:u w:val="single"/>
              </w:rPr>
            </w:pPr>
            <w:hyperlink w:anchor="_70_Microsoft_Dynamics" w:history="1">
              <w:hyperlink w:anchor="_70_Microsoft_Dynamics" w:history="1">
                <w:r w:rsidRPr="004E1C79">
                  <w:rPr>
                    <w:rStyle w:val="Hyperlink"/>
                    <w:b/>
                    <w:sz w:val="13"/>
                    <w:szCs w:val="13"/>
                  </w:rPr>
                  <w:t>7</w:t>
                </w:r>
              </w:hyperlink>
              <w:r w:rsidRPr="004E1C79">
                <w:rPr>
                  <w:rStyle w:val="Hyperlink"/>
                  <w:b/>
                  <w:sz w:val="13"/>
                  <w:szCs w:val="13"/>
                </w:rPr>
                <w:t>3</w:t>
              </w:r>
            </w:hyperlink>
          </w:p>
        </w:tc>
        <w:tc>
          <w:tcPr>
            <w:tcW w:w="449"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color w:val="000000"/>
                <w:sz w:val="13"/>
              </w:rPr>
            </w:pPr>
            <w:r w:rsidRPr="00C83DF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51ED" w:rsidRDefault="00BE51ED" w:rsidP="00BE51ED">
            <w:pPr>
              <w:jc w:val="center"/>
            </w:pPr>
            <w:r w:rsidRPr="0000708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51ED" w:rsidRDefault="00BE51ED" w:rsidP="00BE51ED">
            <w:pPr>
              <w:jc w:val="center"/>
            </w:pPr>
            <w:r w:rsidRPr="00ED3114">
              <w:rPr>
                <w:rFonts w:cs="Tahoma"/>
                <w:sz w:val="13"/>
              </w:rPr>
              <w:t>A, ST</w:t>
            </w:r>
          </w:p>
        </w:tc>
        <w:tc>
          <w:tcPr>
            <w:tcW w:w="506"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r>
      <w:tr w:rsidR="00BE51ED" w:rsidRPr="00C83DF5" w:rsidTr="00BE51ED">
        <w:trPr>
          <w:trHeight w:val="145"/>
        </w:trPr>
        <w:tc>
          <w:tcPr>
            <w:tcW w:w="2546" w:type="dxa"/>
            <w:gridSpan w:val="2"/>
            <w:tcBorders>
              <w:bottom w:val="single" w:sz="4" w:space="0" w:color="auto"/>
            </w:tcBorders>
            <w:shd w:val="clear" w:color="auto" w:fill="auto"/>
            <w:vAlign w:val="center"/>
          </w:tcPr>
          <w:p w:rsidR="00BE51ED" w:rsidRPr="00C83DF5" w:rsidRDefault="00BE51ED" w:rsidP="00BE51ED">
            <w:pPr>
              <w:pStyle w:val="Heading2"/>
              <w:spacing w:beforeLines="20" w:before="48" w:afterLines="20" w:after="48"/>
              <w:ind w:left="0"/>
              <w:rPr>
                <w:rFonts w:ascii="Tahoma" w:hAnsi="Tahoma" w:cs="Tahoma"/>
                <w:b w:val="0"/>
                <w:sz w:val="14"/>
              </w:rPr>
            </w:pPr>
            <w:bookmarkStart w:id="306" w:name="_Toc370983136"/>
            <w:r w:rsidRPr="00C83DF5">
              <w:rPr>
                <w:rFonts w:ascii="Tahoma" w:hAnsi="Tahoma" w:cs="Tahoma"/>
                <w:b w:val="0"/>
                <w:sz w:val="14"/>
              </w:rPr>
              <w:t>Microsoft Dynamics CRM Online Nichtproduktionsinstanz</w:t>
            </w:r>
            <w:bookmarkEnd w:id="306"/>
          </w:p>
        </w:tc>
        <w:tc>
          <w:tcPr>
            <w:tcW w:w="414" w:type="dxa"/>
            <w:tcBorders>
              <w:bottom w:val="single" w:sz="4" w:space="0" w:color="auto"/>
            </w:tcBorders>
            <w:shd w:val="clear" w:color="auto" w:fill="auto"/>
            <w:vAlign w:val="center"/>
          </w:tcPr>
          <w:p w:rsidR="00BE51ED" w:rsidRPr="00C83DF5" w:rsidRDefault="00BE51ED" w:rsidP="00BE51ED">
            <w:pPr>
              <w:pStyle w:val="TableText"/>
              <w:widowControl w:val="0"/>
              <w:rPr>
                <w:rStyle w:val="EndnoteReference"/>
                <w:b w:val="0"/>
                <w:color w:val="0000FF"/>
                <w:sz w:val="13"/>
                <w:szCs w:val="13"/>
                <w:u w:val="single"/>
              </w:rPr>
            </w:pPr>
            <w:hyperlink w:anchor="_70_Microsoft_Dynamics" w:history="1">
              <w:hyperlink w:anchor="_70_Microsoft_Dynamics" w:history="1">
                <w:r w:rsidRPr="004E1C79">
                  <w:rPr>
                    <w:rStyle w:val="Hyperlink"/>
                    <w:b/>
                    <w:sz w:val="13"/>
                    <w:szCs w:val="13"/>
                  </w:rPr>
                  <w:t>7</w:t>
                </w:r>
              </w:hyperlink>
              <w:r w:rsidRPr="004E1C79">
                <w:rPr>
                  <w:rStyle w:val="Hyperlink"/>
                  <w:b/>
                  <w:sz w:val="13"/>
                  <w:szCs w:val="13"/>
                </w:rPr>
                <w:t>3</w:t>
              </w:r>
            </w:hyperlink>
          </w:p>
        </w:tc>
        <w:tc>
          <w:tcPr>
            <w:tcW w:w="449"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color w:val="000000"/>
                <w:sz w:val="13"/>
              </w:rPr>
            </w:pPr>
            <w:r w:rsidRPr="00C83DF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51ED" w:rsidRDefault="00BE51ED" w:rsidP="00BE51ED">
            <w:pPr>
              <w:jc w:val="center"/>
            </w:pPr>
            <w:r w:rsidRPr="0000708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51ED" w:rsidRDefault="00BE51ED" w:rsidP="00BE51ED">
            <w:pPr>
              <w:jc w:val="center"/>
            </w:pPr>
            <w:r w:rsidRPr="00ED3114">
              <w:rPr>
                <w:rFonts w:cs="Tahoma"/>
                <w:sz w:val="13"/>
              </w:rPr>
              <w:t>A, ST</w:t>
            </w:r>
          </w:p>
        </w:tc>
        <w:tc>
          <w:tcPr>
            <w:tcW w:w="506"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84" w:type="dxa"/>
            <w:tcBorders>
              <w:bottom w:val="single" w:sz="4" w:space="0" w:color="auto"/>
            </w:tcBorders>
            <w:vAlign w:val="center"/>
          </w:tcPr>
          <w:p w:rsidR="00BE51ED" w:rsidRPr="00C83DF5" w:rsidRDefault="00BE51ED" w:rsidP="00BE51ED">
            <w:pPr>
              <w:pStyle w:val="TableText"/>
              <w:widowControl w:val="0"/>
              <w:rPr>
                <w:rFonts w:ascii="Tahoma" w:hAnsi="Tahoma" w:cs="Tahoma"/>
                <w:sz w:val="13"/>
              </w:rPr>
            </w:pPr>
          </w:p>
        </w:tc>
      </w:tr>
      <w:tr w:rsidR="00BE51ED" w:rsidRPr="00C83DF5" w:rsidTr="00BE51ED">
        <w:trPr>
          <w:trHeight w:val="145"/>
        </w:trPr>
        <w:tc>
          <w:tcPr>
            <w:tcW w:w="2546" w:type="dxa"/>
            <w:gridSpan w:val="2"/>
            <w:tcBorders>
              <w:bottom w:val="single" w:sz="4" w:space="0" w:color="auto"/>
            </w:tcBorders>
            <w:shd w:val="clear" w:color="auto" w:fill="FABF8F"/>
            <w:vAlign w:val="center"/>
          </w:tcPr>
          <w:p w:rsidR="00BE51ED" w:rsidRPr="00C83DF5" w:rsidRDefault="00BE51ED" w:rsidP="00BE51ED">
            <w:pPr>
              <w:pStyle w:val="Heading2"/>
              <w:spacing w:beforeLines="20" w:before="48" w:afterLines="20" w:after="48"/>
              <w:ind w:left="0"/>
              <w:rPr>
                <w:rFonts w:ascii="Tahoma" w:hAnsi="Tahoma" w:cs="Tahoma"/>
                <w:b w:val="0"/>
                <w:sz w:val="14"/>
              </w:rPr>
            </w:pPr>
            <w:bookmarkStart w:id="307" w:name="_Toc370983137"/>
            <w:r w:rsidRPr="00C83DF5">
              <w:rPr>
                <w:rFonts w:ascii="Tahoma" w:hAnsi="Tahoma" w:cs="Tahoma"/>
                <w:b w:val="0"/>
                <w:sz w:val="14"/>
              </w:rPr>
              <w:t>Microsoft Dynamics CRM Online Produktionsinstanz</w:t>
            </w:r>
            <w:bookmarkEnd w:id="307"/>
          </w:p>
        </w:tc>
        <w:tc>
          <w:tcPr>
            <w:tcW w:w="414" w:type="dxa"/>
            <w:tcBorders>
              <w:bottom w:val="single" w:sz="4" w:space="0" w:color="auto"/>
            </w:tcBorders>
            <w:shd w:val="clear" w:color="auto" w:fill="FABF8F"/>
            <w:vAlign w:val="center"/>
          </w:tcPr>
          <w:p w:rsidR="00BE51ED" w:rsidRPr="00C83DF5" w:rsidRDefault="00BE51ED" w:rsidP="00BE51ED">
            <w:pPr>
              <w:pStyle w:val="TableText"/>
              <w:widowControl w:val="0"/>
              <w:rPr>
                <w:rStyle w:val="EndnoteReference"/>
                <w:b w:val="0"/>
                <w:color w:val="0000FF"/>
                <w:sz w:val="13"/>
                <w:szCs w:val="13"/>
                <w:u w:val="single"/>
              </w:rPr>
            </w:pPr>
            <w:hyperlink w:anchor="_70_Microsoft_Dynamics" w:history="1">
              <w:hyperlink w:anchor="_70_Microsoft_Dynamics" w:history="1">
                <w:r w:rsidRPr="004E1C79">
                  <w:rPr>
                    <w:rStyle w:val="Hyperlink"/>
                    <w:b/>
                    <w:sz w:val="13"/>
                    <w:szCs w:val="13"/>
                  </w:rPr>
                  <w:t>7</w:t>
                </w:r>
              </w:hyperlink>
              <w:r w:rsidRPr="004E1C79">
                <w:rPr>
                  <w:rStyle w:val="Hyperlink"/>
                  <w:b/>
                  <w:sz w:val="13"/>
                  <w:szCs w:val="13"/>
                </w:rPr>
                <w:t>3</w:t>
              </w:r>
            </w:hyperlink>
          </w:p>
        </w:tc>
        <w:tc>
          <w:tcPr>
            <w:tcW w:w="449"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color w:val="000000"/>
                <w:sz w:val="13"/>
              </w:rPr>
            </w:pPr>
            <w:r w:rsidRPr="00C83DF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51ED" w:rsidRDefault="00BE51ED" w:rsidP="00BE51ED">
            <w:pPr>
              <w:jc w:val="center"/>
            </w:pPr>
            <w:r w:rsidRPr="0000708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51ED" w:rsidRDefault="00BE51ED" w:rsidP="00BE51ED">
            <w:pPr>
              <w:jc w:val="center"/>
            </w:pPr>
            <w:r w:rsidRPr="00ED3114">
              <w:rPr>
                <w:rFonts w:cs="Tahoma"/>
                <w:sz w:val="13"/>
              </w:rPr>
              <w:t>A, ST</w:t>
            </w:r>
          </w:p>
        </w:tc>
        <w:tc>
          <w:tcPr>
            <w:tcW w:w="506"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r>
      <w:tr w:rsidR="00BE51ED" w:rsidRPr="00C83DF5" w:rsidTr="00BE51ED">
        <w:trPr>
          <w:trHeight w:val="145"/>
        </w:trPr>
        <w:tc>
          <w:tcPr>
            <w:tcW w:w="2546" w:type="dxa"/>
            <w:gridSpan w:val="2"/>
            <w:tcBorders>
              <w:bottom w:val="single" w:sz="4" w:space="0" w:color="auto"/>
            </w:tcBorders>
            <w:shd w:val="clear" w:color="auto" w:fill="auto"/>
            <w:vAlign w:val="center"/>
          </w:tcPr>
          <w:p w:rsidR="00BE51ED" w:rsidRPr="00C83DF5" w:rsidRDefault="00BE51ED" w:rsidP="00BE51ED">
            <w:pPr>
              <w:pStyle w:val="Heading2"/>
              <w:spacing w:beforeLines="20" w:before="48" w:afterLines="20" w:after="48"/>
              <w:ind w:left="0"/>
              <w:rPr>
                <w:rFonts w:ascii="Tahoma" w:hAnsi="Tahoma" w:cs="Tahoma"/>
                <w:b w:val="0"/>
                <w:sz w:val="14"/>
              </w:rPr>
            </w:pPr>
            <w:bookmarkStart w:id="308" w:name="_Toc370983138"/>
            <w:r w:rsidRPr="00C83DF5">
              <w:rPr>
                <w:rFonts w:ascii="Tahoma" w:hAnsi="Tahoma" w:cs="Tahoma"/>
                <w:b w:val="0"/>
                <w:sz w:val="14"/>
              </w:rPr>
              <w:t>Microsoft Dynamics CRM Online Professional</w:t>
            </w:r>
            <w:bookmarkEnd w:id="308"/>
          </w:p>
        </w:tc>
        <w:tc>
          <w:tcPr>
            <w:tcW w:w="414" w:type="dxa"/>
            <w:tcBorders>
              <w:bottom w:val="single" w:sz="4" w:space="0" w:color="auto"/>
            </w:tcBorders>
            <w:shd w:val="clear" w:color="auto" w:fill="auto"/>
            <w:vAlign w:val="center"/>
          </w:tcPr>
          <w:p w:rsidR="00BE51ED" w:rsidRPr="00C83DF5" w:rsidRDefault="00BE51ED" w:rsidP="00BE51ED">
            <w:pPr>
              <w:pStyle w:val="TableText"/>
              <w:widowControl w:val="0"/>
              <w:rPr>
                <w:rStyle w:val="EndnoteReference"/>
                <w:b w:val="0"/>
                <w:color w:val="0000FF"/>
                <w:sz w:val="13"/>
                <w:szCs w:val="13"/>
                <w:u w:val="single"/>
              </w:rPr>
            </w:pPr>
            <w:hyperlink w:anchor="_70_Microsoft_Dynamics" w:history="1">
              <w:hyperlink w:anchor="_70_Microsoft_Dynamics" w:history="1">
                <w:r w:rsidRPr="004E1C79">
                  <w:rPr>
                    <w:rStyle w:val="Hyperlink"/>
                    <w:b/>
                    <w:sz w:val="13"/>
                    <w:szCs w:val="13"/>
                  </w:rPr>
                  <w:t>7</w:t>
                </w:r>
              </w:hyperlink>
              <w:r w:rsidRPr="004E1C79">
                <w:rPr>
                  <w:rStyle w:val="Hyperlink"/>
                  <w:b/>
                  <w:sz w:val="13"/>
                  <w:szCs w:val="13"/>
                </w:rPr>
                <w:t>3</w:t>
              </w:r>
            </w:hyperlink>
          </w:p>
        </w:tc>
        <w:tc>
          <w:tcPr>
            <w:tcW w:w="449"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color w:val="000000"/>
                <w:sz w:val="13"/>
              </w:rPr>
            </w:pPr>
            <w:r w:rsidRPr="00C83DF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51ED" w:rsidRDefault="00BE51ED" w:rsidP="00BE51ED">
            <w:pPr>
              <w:jc w:val="center"/>
            </w:pPr>
            <w:r w:rsidRPr="0000708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51ED" w:rsidRDefault="00BE51ED" w:rsidP="00BE51ED">
            <w:pPr>
              <w:jc w:val="center"/>
            </w:pPr>
            <w:r w:rsidRPr="00ED3114">
              <w:rPr>
                <w:rFonts w:cs="Tahoma"/>
                <w:sz w:val="13"/>
              </w:rPr>
              <w:t>A, ST</w:t>
            </w:r>
          </w:p>
        </w:tc>
        <w:tc>
          <w:tcPr>
            <w:tcW w:w="506"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84" w:type="dxa"/>
            <w:tcBorders>
              <w:bottom w:val="single" w:sz="4" w:space="0" w:color="auto"/>
            </w:tcBorders>
            <w:vAlign w:val="center"/>
          </w:tcPr>
          <w:p w:rsidR="00BE51ED" w:rsidRPr="00C83DF5" w:rsidRDefault="00BE51ED" w:rsidP="00BE51ED">
            <w:pPr>
              <w:pStyle w:val="TableText"/>
              <w:widowControl w:val="0"/>
              <w:rPr>
                <w:rFonts w:ascii="Tahoma" w:hAnsi="Tahoma" w:cs="Tahoma"/>
                <w:sz w:val="13"/>
              </w:rPr>
            </w:pPr>
          </w:p>
        </w:tc>
      </w:tr>
      <w:tr w:rsidR="00BE51ED" w:rsidRPr="00C83DF5" w:rsidTr="00BE51ED">
        <w:trPr>
          <w:trHeight w:val="145"/>
        </w:trPr>
        <w:tc>
          <w:tcPr>
            <w:tcW w:w="2546" w:type="dxa"/>
            <w:gridSpan w:val="2"/>
            <w:tcBorders>
              <w:bottom w:val="single" w:sz="4" w:space="0" w:color="auto"/>
            </w:tcBorders>
            <w:shd w:val="clear" w:color="auto" w:fill="FABF8F"/>
            <w:vAlign w:val="center"/>
          </w:tcPr>
          <w:p w:rsidR="00BE51ED" w:rsidRPr="00C83DF5" w:rsidRDefault="00BE51ED" w:rsidP="00BE51ED">
            <w:pPr>
              <w:pStyle w:val="Heading2"/>
              <w:spacing w:beforeLines="20" w:before="48" w:afterLines="20" w:after="48"/>
              <w:ind w:left="0"/>
              <w:rPr>
                <w:rFonts w:ascii="Tahoma" w:hAnsi="Tahoma" w:cs="Tahoma"/>
                <w:b w:val="0"/>
                <w:sz w:val="14"/>
              </w:rPr>
            </w:pPr>
            <w:bookmarkStart w:id="309" w:name="_Toc370983139"/>
            <w:r w:rsidRPr="00C83DF5">
              <w:rPr>
                <w:rFonts w:ascii="Tahoma" w:hAnsi="Tahoma" w:cs="Tahoma"/>
                <w:b w:val="0"/>
                <w:sz w:val="14"/>
              </w:rPr>
              <w:lastRenderedPageBreak/>
              <w:t>Microsoft Dynamics CRM Online Professional Direct Support</w:t>
            </w:r>
            <w:bookmarkEnd w:id="309"/>
          </w:p>
        </w:tc>
        <w:tc>
          <w:tcPr>
            <w:tcW w:w="414" w:type="dxa"/>
            <w:tcBorders>
              <w:bottom w:val="single" w:sz="4" w:space="0" w:color="auto"/>
            </w:tcBorders>
            <w:shd w:val="clear" w:color="auto" w:fill="FABF8F"/>
            <w:vAlign w:val="center"/>
          </w:tcPr>
          <w:p w:rsidR="00BE51ED" w:rsidRPr="00C83DF5" w:rsidRDefault="00BE51ED" w:rsidP="00BE51ED">
            <w:pPr>
              <w:pStyle w:val="TableText"/>
              <w:widowControl w:val="0"/>
              <w:rPr>
                <w:rStyle w:val="EndnoteReference"/>
                <w:b w:val="0"/>
                <w:color w:val="0000FF"/>
                <w:sz w:val="13"/>
                <w:szCs w:val="13"/>
                <w:u w:val="single"/>
              </w:rPr>
            </w:pPr>
            <w:hyperlink w:anchor="_70_Microsoft_Dynamics" w:history="1">
              <w:hyperlink w:anchor="_70_Microsoft_Dynamics" w:history="1">
                <w:r w:rsidRPr="004E1C79">
                  <w:rPr>
                    <w:rStyle w:val="Hyperlink"/>
                    <w:b/>
                    <w:sz w:val="13"/>
                    <w:szCs w:val="13"/>
                  </w:rPr>
                  <w:t>7</w:t>
                </w:r>
              </w:hyperlink>
              <w:r w:rsidRPr="004E1C79">
                <w:rPr>
                  <w:rStyle w:val="Hyperlink"/>
                  <w:b/>
                  <w:sz w:val="13"/>
                  <w:szCs w:val="13"/>
                </w:rPr>
                <w:t>3</w:t>
              </w:r>
            </w:hyperlink>
          </w:p>
        </w:tc>
        <w:tc>
          <w:tcPr>
            <w:tcW w:w="449"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color w:val="000000"/>
                <w:sz w:val="13"/>
              </w:rPr>
            </w:pPr>
            <w:r w:rsidRPr="00C83DF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51ED" w:rsidRDefault="00BE51ED" w:rsidP="00BE51ED">
            <w:pPr>
              <w:jc w:val="center"/>
            </w:pPr>
            <w:r w:rsidRPr="0000708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51ED" w:rsidRDefault="00BE51ED" w:rsidP="00BE51ED">
            <w:pPr>
              <w:jc w:val="center"/>
            </w:pPr>
            <w:r w:rsidRPr="00ED3114">
              <w:rPr>
                <w:rFonts w:cs="Tahoma"/>
                <w:sz w:val="13"/>
              </w:rPr>
              <w:t>A, ST</w:t>
            </w:r>
          </w:p>
        </w:tc>
        <w:tc>
          <w:tcPr>
            <w:tcW w:w="506"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rsidR="00BE51ED" w:rsidRPr="00C83DF5" w:rsidRDefault="00BE51ED" w:rsidP="00BE51ED">
            <w:pPr>
              <w:pStyle w:val="TableText"/>
              <w:widowControl w:val="0"/>
              <w:rPr>
                <w:rFonts w:ascii="Tahoma" w:hAnsi="Tahoma" w:cs="Tahoma"/>
                <w:sz w:val="13"/>
              </w:rPr>
            </w:pPr>
          </w:p>
        </w:tc>
      </w:tr>
      <w:tr w:rsidR="00BE51ED" w:rsidRPr="00C83DF5" w:rsidTr="00BE51ED">
        <w:trPr>
          <w:trHeight w:val="145"/>
        </w:trPr>
        <w:tc>
          <w:tcPr>
            <w:tcW w:w="2546" w:type="dxa"/>
            <w:gridSpan w:val="2"/>
            <w:tcBorders>
              <w:bottom w:val="single" w:sz="4" w:space="0" w:color="auto"/>
            </w:tcBorders>
            <w:shd w:val="clear" w:color="auto" w:fill="auto"/>
            <w:vAlign w:val="center"/>
          </w:tcPr>
          <w:p w:rsidR="00BE51ED" w:rsidRPr="00D942DF" w:rsidRDefault="00BE51ED" w:rsidP="00BE51ED">
            <w:pPr>
              <w:pStyle w:val="Heading2"/>
              <w:spacing w:beforeLines="20" w:before="48" w:afterLines="20" w:after="48"/>
              <w:ind w:left="0"/>
              <w:rPr>
                <w:rFonts w:ascii="Tahoma" w:hAnsi="Tahoma" w:cs="Tahoma"/>
                <w:b w:val="0"/>
                <w:sz w:val="14"/>
                <w:lang w:val="de-DE"/>
              </w:rPr>
            </w:pPr>
            <w:bookmarkStart w:id="310" w:name="_Toc370983140"/>
            <w:r w:rsidRPr="00D942DF">
              <w:rPr>
                <w:rFonts w:ascii="Tahoma" w:hAnsi="Tahoma" w:cs="Tahoma"/>
                <w:b w:val="0"/>
                <w:sz w:val="14"/>
                <w:lang w:val="de-DE"/>
              </w:rPr>
              <w:t>Microsoft Dynamics CRM Online-Speicher</w:t>
            </w:r>
            <w:bookmarkEnd w:id="310"/>
          </w:p>
        </w:tc>
        <w:tc>
          <w:tcPr>
            <w:tcW w:w="414" w:type="dxa"/>
            <w:tcBorders>
              <w:bottom w:val="single" w:sz="4" w:space="0" w:color="auto"/>
            </w:tcBorders>
            <w:shd w:val="clear" w:color="auto" w:fill="auto"/>
            <w:vAlign w:val="center"/>
          </w:tcPr>
          <w:p w:rsidR="00BE51ED" w:rsidRPr="00C83DF5" w:rsidRDefault="00BE51ED" w:rsidP="00BE51ED">
            <w:pPr>
              <w:pStyle w:val="TableText"/>
              <w:widowControl w:val="0"/>
              <w:rPr>
                <w:rStyle w:val="EndnoteReference"/>
                <w:b w:val="0"/>
                <w:color w:val="0000FF"/>
                <w:sz w:val="13"/>
                <w:szCs w:val="13"/>
                <w:u w:val="single"/>
              </w:rPr>
            </w:pPr>
            <w:hyperlink w:anchor="_70_Microsoft_Dynamics" w:history="1">
              <w:hyperlink w:anchor="_70_Microsoft_Dynamics" w:history="1">
                <w:r w:rsidRPr="004E1C79">
                  <w:rPr>
                    <w:rStyle w:val="Hyperlink"/>
                    <w:b/>
                    <w:sz w:val="13"/>
                    <w:szCs w:val="13"/>
                  </w:rPr>
                  <w:t>7</w:t>
                </w:r>
              </w:hyperlink>
              <w:r w:rsidRPr="004E1C79">
                <w:rPr>
                  <w:rStyle w:val="Hyperlink"/>
                  <w:b/>
                  <w:sz w:val="13"/>
                  <w:szCs w:val="13"/>
                </w:rPr>
                <w:t>3</w:t>
              </w:r>
            </w:hyperlink>
          </w:p>
        </w:tc>
        <w:tc>
          <w:tcPr>
            <w:tcW w:w="449"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color w:val="000000"/>
                <w:sz w:val="13"/>
              </w:rPr>
            </w:pPr>
            <w:r w:rsidRPr="00C83DF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51ED" w:rsidRDefault="00BE51ED" w:rsidP="00BE51ED">
            <w:pPr>
              <w:jc w:val="center"/>
            </w:pPr>
            <w:r w:rsidRPr="0000708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51ED" w:rsidRDefault="00BE51ED" w:rsidP="00BE51ED">
            <w:pPr>
              <w:jc w:val="center"/>
            </w:pPr>
            <w:r w:rsidRPr="00ED3114">
              <w:rPr>
                <w:rFonts w:cs="Tahoma"/>
                <w:sz w:val="13"/>
              </w:rPr>
              <w:t>A, ST</w:t>
            </w:r>
          </w:p>
        </w:tc>
        <w:tc>
          <w:tcPr>
            <w:tcW w:w="506" w:type="dxa"/>
            <w:tcBorders>
              <w:bottom w:val="single" w:sz="4" w:space="0" w:color="auto"/>
            </w:tcBorders>
            <w:shd w:val="clear" w:color="auto" w:fill="auto"/>
            <w:vAlign w:val="center"/>
          </w:tcPr>
          <w:p w:rsidR="00BE51ED" w:rsidRPr="00C83DF5" w:rsidRDefault="00BE51ED" w:rsidP="00BE51ED">
            <w:pPr>
              <w:pStyle w:val="TableText"/>
              <w:widowControl w:val="0"/>
              <w:rPr>
                <w:rFonts w:ascii="Tahoma" w:hAnsi="Tahoma" w:cs="Tahoma"/>
                <w:sz w:val="13"/>
              </w:rPr>
            </w:pPr>
          </w:p>
        </w:tc>
        <w:tc>
          <w:tcPr>
            <w:tcW w:w="484" w:type="dxa"/>
            <w:tcBorders>
              <w:bottom w:val="single" w:sz="4" w:space="0" w:color="auto"/>
            </w:tcBorders>
            <w:vAlign w:val="center"/>
          </w:tcPr>
          <w:p w:rsidR="00BE51ED" w:rsidRPr="00C83DF5" w:rsidRDefault="00BE51ED" w:rsidP="00BE51ED">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FC0808">
            <w:pPr>
              <w:pStyle w:val="ProductNames"/>
              <w:rPr>
                <w:rFonts w:ascii="Tahoma" w:hAnsi="Tahoma" w:cs="Tahoma"/>
                <w:position w:val="0"/>
                <w:sz w:val="14"/>
              </w:rPr>
            </w:pPr>
            <w:bookmarkStart w:id="311" w:name="_Toc370983141"/>
            <w:r w:rsidRPr="00C83DF5">
              <w:rPr>
                <w:rFonts w:ascii="Tahoma" w:hAnsi="Tahoma" w:cs="Tahoma"/>
                <w:position w:val="0"/>
                <w:sz w:val="14"/>
              </w:rPr>
              <w:t>Microsoft Learning E-Reference Library (Nutzer-AL)</w:t>
            </w:r>
            <w:bookmarkEnd w:id="311"/>
          </w:p>
        </w:tc>
        <w:tc>
          <w:tcPr>
            <w:tcW w:w="414" w:type="dxa"/>
            <w:tcBorders>
              <w:bottom w:val="single" w:sz="4" w:space="0" w:color="auto"/>
            </w:tcBorders>
            <w:shd w:val="clear" w:color="auto" w:fill="FABF8F"/>
            <w:vAlign w:val="center"/>
          </w:tcPr>
          <w:p w:rsidR="00913A0A" w:rsidRPr="00C83DF5" w:rsidRDefault="00913A0A" w:rsidP="00FC0808">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ABF8F"/>
          </w:tcPr>
          <w:p w:rsidR="00913A0A" w:rsidRPr="00C83DF5" w:rsidRDefault="00913A0A" w:rsidP="00FC0808">
            <w:pPr>
              <w:pStyle w:val="TableText"/>
              <w:widowControl w:val="0"/>
              <w:spacing w:before="80"/>
              <w:rPr>
                <w:rFonts w:ascii="Tahoma" w:hAnsi="Tahoma" w:cs="Tahoma"/>
                <w:sz w:val="13"/>
              </w:rPr>
            </w:pPr>
            <w:r w:rsidRPr="00C83DF5">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FC0808">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FC0808">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bottom"/>
          </w:tcPr>
          <w:p w:rsidR="00913A0A" w:rsidRPr="00C83DF5" w:rsidRDefault="00913A0A" w:rsidP="00FC0808">
            <w:pPr>
              <w:pStyle w:val="ProductNames"/>
              <w:rPr>
                <w:rFonts w:ascii="Tahoma" w:hAnsi="Tahoma" w:cs="Tahoma"/>
                <w:position w:val="0"/>
                <w:sz w:val="14"/>
              </w:rPr>
            </w:pPr>
            <w:bookmarkStart w:id="312" w:name="_Toc370983142"/>
            <w:r w:rsidRPr="00C83DF5">
              <w:rPr>
                <w:rFonts w:ascii="Tahoma" w:hAnsi="Tahoma" w:cs="Tahoma"/>
                <w:position w:val="0"/>
                <w:sz w:val="14"/>
              </w:rPr>
              <w:t>Microsoft Learning IT Academy (Dienste-AL)</w:t>
            </w:r>
            <w:bookmarkEnd w:id="312"/>
          </w:p>
        </w:tc>
        <w:tc>
          <w:tcPr>
            <w:tcW w:w="414" w:type="dxa"/>
            <w:tcBorders>
              <w:bottom w:val="single" w:sz="4" w:space="0" w:color="auto"/>
            </w:tcBorders>
            <w:shd w:val="clear" w:color="auto" w:fill="auto"/>
            <w:vAlign w:val="center"/>
          </w:tcPr>
          <w:p w:rsidR="00913A0A" w:rsidRPr="00C83DF5" w:rsidRDefault="00913A0A" w:rsidP="00FC0808">
            <w:pPr>
              <w:pStyle w:val="TableText"/>
              <w:widowControl w:val="0"/>
              <w:rPr>
                <w:b/>
                <w:color w:val="000000"/>
                <w:sz w:val="13"/>
                <w:szCs w:val="13"/>
                <w:u w:val="single"/>
              </w:rPr>
            </w:pPr>
          </w:p>
        </w:tc>
        <w:tc>
          <w:tcPr>
            <w:tcW w:w="449" w:type="dxa"/>
            <w:tcBorders>
              <w:bottom w:val="single" w:sz="4" w:space="0" w:color="auto"/>
            </w:tcBorders>
            <w:shd w:val="clear" w:color="auto" w:fill="auto"/>
          </w:tcPr>
          <w:p w:rsidR="00913A0A" w:rsidRPr="00C83DF5" w:rsidRDefault="00913A0A" w:rsidP="00FC0808">
            <w:pPr>
              <w:pStyle w:val="TableText"/>
              <w:widowControl w:val="0"/>
              <w:spacing w:before="80"/>
              <w:rPr>
                <w:rFonts w:ascii="Tahoma" w:hAnsi="Tahoma" w:cs="Tahoma"/>
                <w:sz w:val="13"/>
              </w:rPr>
            </w:pPr>
            <w:r w:rsidRPr="00C83DF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FC0808">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tcPr>
          <w:p w:rsidR="00913A0A" w:rsidRPr="00C83DF5" w:rsidRDefault="00913A0A" w:rsidP="00FC0808">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bottom"/>
          </w:tcPr>
          <w:p w:rsidR="00913A0A" w:rsidRPr="00C83DF5" w:rsidRDefault="00913A0A" w:rsidP="00FC0808">
            <w:pPr>
              <w:pStyle w:val="ProductNames"/>
              <w:rPr>
                <w:rFonts w:ascii="Tahoma" w:hAnsi="Tahoma" w:cs="Tahoma"/>
                <w:position w:val="0"/>
                <w:sz w:val="14"/>
                <w:lang w:val="de-DE"/>
              </w:rPr>
            </w:pPr>
            <w:bookmarkStart w:id="313" w:name="_Toc370983143"/>
            <w:r w:rsidRPr="00C83DF5">
              <w:rPr>
                <w:rFonts w:ascii="Tahoma" w:hAnsi="Tahoma" w:cs="Tahoma"/>
                <w:position w:val="0"/>
                <w:sz w:val="14"/>
                <w:lang w:val="de-DE"/>
              </w:rPr>
              <w:t>Microsoft Learning MCP 1 Prüfungsgutscheine (Dienste-AL)</w:t>
            </w:r>
            <w:bookmarkEnd w:id="313"/>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rStyle w:val="EndnoteReference"/>
                <w:b w:val="0"/>
                <w:color w:val="000000"/>
                <w:sz w:val="13"/>
                <w:szCs w:val="13"/>
                <w:u w:val="single"/>
              </w:rPr>
            </w:pPr>
            <w:hyperlink w:anchor="_74_Microsoft_Learning" w:history="1">
              <w:r w:rsidR="00913A0A" w:rsidRPr="004300F7">
                <w:rPr>
                  <w:rStyle w:val="Hyperlink"/>
                  <w:b/>
                  <w:sz w:val="13"/>
                  <w:szCs w:val="13"/>
                </w:rPr>
                <w:t>74</w:t>
              </w:r>
            </w:hyperlink>
            <w:hyperlink w:anchor="_69_Learning_Solutions" w:history="1">
              <w:hyperlink w:anchor="_64_62_Learning" w:history="1"/>
            </w:hyperlink>
          </w:p>
        </w:tc>
        <w:tc>
          <w:tcPr>
            <w:tcW w:w="449" w:type="dxa"/>
            <w:tcBorders>
              <w:bottom w:val="single" w:sz="4" w:space="0" w:color="auto"/>
            </w:tcBorders>
            <w:shd w:val="clear" w:color="auto" w:fill="FABF8F"/>
          </w:tcPr>
          <w:p w:rsidR="00913A0A" w:rsidRPr="00C83DF5" w:rsidRDefault="00913A0A" w:rsidP="00FC0808">
            <w:pPr>
              <w:pStyle w:val="TableText"/>
              <w:widowControl w:val="0"/>
              <w:spacing w:before="80"/>
              <w:rPr>
                <w:rFonts w:ascii="Tahoma" w:hAnsi="Tahoma" w:cs="Tahoma"/>
                <w:sz w:val="13"/>
              </w:rPr>
            </w:pPr>
            <w:r w:rsidRPr="00C83DF5">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FC0808">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bottom"/>
          </w:tcPr>
          <w:p w:rsidR="00913A0A" w:rsidRPr="00C83DF5" w:rsidRDefault="00913A0A" w:rsidP="00FC0808">
            <w:pPr>
              <w:pStyle w:val="ProductNames"/>
              <w:rPr>
                <w:rFonts w:ascii="Tahoma" w:hAnsi="Tahoma" w:cs="Tahoma"/>
                <w:position w:val="0"/>
                <w:sz w:val="14"/>
                <w:lang w:val="de-DE"/>
              </w:rPr>
            </w:pPr>
            <w:bookmarkStart w:id="314" w:name="_Toc370983144"/>
            <w:r w:rsidRPr="00C83DF5">
              <w:rPr>
                <w:rFonts w:ascii="Tahoma" w:hAnsi="Tahoma" w:cs="Tahoma"/>
                <w:position w:val="0"/>
                <w:sz w:val="14"/>
                <w:lang w:val="de-DE"/>
              </w:rPr>
              <w:t>Microsoft Learning MCP 30 Prüfungsgutscheine (Nutzer-AL)</w:t>
            </w:r>
            <w:bookmarkEnd w:id="314"/>
          </w:p>
        </w:tc>
        <w:tc>
          <w:tcPr>
            <w:tcW w:w="414" w:type="dxa"/>
            <w:tcBorders>
              <w:bottom w:val="single" w:sz="4" w:space="0" w:color="auto"/>
            </w:tcBorders>
            <w:shd w:val="clear" w:color="auto" w:fill="auto"/>
            <w:vAlign w:val="center"/>
          </w:tcPr>
          <w:p w:rsidR="00913A0A" w:rsidRPr="00C83DF5" w:rsidRDefault="00913A0A" w:rsidP="00FC0808">
            <w:pPr>
              <w:pStyle w:val="TableText"/>
              <w:widowControl w:val="0"/>
              <w:rPr>
                <w:b/>
                <w:sz w:val="13"/>
                <w:szCs w:val="13"/>
                <w:lang w:val="de-DE"/>
              </w:rPr>
            </w:pPr>
          </w:p>
        </w:tc>
        <w:tc>
          <w:tcPr>
            <w:tcW w:w="449" w:type="dxa"/>
            <w:tcBorders>
              <w:bottom w:val="single" w:sz="4" w:space="0" w:color="auto"/>
            </w:tcBorders>
            <w:shd w:val="clear" w:color="auto" w:fill="auto"/>
          </w:tcPr>
          <w:p w:rsidR="00913A0A" w:rsidRPr="00C83DF5" w:rsidRDefault="00913A0A" w:rsidP="00FC0808">
            <w:pPr>
              <w:pStyle w:val="TableText"/>
              <w:widowControl w:val="0"/>
              <w:spacing w:before="80"/>
              <w:rPr>
                <w:rFonts w:ascii="Tahoma" w:hAnsi="Tahoma" w:cs="Tahoma"/>
                <w:sz w:val="13"/>
              </w:rPr>
            </w:pPr>
            <w:r w:rsidRPr="00C83DF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FC0808">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tcPr>
          <w:p w:rsidR="00913A0A" w:rsidRPr="00C83DF5" w:rsidRDefault="00913A0A" w:rsidP="00FC0808">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bottom"/>
          </w:tcPr>
          <w:p w:rsidR="00913A0A" w:rsidRPr="00C83DF5" w:rsidRDefault="00913A0A" w:rsidP="00FC0808">
            <w:pPr>
              <w:pStyle w:val="ProductNames"/>
              <w:rPr>
                <w:rFonts w:ascii="Tahoma" w:hAnsi="Tahoma" w:cs="Tahoma"/>
                <w:position w:val="0"/>
                <w:sz w:val="14"/>
              </w:rPr>
            </w:pPr>
            <w:bookmarkStart w:id="315" w:name="_Toc370983145"/>
            <w:r w:rsidRPr="00C83DF5">
              <w:rPr>
                <w:rFonts w:ascii="Tahoma" w:hAnsi="Tahoma" w:cs="Tahoma"/>
                <w:position w:val="0"/>
                <w:sz w:val="14"/>
              </w:rPr>
              <w:t>Microsoft Learning MOS 500 Exam Site License (Dienste-AL)</w:t>
            </w:r>
            <w:bookmarkEnd w:id="315"/>
          </w:p>
        </w:tc>
        <w:tc>
          <w:tcPr>
            <w:tcW w:w="414" w:type="dxa"/>
            <w:tcBorders>
              <w:bottom w:val="single" w:sz="4" w:space="0" w:color="auto"/>
            </w:tcBorders>
            <w:shd w:val="clear" w:color="auto" w:fill="FABF8F"/>
            <w:vAlign w:val="center"/>
          </w:tcPr>
          <w:p w:rsidR="00913A0A" w:rsidRPr="00C83DF5" w:rsidRDefault="00913A0A" w:rsidP="00FC0808">
            <w:pPr>
              <w:pStyle w:val="TableText"/>
              <w:widowControl w:val="0"/>
              <w:rPr>
                <w:b/>
                <w:sz w:val="13"/>
                <w:szCs w:val="13"/>
              </w:rPr>
            </w:pPr>
          </w:p>
        </w:tc>
        <w:tc>
          <w:tcPr>
            <w:tcW w:w="449" w:type="dxa"/>
            <w:tcBorders>
              <w:bottom w:val="single" w:sz="4" w:space="0" w:color="auto"/>
            </w:tcBorders>
            <w:shd w:val="clear" w:color="auto" w:fill="FABF8F"/>
          </w:tcPr>
          <w:p w:rsidR="00913A0A" w:rsidRPr="00C83DF5" w:rsidRDefault="00913A0A" w:rsidP="00FC0808">
            <w:pPr>
              <w:pStyle w:val="TableText"/>
              <w:widowControl w:val="0"/>
              <w:spacing w:before="8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125 Punkte</w:t>
            </w:r>
          </w:p>
        </w:tc>
        <w:tc>
          <w:tcPr>
            <w:tcW w:w="450" w:type="dxa"/>
            <w:tcBorders>
              <w:left w:val="single" w:sz="18" w:space="0" w:color="auto"/>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FC0808">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FC0808">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bottom"/>
          </w:tcPr>
          <w:p w:rsidR="00913A0A" w:rsidRPr="00C83DF5" w:rsidRDefault="00913A0A" w:rsidP="00FC0808">
            <w:pPr>
              <w:pStyle w:val="ProductNames"/>
              <w:rPr>
                <w:rFonts w:ascii="Tahoma" w:hAnsi="Tahoma" w:cs="Tahoma"/>
                <w:position w:val="0"/>
                <w:sz w:val="14"/>
              </w:rPr>
            </w:pPr>
            <w:bookmarkStart w:id="316" w:name="_Toc370983146"/>
            <w:r w:rsidRPr="00C83DF5">
              <w:rPr>
                <w:rFonts w:ascii="Tahoma" w:hAnsi="Tahoma" w:cs="Tahoma"/>
                <w:position w:val="0"/>
                <w:sz w:val="14"/>
              </w:rPr>
              <w:t>Microsoft Learning MTA 250 Exam Site License (Dienste-AL)</w:t>
            </w:r>
            <w:bookmarkEnd w:id="316"/>
          </w:p>
        </w:tc>
        <w:tc>
          <w:tcPr>
            <w:tcW w:w="414" w:type="dxa"/>
            <w:tcBorders>
              <w:bottom w:val="single" w:sz="4" w:space="0" w:color="auto"/>
            </w:tcBorders>
            <w:shd w:val="clear" w:color="auto" w:fill="auto"/>
            <w:vAlign w:val="center"/>
          </w:tcPr>
          <w:p w:rsidR="00913A0A" w:rsidRPr="00C83DF5" w:rsidRDefault="00913A0A" w:rsidP="00FC0808">
            <w:pPr>
              <w:pStyle w:val="TableText"/>
              <w:widowControl w:val="0"/>
              <w:rPr>
                <w:b/>
                <w:sz w:val="13"/>
                <w:szCs w:val="13"/>
              </w:rPr>
            </w:pPr>
          </w:p>
        </w:tc>
        <w:tc>
          <w:tcPr>
            <w:tcW w:w="449" w:type="dxa"/>
            <w:tcBorders>
              <w:bottom w:val="single" w:sz="4" w:space="0" w:color="auto"/>
            </w:tcBorders>
            <w:shd w:val="clear" w:color="auto" w:fill="auto"/>
          </w:tcPr>
          <w:p w:rsidR="00913A0A" w:rsidRPr="00C83DF5" w:rsidRDefault="00913A0A" w:rsidP="00FC0808">
            <w:pPr>
              <w:pStyle w:val="TableText"/>
              <w:widowControl w:val="0"/>
              <w:spacing w:before="80"/>
              <w:rPr>
                <w:rFonts w:ascii="Tahoma" w:hAnsi="Tahoma" w:cs="Tahoma"/>
                <w:sz w:val="13"/>
              </w:rPr>
            </w:pPr>
            <w:r w:rsidRPr="00C83DF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r w:rsidRPr="00C83DF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FC0808">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FC0808">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FC0808">
            <w:pPr>
              <w:pStyle w:val="TableText"/>
              <w:widowControl w:val="0"/>
              <w:rPr>
                <w:rFonts w:ascii="Tahoma" w:hAnsi="Tahoma" w:cs="Tahoma"/>
                <w:sz w:val="13"/>
              </w:rPr>
            </w:pPr>
          </w:p>
        </w:tc>
      </w:tr>
      <w:tr w:rsidR="008A0F85" w:rsidRPr="00C83DF5" w:rsidDel="00436016"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ind w:left="-15" w:firstLine="15"/>
              <w:rPr>
                <w:rFonts w:ascii="Tahoma" w:hAnsi="Tahoma" w:cs="Tahoma"/>
                <w:b w:val="0"/>
                <w:sz w:val="14"/>
                <w:szCs w:val="14"/>
              </w:rPr>
            </w:pPr>
            <w:bookmarkStart w:id="317" w:name="_Toc370983147"/>
            <w:r w:rsidRPr="00C83DF5">
              <w:rPr>
                <w:rFonts w:ascii="Tahoma" w:hAnsi="Tahoma" w:cs="Tahoma"/>
                <w:b w:val="0"/>
                <w:sz w:val="14"/>
                <w:szCs w:val="14"/>
              </w:rPr>
              <w:t>Microsoft Office Audit and Control Management Server</w:t>
            </w:r>
            <w:bookmarkEnd w:id="317"/>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C3A4A">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75</w:t>
            </w:r>
          </w:p>
        </w:tc>
        <w:tc>
          <w:tcPr>
            <w:tcW w:w="455" w:type="dxa"/>
            <w:gridSpan w:val="2"/>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913A0A" w:rsidRPr="00C83DF5" w:rsidRDefault="00913A0A" w:rsidP="005D3476">
            <w:pPr>
              <w:pStyle w:val="TableText"/>
              <w:widowControl w:val="0"/>
              <w:spacing w:before="120" w:after="10"/>
              <w:rPr>
                <w:rFonts w:ascii="Tahoma" w:hAnsi="Tahoma" w:cs="Tahoma"/>
                <w:sz w:val="13"/>
              </w:rPr>
            </w:pPr>
            <w:r w:rsidRPr="00C83DF5">
              <w:rPr>
                <w:rFonts w:ascii="Tahoma" w:hAnsi="Tahoma" w:cs="Tahoma"/>
                <w:sz w:val="13"/>
              </w:rPr>
              <w:t>A (nur EES)</w:t>
            </w:r>
          </w:p>
        </w:tc>
        <w:tc>
          <w:tcPr>
            <w:tcW w:w="506" w:type="dxa"/>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Del="00436016"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Del="00436016"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ind w:left="-15" w:firstLine="15"/>
              <w:rPr>
                <w:rFonts w:ascii="Tahoma" w:hAnsi="Tahoma" w:cs="Tahoma"/>
                <w:b w:val="0"/>
                <w:sz w:val="14"/>
                <w:szCs w:val="16"/>
              </w:rPr>
            </w:pPr>
            <w:bookmarkStart w:id="318" w:name="_Toc336338023"/>
            <w:bookmarkStart w:id="319" w:name="_Toc370983148"/>
            <w:r w:rsidRPr="00C83DF5">
              <w:rPr>
                <w:rFonts w:ascii="Tahoma" w:hAnsi="Tahoma" w:cs="Tahoma"/>
                <w:b w:val="0"/>
                <w:sz w:val="14"/>
                <w:szCs w:val="14"/>
              </w:rPr>
              <w:t>Microsoft Translator API</w:t>
            </w:r>
            <w:bookmarkEnd w:id="318"/>
            <w:bookmarkEnd w:id="319"/>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Del="00436016"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Del="00436016"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ind w:left="-15" w:firstLine="15"/>
              <w:rPr>
                <w:rFonts w:ascii="Tahoma" w:hAnsi="Tahoma" w:cs="Tahoma"/>
                <w:b w:val="0"/>
                <w:sz w:val="14"/>
                <w:szCs w:val="14"/>
              </w:rPr>
            </w:pPr>
            <w:bookmarkStart w:id="320" w:name="_Toc370983149"/>
            <w:r w:rsidRPr="00C83DF5">
              <w:rPr>
                <w:rFonts w:ascii="Tahoma" w:hAnsi="Tahoma" w:cs="Tahoma"/>
                <w:b w:val="0"/>
                <w:sz w:val="14"/>
                <w:szCs w:val="14"/>
              </w:rPr>
              <w:t>Office 365 Midsize Business (Nutzer-AL)</w:t>
            </w:r>
            <w:bookmarkEnd w:id="320"/>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b/>
                <w:color w:val="0000FF"/>
                <w:sz w:val="13"/>
                <w:szCs w:val="13"/>
                <w:u w:val="singl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Del="00436016"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ind w:left="-15" w:firstLine="15"/>
              <w:rPr>
                <w:rFonts w:ascii="Tahoma" w:hAnsi="Tahoma" w:cs="Tahoma"/>
                <w:b w:val="0"/>
                <w:sz w:val="14"/>
                <w:szCs w:val="16"/>
              </w:rPr>
            </w:pPr>
            <w:bookmarkStart w:id="321" w:name="_Toc336338024"/>
            <w:bookmarkStart w:id="322" w:name="_Toc370983150"/>
            <w:r w:rsidRPr="00C83DF5">
              <w:rPr>
                <w:rFonts w:ascii="Tahoma" w:hAnsi="Tahoma" w:cs="Tahoma"/>
                <w:b w:val="0"/>
                <w:sz w:val="14"/>
                <w:szCs w:val="16"/>
              </w:rPr>
              <w:t>Office 365 Education A2 (Nutzer-AL)</w:t>
            </w:r>
            <w:bookmarkEnd w:id="321"/>
            <w:bookmarkEnd w:id="322"/>
          </w:p>
        </w:tc>
        <w:tc>
          <w:tcPr>
            <w:tcW w:w="414" w:type="dxa"/>
            <w:tcBorders>
              <w:bottom w:val="single" w:sz="4" w:space="0" w:color="auto"/>
            </w:tcBorders>
            <w:shd w:val="clear" w:color="auto" w:fill="auto"/>
            <w:vAlign w:val="center"/>
          </w:tcPr>
          <w:p w:rsidR="00913A0A" w:rsidRPr="00C83DF5" w:rsidRDefault="005519A5" w:rsidP="001A63C6">
            <w:pPr>
              <w:pStyle w:val="TableText"/>
              <w:widowControl w:val="0"/>
              <w:rPr>
                <w:b/>
                <w:color w:val="0000FF"/>
                <w:sz w:val="13"/>
                <w:szCs w:val="13"/>
                <w:u w:val="single"/>
              </w:rPr>
            </w:pPr>
            <w:hyperlink w:anchor="_5_Office_365_1" w:history="1">
              <w:r w:rsidR="00CF5A3E" w:rsidRPr="00C83DF5">
                <w:rPr>
                  <w:rStyle w:val="Hyperlink"/>
                  <w:b/>
                  <w:sz w:val="13"/>
                  <w:szCs w:val="13"/>
                </w:rPr>
                <w:t>5</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Del="00436016" w:rsidRDefault="00913A0A" w:rsidP="005D3476">
            <w:pPr>
              <w:pStyle w:val="TableText"/>
              <w:widowControl w:val="0"/>
              <w:spacing w:after="10"/>
              <w:rPr>
                <w:rFonts w:ascii="Tahoma" w:hAnsi="Tahoma" w:cs="Tahoma"/>
                <w:sz w:val="13"/>
              </w:rPr>
            </w:pPr>
            <w:r w:rsidRPr="00C83DF5">
              <w:rPr>
                <w:rFonts w:ascii="Tahoma" w:hAnsi="Tahoma" w:cs="Tahoma"/>
                <w:sz w:val="13"/>
              </w:rPr>
              <w:t>A, ST (nur EES)</w:t>
            </w:r>
          </w:p>
        </w:tc>
        <w:tc>
          <w:tcPr>
            <w:tcW w:w="506" w:type="dxa"/>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Del="00436016" w:rsidRDefault="00913A0A" w:rsidP="001A63C6">
            <w:pPr>
              <w:pStyle w:val="TableText"/>
              <w:widowControl w:val="0"/>
              <w:rPr>
                <w:rFonts w:ascii="Tahoma" w:hAnsi="Tahoma" w:cs="Tahoma"/>
                <w:sz w:val="13"/>
              </w:rPr>
            </w:pPr>
          </w:p>
        </w:tc>
      </w:tr>
      <w:tr w:rsidR="008A0F85" w:rsidRPr="00C83DF5" w:rsidDel="00436016"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ind w:left="-15" w:firstLine="15"/>
              <w:rPr>
                <w:rFonts w:ascii="Tahoma" w:hAnsi="Tahoma" w:cs="Tahoma"/>
                <w:b w:val="0"/>
                <w:sz w:val="14"/>
                <w:szCs w:val="16"/>
              </w:rPr>
            </w:pPr>
            <w:bookmarkStart w:id="323" w:name="_Toc336338025"/>
            <w:bookmarkStart w:id="324" w:name="_Toc370983151"/>
            <w:r w:rsidRPr="00C83DF5">
              <w:rPr>
                <w:rFonts w:ascii="Tahoma" w:hAnsi="Tahoma" w:cs="Tahoma"/>
                <w:b w:val="0"/>
                <w:sz w:val="14"/>
                <w:szCs w:val="16"/>
              </w:rPr>
              <w:t>Office 365 Education A3 (Nutzer-AL)</w:t>
            </w:r>
            <w:bookmarkEnd w:id="323"/>
            <w:bookmarkEnd w:id="324"/>
          </w:p>
        </w:tc>
        <w:tc>
          <w:tcPr>
            <w:tcW w:w="414" w:type="dxa"/>
            <w:tcBorders>
              <w:bottom w:val="single" w:sz="4" w:space="0" w:color="auto"/>
            </w:tcBorders>
            <w:shd w:val="clear" w:color="auto" w:fill="FABF8F"/>
            <w:vAlign w:val="center"/>
          </w:tcPr>
          <w:p w:rsidR="00913A0A" w:rsidRPr="00C83DF5" w:rsidRDefault="005519A5" w:rsidP="001A63C6">
            <w:pPr>
              <w:pStyle w:val="TableText"/>
              <w:widowControl w:val="0"/>
              <w:rPr>
                <w:b/>
                <w:color w:val="0000FF"/>
                <w:sz w:val="13"/>
                <w:szCs w:val="13"/>
                <w:u w:val="single"/>
              </w:rPr>
            </w:pPr>
            <w:hyperlink w:anchor="_5_Office_365_1" w:history="1">
              <w:r w:rsidR="003D6358" w:rsidRPr="00C83DF5">
                <w:rPr>
                  <w:rStyle w:val="Hyperlink"/>
                  <w:b/>
                  <w:sz w:val="13"/>
                  <w:szCs w:val="13"/>
                </w:rPr>
                <w:t>5</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913A0A" w:rsidRPr="00C83DF5" w:rsidDel="00436016" w:rsidRDefault="00913A0A" w:rsidP="005D3476">
            <w:pPr>
              <w:pStyle w:val="TableText"/>
              <w:widowControl w:val="0"/>
              <w:spacing w:before="120" w:after="10"/>
              <w:rPr>
                <w:rFonts w:ascii="Tahoma" w:hAnsi="Tahoma" w:cs="Tahoma"/>
                <w:sz w:val="13"/>
              </w:rPr>
            </w:pPr>
            <w:r w:rsidRPr="00C83DF5">
              <w:rPr>
                <w:rFonts w:ascii="Tahoma" w:hAnsi="Tahoma" w:cs="Tahoma"/>
                <w:sz w:val="13"/>
              </w:rPr>
              <w:t xml:space="preserve">EOLS (nur EES), </w:t>
            </w:r>
          </w:p>
        </w:tc>
        <w:tc>
          <w:tcPr>
            <w:tcW w:w="506" w:type="dxa"/>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firstLine="15"/>
              <w:rPr>
                <w:rFonts w:ascii="Tahoma" w:hAnsi="Tahoma" w:cs="Tahoma"/>
                <w:b w:val="0"/>
                <w:sz w:val="14"/>
                <w:szCs w:val="16"/>
              </w:rPr>
            </w:pPr>
            <w:bookmarkStart w:id="325" w:name="_Toc336338026"/>
            <w:bookmarkStart w:id="326" w:name="_Toc370983152"/>
            <w:r w:rsidRPr="00C83DF5">
              <w:rPr>
                <w:rFonts w:ascii="Tahoma" w:hAnsi="Tahoma" w:cs="Tahoma"/>
                <w:b w:val="0"/>
                <w:sz w:val="14"/>
                <w:szCs w:val="16"/>
              </w:rPr>
              <w:t>Office 365 Education A4 (Nutzer-AL)</w:t>
            </w:r>
            <w:bookmarkEnd w:id="325"/>
            <w:bookmarkEnd w:id="326"/>
          </w:p>
        </w:tc>
        <w:tc>
          <w:tcPr>
            <w:tcW w:w="414" w:type="dxa"/>
            <w:tcBorders>
              <w:bottom w:val="single" w:sz="4" w:space="0" w:color="auto"/>
            </w:tcBorders>
            <w:shd w:val="clear" w:color="auto" w:fill="auto"/>
            <w:vAlign w:val="center"/>
          </w:tcPr>
          <w:p w:rsidR="00913A0A" w:rsidRPr="00C83DF5" w:rsidRDefault="005519A5" w:rsidP="001A63C6">
            <w:pPr>
              <w:pStyle w:val="TableText"/>
              <w:widowControl w:val="0"/>
              <w:rPr>
                <w:b/>
                <w:color w:val="0000FF"/>
                <w:sz w:val="13"/>
                <w:szCs w:val="13"/>
                <w:u w:val="single"/>
              </w:rPr>
            </w:pPr>
            <w:hyperlink w:anchor="_5_Office_365_1" w:history="1">
              <w:r w:rsidR="003D6358" w:rsidRPr="00C83DF5">
                <w:rPr>
                  <w:rStyle w:val="Hyperlink"/>
                  <w:b/>
                  <w:sz w:val="13"/>
                  <w:szCs w:val="13"/>
                </w:rPr>
                <w:t>5</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5D3476">
            <w:pPr>
              <w:pStyle w:val="TableText"/>
              <w:widowControl w:val="0"/>
              <w:spacing w:before="120" w:after="10"/>
              <w:rPr>
                <w:rFonts w:ascii="Tahoma" w:hAnsi="Tahoma" w:cs="Tahoma"/>
                <w:sz w:val="13"/>
              </w:rPr>
            </w:pPr>
            <w:r w:rsidRPr="00C83DF5">
              <w:rPr>
                <w:rFonts w:ascii="Tahoma" w:hAnsi="Tahoma" w:cs="Tahoma"/>
                <w:sz w:val="13"/>
              </w:rPr>
              <w:t>EOLS (nur EES)</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0956ED" w:rsidRPr="00C83DF5" w:rsidTr="004909D7">
        <w:trPr>
          <w:trHeight w:val="145"/>
        </w:trPr>
        <w:tc>
          <w:tcPr>
            <w:tcW w:w="2546" w:type="dxa"/>
            <w:gridSpan w:val="2"/>
            <w:tcBorders>
              <w:bottom w:val="single" w:sz="4" w:space="0" w:color="auto"/>
            </w:tcBorders>
            <w:shd w:val="clear" w:color="auto" w:fill="FABF8F"/>
            <w:vAlign w:val="center"/>
          </w:tcPr>
          <w:p w:rsidR="000956ED" w:rsidRPr="00C83DF5" w:rsidRDefault="000956ED" w:rsidP="00DE02E2">
            <w:pPr>
              <w:pStyle w:val="Heading2"/>
              <w:spacing w:beforeLines="20" w:before="48" w:afterLines="20" w:after="48"/>
              <w:ind w:left="0" w:firstLine="15"/>
              <w:rPr>
                <w:rFonts w:ascii="Tahoma" w:hAnsi="Tahoma" w:cs="Tahoma"/>
                <w:b w:val="0"/>
                <w:sz w:val="14"/>
                <w:szCs w:val="16"/>
              </w:rPr>
            </w:pPr>
            <w:bookmarkStart w:id="327" w:name="_Toc336338028"/>
            <w:bookmarkStart w:id="328" w:name="_Toc370983153"/>
            <w:r w:rsidRPr="00C83DF5">
              <w:rPr>
                <w:rFonts w:ascii="Tahoma" w:hAnsi="Tahoma" w:cs="Tahoma"/>
                <w:b w:val="0"/>
                <w:sz w:val="14"/>
                <w:szCs w:val="16"/>
              </w:rPr>
              <w:t>Office 365 Enterprise E3 (Nutzer-AL)</w:t>
            </w:r>
            <w:bookmarkEnd w:id="327"/>
            <w:bookmarkEnd w:id="328"/>
          </w:p>
        </w:tc>
        <w:tc>
          <w:tcPr>
            <w:tcW w:w="414" w:type="dxa"/>
            <w:tcBorders>
              <w:bottom w:val="single" w:sz="4" w:space="0" w:color="auto"/>
            </w:tcBorders>
            <w:shd w:val="clear" w:color="auto" w:fill="FABF8F"/>
            <w:vAlign w:val="center"/>
          </w:tcPr>
          <w:p w:rsidR="000956ED" w:rsidRPr="00C83DF5" w:rsidRDefault="005519A5" w:rsidP="00132E08">
            <w:pPr>
              <w:pStyle w:val="TableText"/>
              <w:widowControl w:val="0"/>
              <w:rPr>
                <w:b/>
                <w:color w:val="0000FF"/>
                <w:sz w:val="13"/>
                <w:szCs w:val="13"/>
                <w:u w:val="single"/>
              </w:rPr>
            </w:pPr>
            <w:hyperlink w:anchor="_7_Office_365_1" w:history="1">
              <w:r w:rsidR="00CF5A3E" w:rsidRPr="00C83DF5">
                <w:rPr>
                  <w:rStyle w:val="Hyperlink"/>
                  <w:b/>
                  <w:sz w:val="13"/>
                  <w:szCs w:val="13"/>
                </w:rPr>
                <w:t>8</w:t>
              </w:r>
            </w:hyperlink>
            <w:hyperlink w:anchor="_65_Office_365" w:history="1"/>
          </w:p>
        </w:tc>
        <w:tc>
          <w:tcPr>
            <w:tcW w:w="449" w:type="dxa"/>
            <w:tcBorders>
              <w:bottom w:val="single" w:sz="4" w:space="0" w:color="auto"/>
            </w:tcBorders>
            <w:shd w:val="clear" w:color="auto" w:fill="FABF8F"/>
          </w:tcPr>
          <w:p w:rsidR="000956ED" w:rsidRPr="00C83DF5" w:rsidRDefault="000956ED" w:rsidP="001A63C6">
            <w:pPr>
              <w:pStyle w:val="TableText"/>
              <w:widowControl w:val="0"/>
              <w:spacing w:before="120"/>
              <w:rPr>
                <w:rFonts w:ascii="Tahoma" w:hAnsi="Tahoma" w:cs="Tahoma"/>
                <w:color w:val="000000"/>
                <w:sz w:val="13"/>
              </w:rPr>
            </w:pPr>
            <w:r w:rsidRPr="00C83DF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r w:rsidRPr="00C83DF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r w:rsidRPr="00C83DF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r w:rsidRPr="00C83DF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0956ED" w:rsidRPr="00C83DF5" w:rsidRDefault="000956ED"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0956ED" w:rsidRPr="00C83DF5" w:rsidRDefault="000956ED"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tcPr>
          <w:p w:rsidR="000956ED" w:rsidRPr="00C83DF5" w:rsidRDefault="000956ED"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firstLine="15"/>
              <w:rPr>
                <w:rFonts w:ascii="Tahoma" w:hAnsi="Tahoma" w:cs="Tahoma"/>
                <w:b w:val="0"/>
                <w:sz w:val="14"/>
                <w:szCs w:val="16"/>
              </w:rPr>
            </w:pPr>
            <w:bookmarkStart w:id="329" w:name="_Toc370983154"/>
            <w:r w:rsidRPr="00C83DF5">
              <w:rPr>
                <w:rFonts w:ascii="Tahoma" w:hAnsi="Tahoma" w:cs="Tahoma"/>
                <w:b w:val="0"/>
                <w:sz w:val="14"/>
                <w:szCs w:val="16"/>
              </w:rPr>
              <w:t>Office 365 Enterprise E4 (Nutzer-AL)</w:t>
            </w:r>
            <w:bookmarkEnd w:id="329"/>
          </w:p>
        </w:tc>
        <w:tc>
          <w:tcPr>
            <w:tcW w:w="414" w:type="dxa"/>
            <w:tcBorders>
              <w:bottom w:val="single" w:sz="4" w:space="0" w:color="auto"/>
            </w:tcBorders>
            <w:shd w:val="clear" w:color="auto" w:fill="auto"/>
            <w:vAlign w:val="center"/>
          </w:tcPr>
          <w:p w:rsidR="00913A0A" w:rsidRPr="00C83DF5" w:rsidRDefault="005519A5" w:rsidP="000B5EFD">
            <w:pPr>
              <w:pStyle w:val="TableText"/>
              <w:widowControl w:val="0"/>
            </w:pPr>
            <w:hyperlink w:anchor="_7_Office_365_1" w:history="1">
              <w:r w:rsidR="003D6358" w:rsidRPr="00C83DF5">
                <w:rPr>
                  <w:rStyle w:val="Hyperlink"/>
                  <w:b/>
                  <w:sz w:val="13"/>
                  <w:szCs w:val="13"/>
                </w:rPr>
                <w:t>8</w:t>
              </w:r>
            </w:hyperlink>
          </w:p>
        </w:tc>
        <w:tc>
          <w:tcPr>
            <w:tcW w:w="449" w:type="dxa"/>
            <w:tcBorders>
              <w:bottom w:val="single" w:sz="4" w:space="0" w:color="auto"/>
            </w:tcBorders>
            <w:shd w:val="clear" w:color="auto" w:fill="auto"/>
          </w:tcPr>
          <w:p w:rsidR="00913A0A" w:rsidRPr="00C83DF5" w:rsidRDefault="00913A0A" w:rsidP="000B5EFD">
            <w:pPr>
              <w:pStyle w:val="TableText"/>
              <w:widowControl w:val="0"/>
              <w:spacing w:before="120"/>
              <w:rPr>
                <w:rFonts w:ascii="Tahoma" w:hAnsi="Tahoma" w:cs="Tahoma"/>
                <w:color w:val="000000"/>
                <w:sz w:val="13"/>
              </w:rPr>
            </w:pPr>
            <w:r w:rsidRPr="00C83DF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r w:rsidRPr="00C83DF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r w:rsidRPr="00C83DF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0B5EF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0B5EFD">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0B5EFD">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firstLine="15"/>
              <w:rPr>
                <w:rFonts w:ascii="Tahoma" w:hAnsi="Tahoma" w:cs="Tahoma"/>
                <w:b w:val="0"/>
                <w:sz w:val="14"/>
                <w:szCs w:val="16"/>
              </w:rPr>
            </w:pPr>
            <w:bookmarkStart w:id="330" w:name="_Toc370983155"/>
            <w:r w:rsidRPr="00C83DF5">
              <w:rPr>
                <w:rFonts w:ascii="Tahoma" w:hAnsi="Tahoma" w:cs="Tahoma"/>
                <w:b w:val="0"/>
                <w:sz w:val="14"/>
                <w:szCs w:val="16"/>
              </w:rPr>
              <w:t>Add-On für Office 365 Enterprise E1, E3, E4 (Nutzer-AL)</w:t>
            </w:r>
            <w:bookmarkEnd w:id="330"/>
          </w:p>
        </w:tc>
        <w:tc>
          <w:tcPr>
            <w:tcW w:w="414" w:type="dxa"/>
            <w:tcBorders>
              <w:bottom w:val="single" w:sz="4" w:space="0" w:color="auto"/>
            </w:tcBorders>
            <w:shd w:val="clear" w:color="auto" w:fill="FABF8F"/>
            <w:vAlign w:val="center"/>
          </w:tcPr>
          <w:p w:rsidR="00913A0A" w:rsidRPr="00C83DF5" w:rsidRDefault="005519A5" w:rsidP="00132E08">
            <w:pPr>
              <w:pStyle w:val="TableText"/>
              <w:widowControl w:val="0"/>
            </w:pPr>
            <w:hyperlink w:anchor="_7_Add-on_User" w:history="1">
              <w:r w:rsidR="00CF5A3E" w:rsidRPr="00C83DF5">
                <w:rPr>
                  <w:rStyle w:val="Hyperlink"/>
                </w:rPr>
                <w:t>7</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Del="00436016"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firstLine="15"/>
              <w:rPr>
                <w:rFonts w:ascii="Tahoma" w:hAnsi="Tahoma" w:cs="Tahoma"/>
                <w:b w:val="0"/>
                <w:sz w:val="14"/>
                <w:szCs w:val="16"/>
              </w:rPr>
            </w:pPr>
            <w:bookmarkStart w:id="331" w:name="_Toc370983156"/>
            <w:r w:rsidRPr="00C83DF5">
              <w:rPr>
                <w:rFonts w:ascii="Tahoma" w:hAnsi="Tahoma" w:cs="Tahoma"/>
                <w:b w:val="0"/>
                <w:sz w:val="14"/>
                <w:szCs w:val="16"/>
              </w:rPr>
              <w:t>Add-On für Office 365 Enterprise E3, E4 ohne Office Pro Plus (Nutzer-AL)</w:t>
            </w:r>
            <w:bookmarkEnd w:id="331"/>
          </w:p>
        </w:tc>
        <w:tc>
          <w:tcPr>
            <w:tcW w:w="414" w:type="dxa"/>
            <w:tcBorders>
              <w:bottom w:val="single" w:sz="4" w:space="0" w:color="auto"/>
            </w:tcBorders>
            <w:shd w:val="clear" w:color="auto" w:fill="auto"/>
            <w:vAlign w:val="center"/>
          </w:tcPr>
          <w:p w:rsidR="00913A0A" w:rsidRPr="00C83DF5" w:rsidRDefault="005519A5" w:rsidP="00132E08">
            <w:pPr>
              <w:pStyle w:val="TableText"/>
              <w:widowControl w:val="0"/>
            </w:pPr>
            <w:hyperlink w:anchor="_7_Add-on_User" w:history="1">
              <w:r w:rsidR="003D6358" w:rsidRPr="00C83DF5">
                <w:rPr>
                  <w:rStyle w:val="Hyperlink"/>
                </w:rPr>
                <w:t>7</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Del="00436016"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Del="00436016" w:rsidTr="004909D7">
        <w:trPr>
          <w:trHeight w:val="145"/>
        </w:trPr>
        <w:tc>
          <w:tcPr>
            <w:tcW w:w="2546" w:type="dxa"/>
            <w:gridSpan w:val="2"/>
            <w:tcBorders>
              <w:bottom w:val="single" w:sz="4" w:space="0" w:color="auto"/>
            </w:tcBorders>
            <w:shd w:val="clear" w:color="auto" w:fill="FABF8F"/>
            <w:vAlign w:val="center"/>
          </w:tcPr>
          <w:p w:rsidR="00913A0A" w:rsidRPr="00C83DF5" w:rsidDel="00436016" w:rsidRDefault="00913A0A" w:rsidP="00DE02E2">
            <w:pPr>
              <w:pStyle w:val="Heading2"/>
              <w:spacing w:beforeLines="20" w:before="48" w:afterLines="20" w:after="48"/>
              <w:ind w:left="0" w:firstLine="15"/>
              <w:rPr>
                <w:rFonts w:ascii="Tahoma" w:hAnsi="Tahoma" w:cs="Tahoma"/>
                <w:b w:val="0"/>
                <w:sz w:val="14"/>
                <w:szCs w:val="16"/>
                <w:lang w:val="de-DE"/>
              </w:rPr>
            </w:pPr>
            <w:bookmarkStart w:id="332" w:name="_Toc336338030"/>
            <w:bookmarkStart w:id="333" w:name="_Toc370983157"/>
            <w:r w:rsidRPr="00C83DF5">
              <w:rPr>
                <w:rFonts w:ascii="Tahoma" w:hAnsi="Tahoma" w:cs="Tahoma"/>
                <w:b w:val="0"/>
                <w:sz w:val="14"/>
                <w:szCs w:val="16"/>
                <w:lang w:val="de-DE"/>
              </w:rPr>
              <w:t>Office 365 Enterprise K1 (Nutzer-AL)</w:t>
            </w:r>
            <w:bookmarkEnd w:id="332"/>
            <w:bookmarkEnd w:id="333"/>
          </w:p>
        </w:tc>
        <w:tc>
          <w:tcPr>
            <w:tcW w:w="414" w:type="dxa"/>
            <w:tcBorders>
              <w:bottom w:val="single" w:sz="4" w:space="0" w:color="auto"/>
            </w:tcBorders>
            <w:shd w:val="clear" w:color="auto" w:fill="FABF8F"/>
            <w:vAlign w:val="center"/>
          </w:tcPr>
          <w:p w:rsidR="00913A0A" w:rsidRPr="00C83DF5" w:rsidDel="00436016" w:rsidRDefault="005519A5" w:rsidP="00907139">
            <w:pPr>
              <w:pStyle w:val="TableText"/>
              <w:widowControl w:val="0"/>
              <w:rPr>
                <w:b/>
                <w:color w:val="0000FF"/>
                <w:sz w:val="13"/>
                <w:szCs w:val="13"/>
                <w:u w:val="single"/>
              </w:rPr>
            </w:pPr>
            <w:hyperlink w:anchor="_70_68_Office" w:history="1">
              <w:r w:rsidR="00CF5A3E" w:rsidRPr="00C83DF5">
                <w:rPr>
                  <w:rStyle w:val="Hyperlink"/>
                  <w:b/>
                  <w:sz w:val="13"/>
                  <w:szCs w:val="13"/>
                </w:rPr>
                <w:t>75</w:t>
              </w:r>
            </w:hyperlink>
            <w:hyperlink w:anchor="_69_Office_365_1" w:history="1"/>
          </w:p>
        </w:tc>
        <w:tc>
          <w:tcPr>
            <w:tcW w:w="449" w:type="dxa"/>
            <w:tcBorders>
              <w:bottom w:val="single" w:sz="4" w:space="0" w:color="auto"/>
            </w:tcBorders>
            <w:shd w:val="clear" w:color="auto" w:fill="FABF8F"/>
          </w:tcPr>
          <w:p w:rsidR="00913A0A" w:rsidRPr="00C83DF5" w:rsidDel="00436016"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Del="00436016"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Del="00436016" w:rsidTr="004909D7">
        <w:trPr>
          <w:trHeight w:val="145"/>
        </w:trPr>
        <w:tc>
          <w:tcPr>
            <w:tcW w:w="25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RDefault="00913A0A" w:rsidP="00DE02E2">
            <w:pPr>
              <w:pStyle w:val="Heading2"/>
              <w:spacing w:beforeLines="20" w:before="48" w:afterLines="20" w:after="48"/>
              <w:ind w:left="0" w:firstLine="15"/>
              <w:rPr>
                <w:rFonts w:ascii="Tahoma" w:hAnsi="Tahoma" w:cs="Tahoma"/>
                <w:b w:val="0"/>
                <w:sz w:val="14"/>
                <w:szCs w:val="16"/>
              </w:rPr>
            </w:pPr>
            <w:bookmarkStart w:id="334" w:name="_Toc370983158"/>
            <w:r w:rsidRPr="00C83DF5">
              <w:rPr>
                <w:rFonts w:ascii="Tahoma" w:hAnsi="Tahoma" w:cs="Tahoma"/>
                <w:b w:val="0"/>
                <w:sz w:val="14"/>
                <w:szCs w:val="16"/>
              </w:rPr>
              <w:t>Office 365 Government G1, G3, G4 (Nutzer-AL)</w:t>
            </w:r>
            <w:bookmarkEnd w:id="334"/>
          </w:p>
        </w:tc>
        <w:tc>
          <w:tcPr>
            <w:tcW w:w="414"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RDefault="005519A5" w:rsidP="00907139">
            <w:pPr>
              <w:pStyle w:val="TableText"/>
              <w:widowControl w:val="0"/>
              <w:rPr>
                <w:b/>
                <w:sz w:val="13"/>
                <w:szCs w:val="13"/>
              </w:rPr>
            </w:pPr>
            <w:hyperlink w:anchor="_70_Office_365" w:history="1">
              <w:r w:rsidR="00CF5A3E" w:rsidRPr="00C83DF5">
                <w:rPr>
                  <w:rStyle w:val="Hyperlink"/>
                  <w:b/>
                  <w:sz w:val="13"/>
                  <w:szCs w:val="13"/>
                </w:rPr>
                <w:t>76</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rsidR="00913A0A" w:rsidRPr="00C83DF5" w:rsidRDefault="00913A0A" w:rsidP="00871AE2">
            <w:pPr>
              <w:pStyle w:val="TableText"/>
              <w:widowControl w:val="0"/>
              <w:spacing w:before="120"/>
              <w:rPr>
                <w:rFonts w:ascii="Tahoma" w:hAnsi="Tahoma" w:cs="Tahoma"/>
                <w:color w:val="000000"/>
                <w:sz w:val="13"/>
              </w:rPr>
            </w:pPr>
            <w:r w:rsidRPr="00C83DF5">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C83DF5" w:rsidRDefault="00913A0A" w:rsidP="00871AE2">
            <w:pPr>
              <w:pStyle w:val="TableText"/>
              <w:widowControl w:val="0"/>
              <w:rPr>
                <w:rFonts w:ascii="Tahoma" w:hAnsi="Tahoma" w:cs="Tahoma"/>
                <w:sz w:val="13"/>
              </w:rPr>
            </w:pPr>
            <w:r w:rsidRPr="00C83DF5">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C83DF5" w:rsidRDefault="00913A0A" w:rsidP="00871AE2">
            <w:pPr>
              <w:pStyle w:val="TableText"/>
              <w:widowControl w:val="0"/>
              <w:rPr>
                <w:rFonts w:ascii="Tahoma" w:hAnsi="Tahoma" w:cs="Tahoma"/>
                <w:sz w:val="13"/>
              </w:rPr>
            </w:pPr>
            <w:r w:rsidRPr="00C83DF5">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913A0A" w:rsidRPr="00C83DF5"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tcPr>
          <w:p w:rsidR="00913A0A" w:rsidRPr="00C83DF5" w:rsidDel="00436016" w:rsidRDefault="00913A0A" w:rsidP="00871AE2">
            <w:pPr>
              <w:pStyle w:val="TableText"/>
              <w:widowControl w:val="0"/>
              <w:rPr>
                <w:rFonts w:ascii="Tahoma" w:hAnsi="Tahoma" w:cs="Tahoma"/>
                <w:sz w:val="13"/>
              </w:rPr>
            </w:pPr>
          </w:p>
        </w:tc>
      </w:tr>
      <w:tr w:rsidR="008A0F85" w:rsidRPr="00C83DF5" w:rsidDel="00436016" w:rsidTr="004909D7">
        <w:trPr>
          <w:trHeight w:val="145"/>
        </w:trPr>
        <w:tc>
          <w:tcPr>
            <w:tcW w:w="2546"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RDefault="00913A0A" w:rsidP="00DE02E2">
            <w:pPr>
              <w:pStyle w:val="Heading2"/>
              <w:spacing w:beforeLines="20" w:before="48" w:afterLines="20" w:after="48"/>
              <w:ind w:left="0" w:firstLine="15"/>
              <w:rPr>
                <w:rFonts w:ascii="Tahoma" w:hAnsi="Tahoma" w:cs="Tahoma"/>
                <w:b w:val="0"/>
                <w:sz w:val="14"/>
                <w:szCs w:val="16"/>
              </w:rPr>
            </w:pPr>
            <w:bookmarkStart w:id="335" w:name="_Toc370983159"/>
            <w:r w:rsidRPr="00C83DF5">
              <w:rPr>
                <w:rFonts w:ascii="Tahoma" w:hAnsi="Tahoma" w:cs="Tahoma"/>
                <w:b w:val="0"/>
                <w:sz w:val="14"/>
                <w:szCs w:val="16"/>
              </w:rPr>
              <w:t>Add-On für Office 365 Government G1, G3, G4 (Nutzer-AL)</w:t>
            </w:r>
            <w:bookmarkEnd w:id="335"/>
          </w:p>
        </w:tc>
        <w:tc>
          <w:tcPr>
            <w:tcW w:w="414"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RDefault="005519A5" w:rsidP="00796355">
            <w:pPr>
              <w:pStyle w:val="TableText"/>
              <w:widowControl w:val="0"/>
            </w:pPr>
            <w:hyperlink w:anchor="_7_Add-on_User" w:history="1">
              <w:r w:rsidR="003D6358" w:rsidRPr="00C83DF5">
                <w:rPr>
                  <w:rStyle w:val="Hyperlink"/>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FABF8F"/>
          </w:tcPr>
          <w:p w:rsidR="00913A0A" w:rsidRPr="00C83DF5" w:rsidRDefault="00913A0A" w:rsidP="00871AE2">
            <w:pPr>
              <w:pStyle w:val="TableText"/>
              <w:widowControl w:val="0"/>
              <w:spacing w:before="120"/>
              <w:rPr>
                <w:rFonts w:ascii="Tahoma" w:hAnsi="Tahoma" w:cs="Tahoma"/>
                <w:color w:val="000000"/>
                <w:sz w:val="13"/>
              </w:rPr>
            </w:pPr>
            <w:r w:rsidRPr="00C83DF5">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C83DF5"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C83DF5" w:rsidRDefault="00913A0A" w:rsidP="00871AE2">
            <w:pPr>
              <w:pStyle w:val="TableText"/>
              <w:widowControl w:val="0"/>
              <w:rPr>
                <w:rFonts w:ascii="Tahoma" w:hAnsi="Tahoma" w:cs="Tahoma"/>
                <w:sz w:val="13"/>
              </w:rPr>
            </w:pPr>
            <w:r w:rsidRPr="00C83DF5">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913A0A" w:rsidRPr="00C83DF5"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C83DF5"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rsidR="00913A0A" w:rsidRPr="00C83DF5" w:rsidDel="00436016" w:rsidRDefault="002C4BA9" w:rsidP="00871AE2">
            <w:pPr>
              <w:pStyle w:val="TableText"/>
              <w:widowControl w:val="0"/>
              <w:rPr>
                <w:rFonts w:ascii="Tahoma" w:hAnsi="Tahoma" w:cs="Tahoma"/>
                <w:sz w:val="13"/>
              </w:rPr>
            </w:pPr>
            <w:r w:rsidRPr="00C83DF5">
              <w:rPr>
                <w:rFonts w:ascii="Tahoma" w:hAnsi="Tahoma" w:cs="Tahoma"/>
                <w:sz w:val="13"/>
              </w:rPr>
              <w:t>A</w:t>
            </w:r>
          </w:p>
        </w:tc>
      </w:tr>
      <w:tr w:rsidR="008A0F85" w:rsidRPr="00C83DF5" w:rsidDel="00436016" w:rsidTr="004909D7">
        <w:trPr>
          <w:trHeight w:val="145"/>
        </w:trPr>
        <w:tc>
          <w:tcPr>
            <w:tcW w:w="25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RDefault="00913A0A" w:rsidP="00DE02E2">
            <w:pPr>
              <w:pStyle w:val="Heading2"/>
              <w:spacing w:beforeLines="20" w:before="48" w:afterLines="20" w:after="48"/>
              <w:ind w:left="0" w:firstLine="15"/>
              <w:rPr>
                <w:rFonts w:ascii="Tahoma" w:hAnsi="Tahoma" w:cs="Tahoma"/>
                <w:b w:val="0"/>
                <w:sz w:val="14"/>
                <w:szCs w:val="16"/>
              </w:rPr>
            </w:pPr>
            <w:bookmarkStart w:id="336" w:name="_Toc370983160"/>
            <w:r w:rsidRPr="00C83DF5">
              <w:rPr>
                <w:rFonts w:ascii="Tahoma" w:hAnsi="Tahoma" w:cs="Tahoma"/>
                <w:b w:val="0"/>
                <w:sz w:val="14"/>
                <w:szCs w:val="16"/>
              </w:rPr>
              <w:t>Add-On für Office 365 Government G3, G4 ohne Office Pro Plus (Nutzer-AL)</w:t>
            </w:r>
            <w:bookmarkEnd w:id="336"/>
          </w:p>
        </w:tc>
        <w:tc>
          <w:tcPr>
            <w:tcW w:w="414"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RDefault="005519A5" w:rsidP="00796355">
            <w:pPr>
              <w:pStyle w:val="TableText"/>
              <w:widowControl w:val="0"/>
            </w:pPr>
            <w:hyperlink w:anchor="_7_Add-on_User" w:history="1">
              <w:r w:rsidR="003D6358" w:rsidRPr="00C83DF5">
                <w:rPr>
                  <w:rStyle w:val="Hyperlink"/>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rsidR="00913A0A" w:rsidRPr="00C83DF5" w:rsidRDefault="00913A0A" w:rsidP="00871AE2">
            <w:pPr>
              <w:pStyle w:val="TableText"/>
              <w:widowControl w:val="0"/>
              <w:spacing w:before="120"/>
              <w:rPr>
                <w:rFonts w:ascii="Tahoma" w:hAnsi="Tahoma" w:cs="Tahoma"/>
                <w:color w:val="000000"/>
                <w:sz w:val="13"/>
              </w:rPr>
            </w:pPr>
            <w:r w:rsidRPr="00C83DF5">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C83DF5"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C83DF5" w:rsidRDefault="00913A0A" w:rsidP="00871AE2">
            <w:pPr>
              <w:pStyle w:val="TableText"/>
              <w:widowControl w:val="0"/>
              <w:rPr>
                <w:rFonts w:ascii="Tahoma" w:hAnsi="Tahoma" w:cs="Tahoma"/>
                <w:sz w:val="13"/>
              </w:rPr>
            </w:pPr>
            <w:r w:rsidRPr="00C83DF5">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913A0A" w:rsidRPr="00C83DF5"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C83DF5"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tcPr>
          <w:p w:rsidR="00913A0A" w:rsidRPr="00C83DF5" w:rsidDel="00436016" w:rsidRDefault="002C4BA9" w:rsidP="00871AE2">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6C465D">
            <w:pPr>
              <w:pStyle w:val="ProductNames"/>
              <w:spacing w:before="0" w:after="0"/>
              <w:rPr>
                <w:rFonts w:ascii="Tahoma" w:hAnsi="Tahoma" w:cs="Tahoma"/>
                <w:position w:val="0"/>
                <w:sz w:val="14"/>
                <w:lang w:val="de-DE"/>
              </w:rPr>
            </w:pPr>
            <w:bookmarkStart w:id="337" w:name="_Toc336338032"/>
            <w:bookmarkStart w:id="338" w:name="_Toc370983161"/>
            <w:r w:rsidRPr="00C83DF5">
              <w:rPr>
                <w:rFonts w:ascii="Tahoma" w:hAnsi="Tahoma" w:cs="Tahoma"/>
                <w:position w:val="0"/>
                <w:sz w:val="14"/>
                <w:lang w:val="de-DE"/>
              </w:rPr>
              <w:t>Office Web-Anwendungen mit SharePoint Plan 2A (Nutzer-AL)</w:t>
            </w:r>
            <w:bookmarkEnd w:id="337"/>
            <w:bookmarkEnd w:id="338"/>
          </w:p>
        </w:tc>
        <w:tc>
          <w:tcPr>
            <w:tcW w:w="414" w:type="dxa"/>
            <w:tcBorders>
              <w:bottom w:val="single" w:sz="4" w:space="0" w:color="auto"/>
            </w:tcBorders>
            <w:shd w:val="clear" w:color="auto" w:fill="FABF8F"/>
            <w:vAlign w:val="center"/>
          </w:tcPr>
          <w:p w:rsidR="00913A0A" w:rsidRPr="00C83DF5" w:rsidRDefault="00913A0A" w:rsidP="00D66F68">
            <w:pPr>
              <w:pStyle w:val="TableText"/>
              <w:widowControl w:val="0"/>
              <w:rPr>
                <w:b/>
                <w:color w:val="0000FF"/>
                <w:sz w:val="13"/>
                <w:szCs w:val="13"/>
                <w:u w:val="single"/>
                <w:lang w:val="de-DE"/>
              </w:rPr>
            </w:pPr>
          </w:p>
        </w:tc>
        <w:tc>
          <w:tcPr>
            <w:tcW w:w="449" w:type="dxa"/>
            <w:tcBorders>
              <w:bottom w:val="single" w:sz="4" w:space="0" w:color="auto"/>
            </w:tcBorders>
            <w:shd w:val="clear" w:color="auto" w:fill="FABF8F"/>
            <w:vAlign w:val="center"/>
          </w:tcPr>
          <w:p w:rsidR="00913A0A" w:rsidRPr="00C83DF5" w:rsidRDefault="00913A0A" w:rsidP="006C465D">
            <w:pPr>
              <w:pStyle w:val="TableText"/>
              <w:widowControl w:val="0"/>
              <w:rPr>
                <w:rFonts w:ascii="Tahoma" w:hAnsi="Tahoma" w:cs="Tahoma"/>
                <w:color w:val="000000"/>
                <w:sz w:val="13"/>
              </w:rPr>
            </w:pPr>
            <w:r w:rsidRPr="00C83DF5">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C83DF5" w:rsidRDefault="00913A0A" w:rsidP="00D66F68">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C83DF5"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C83DF5"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C83DF5"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C83DF5" w:rsidRDefault="00913A0A" w:rsidP="006C465D">
            <w:pPr>
              <w:pStyle w:val="TableText"/>
              <w:widowControl w:val="0"/>
              <w:rPr>
                <w:rFonts w:ascii="Tahoma" w:hAnsi="Tahoma" w:cs="Tahoma"/>
                <w:sz w:val="14"/>
                <w:szCs w:val="14"/>
              </w:rPr>
            </w:pPr>
          </w:p>
        </w:tc>
        <w:tc>
          <w:tcPr>
            <w:tcW w:w="455" w:type="dxa"/>
            <w:gridSpan w:val="2"/>
            <w:tcBorders>
              <w:bottom w:val="single" w:sz="4" w:space="0" w:color="auto"/>
            </w:tcBorders>
            <w:shd w:val="clear" w:color="auto" w:fill="FABF8F"/>
            <w:vAlign w:val="bottom"/>
          </w:tcPr>
          <w:p w:rsidR="00913A0A" w:rsidRPr="00C83DF5" w:rsidRDefault="00913A0A" w:rsidP="006C465D">
            <w:pPr>
              <w:pStyle w:val="TableText"/>
              <w:widowControl w:val="0"/>
              <w:rPr>
                <w:rFonts w:ascii="Tahoma" w:hAnsi="Tahoma" w:cs="Tahoma"/>
                <w:sz w:val="14"/>
                <w:szCs w:val="14"/>
              </w:rPr>
            </w:pPr>
          </w:p>
        </w:tc>
        <w:tc>
          <w:tcPr>
            <w:tcW w:w="366" w:type="dxa"/>
            <w:tcBorders>
              <w:bottom w:val="single" w:sz="4" w:space="0" w:color="auto"/>
              <w:right w:val="single" w:sz="18" w:space="0" w:color="auto"/>
            </w:tcBorders>
            <w:shd w:val="clear" w:color="auto" w:fill="FABF8F"/>
            <w:vAlign w:val="bottom"/>
          </w:tcPr>
          <w:p w:rsidR="00913A0A" w:rsidRPr="00C83DF5"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913A0A" w:rsidRPr="00C83DF5"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C83DF5"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913A0A" w:rsidRPr="00C83DF5"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6C465D">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D02D7A">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2C0A4B">
            <w:pPr>
              <w:pStyle w:val="TableText"/>
              <w:widowControl w:val="0"/>
              <w:spacing w:after="10"/>
              <w:rPr>
                <w:rFonts w:ascii="Tahoma" w:hAnsi="Tahoma" w:cs="Tahoma"/>
                <w:sz w:val="13"/>
              </w:rPr>
            </w:pPr>
            <w:r w:rsidRPr="00C83DF5">
              <w:rPr>
                <w:rFonts w:ascii="Tahoma" w:hAnsi="Tahoma" w:cs="Tahoma"/>
                <w:sz w:val="13"/>
              </w:rPr>
              <w:t>A, ST (nur EES)</w:t>
            </w:r>
          </w:p>
        </w:tc>
        <w:tc>
          <w:tcPr>
            <w:tcW w:w="506" w:type="dxa"/>
            <w:tcBorders>
              <w:bottom w:val="single" w:sz="4" w:space="0" w:color="auto"/>
            </w:tcBorders>
            <w:shd w:val="clear" w:color="auto" w:fill="FABF8F"/>
            <w:vAlign w:val="center"/>
          </w:tcPr>
          <w:p w:rsidR="00913A0A" w:rsidRPr="00C83DF5"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D66F68">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39" w:name="_Toc370983162"/>
            <w:r w:rsidRPr="00C83DF5">
              <w:rPr>
                <w:rFonts w:ascii="Tahoma" w:hAnsi="Tahoma" w:cs="Tahoma"/>
                <w:position w:val="0"/>
                <w:sz w:val="14"/>
              </w:rPr>
              <w:t>Project Online</w:t>
            </w:r>
            <w:bookmarkEnd w:id="339"/>
            <w:r w:rsidR="00E71F46"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40"/>
              <w:rPr>
                <w:rFonts w:ascii="Tahoma" w:hAnsi="Tahoma" w:cs="Tahoma"/>
                <w:color w:val="000000"/>
                <w:sz w:val="13"/>
              </w:rPr>
            </w:pPr>
            <w:r w:rsidRPr="00C83DF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5" w:type="dxa"/>
            <w:gridSpan w:val="2"/>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366"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40" w:name="_Toc370983163"/>
            <w:r w:rsidRPr="00C83DF5">
              <w:rPr>
                <w:rFonts w:ascii="Tahoma" w:hAnsi="Tahoma" w:cs="Tahoma"/>
                <w:position w:val="0"/>
                <w:sz w:val="14"/>
              </w:rPr>
              <w:t>Project Online A</w:t>
            </w:r>
            <w:bookmarkEnd w:id="340"/>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40"/>
              <w:rPr>
                <w:rFonts w:ascii="Tahoma" w:hAnsi="Tahoma" w:cs="Tahoma"/>
                <w:color w:val="000000"/>
                <w:sz w:val="13"/>
              </w:rPr>
            </w:pPr>
            <w:r w:rsidRPr="00C83DF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5" w:type="dxa"/>
            <w:gridSpan w:val="2"/>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366"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41" w:name="_Toc336338033"/>
            <w:bookmarkStart w:id="342" w:name="_Toc370983164"/>
            <w:r w:rsidRPr="00C83DF5">
              <w:rPr>
                <w:rFonts w:ascii="Tahoma" w:hAnsi="Tahoma" w:cs="Tahoma"/>
                <w:position w:val="0"/>
                <w:sz w:val="14"/>
              </w:rPr>
              <w:t xml:space="preserve">Project Server </w:t>
            </w:r>
            <w:bookmarkEnd w:id="341"/>
            <w:r w:rsidRPr="00C83DF5">
              <w:rPr>
                <w:rFonts w:ascii="Tahoma" w:hAnsi="Tahoma" w:cs="Tahoma"/>
                <w:position w:val="0"/>
                <w:sz w:val="14"/>
              </w:rPr>
              <w:t>2013</w:t>
            </w:r>
            <w:bookmarkEnd w:id="342"/>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color w:val="0000FF"/>
                <w:sz w:val="13"/>
                <w:szCs w:val="13"/>
                <w:u w:val="single"/>
              </w:rPr>
            </w:pPr>
            <w:bookmarkStart w:id="343" w:name="_Hlt336249768"/>
          </w:p>
        </w:tc>
        <w:bookmarkEnd w:id="343"/>
        <w:tc>
          <w:tcPr>
            <w:tcW w:w="449" w:type="dxa"/>
            <w:tcBorders>
              <w:bottom w:val="single" w:sz="4" w:space="0" w:color="auto"/>
            </w:tcBorders>
            <w:shd w:val="clear" w:color="auto" w:fill="auto"/>
          </w:tcPr>
          <w:p w:rsidR="00913A0A" w:rsidRPr="00C83DF5" w:rsidRDefault="00913A0A" w:rsidP="001A63C6">
            <w:pPr>
              <w:pStyle w:val="TableText"/>
              <w:widowControl w:val="0"/>
              <w:spacing w:before="40"/>
              <w:rPr>
                <w:rFonts w:ascii="Tahoma" w:hAnsi="Tahoma" w:cs="Tahoma"/>
                <w:color w:val="000000"/>
                <w:sz w:val="13"/>
              </w:rPr>
            </w:pPr>
            <w:r w:rsidRPr="00C83DF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2A6E97">
            <w:pPr>
              <w:pStyle w:val="TableText"/>
              <w:widowControl w:val="0"/>
              <w:rPr>
                <w:rFonts w:ascii="Tahoma" w:hAnsi="Tahoma" w:cs="Tahoma"/>
                <w:sz w:val="14"/>
                <w:szCs w:val="14"/>
              </w:rPr>
            </w:pPr>
            <w:r w:rsidRPr="00C83DF5">
              <w:rPr>
                <w:rFonts w:ascii="Tahoma" w:hAnsi="Tahoma" w:cs="Tahoma"/>
                <w:sz w:val="14"/>
                <w:szCs w:val="14"/>
              </w:rPr>
              <w:t>50</w:t>
            </w:r>
          </w:p>
        </w:tc>
        <w:tc>
          <w:tcPr>
            <w:tcW w:w="450" w:type="dxa"/>
            <w:gridSpan w:val="3"/>
            <w:tcBorders>
              <w:bottom w:val="single" w:sz="4" w:space="0" w:color="auto"/>
            </w:tcBorders>
            <w:shd w:val="clear" w:color="auto" w:fill="auto"/>
            <w:vAlign w:val="center"/>
          </w:tcPr>
          <w:p w:rsidR="00913A0A" w:rsidRPr="00C83DF5" w:rsidRDefault="00913A0A" w:rsidP="002A6E97">
            <w:pPr>
              <w:pStyle w:val="TableText"/>
              <w:widowControl w:val="0"/>
              <w:rPr>
                <w:rFonts w:ascii="Tahoma" w:hAnsi="Tahoma" w:cs="Tahoma"/>
                <w:sz w:val="14"/>
                <w:szCs w:val="14"/>
              </w:rPr>
            </w:pPr>
            <w:r w:rsidRPr="00C83DF5">
              <w:rPr>
                <w:rFonts w:ascii="Tahoma" w:hAnsi="Tahoma" w:cs="Tahoma"/>
                <w:sz w:val="14"/>
                <w:szCs w:val="14"/>
              </w:rPr>
              <w:t>125</w:t>
            </w:r>
          </w:p>
        </w:tc>
        <w:tc>
          <w:tcPr>
            <w:tcW w:w="450" w:type="dxa"/>
            <w:gridSpan w:val="3"/>
            <w:tcBorders>
              <w:bottom w:val="single" w:sz="4" w:space="0" w:color="auto"/>
            </w:tcBorders>
            <w:shd w:val="clear" w:color="auto" w:fill="auto"/>
            <w:vAlign w:val="center"/>
          </w:tcPr>
          <w:p w:rsidR="00913A0A" w:rsidRPr="00C83DF5" w:rsidRDefault="00913A0A" w:rsidP="00D02D7A">
            <w:pPr>
              <w:pStyle w:val="TableText"/>
              <w:widowControl w:val="0"/>
              <w:rPr>
                <w:rFonts w:ascii="Tahoma" w:hAnsi="Tahoma" w:cs="Tahoma"/>
                <w:sz w:val="14"/>
                <w:szCs w:val="14"/>
              </w:rPr>
            </w:pPr>
            <w:r w:rsidRPr="00C83DF5">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913A0A" w:rsidRPr="00C83DF5" w:rsidRDefault="00913A0A" w:rsidP="00D02D7A">
            <w:pPr>
              <w:pStyle w:val="TableText"/>
              <w:widowControl w:val="0"/>
              <w:rPr>
                <w:rFonts w:ascii="Tahoma" w:hAnsi="Tahoma" w:cs="Tahoma"/>
                <w:sz w:val="14"/>
                <w:szCs w:val="14"/>
              </w:rPr>
            </w:pPr>
            <w:r w:rsidRPr="00C83DF5">
              <w:rPr>
                <w:rFonts w:ascii="Tahoma" w:hAnsi="Tahoma" w:cs="Tahoma"/>
                <w:sz w:val="14"/>
                <w:szCs w:val="14"/>
              </w:rPr>
              <w:t>75</w:t>
            </w:r>
          </w:p>
        </w:tc>
        <w:tc>
          <w:tcPr>
            <w:tcW w:w="450" w:type="dxa"/>
            <w:gridSpan w:val="2"/>
            <w:tcBorders>
              <w:bottom w:val="single" w:sz="4" w:space="0" w:color="auto"/>
            </w:tcBorders>
            <w:shd w:val="clear" w:color="auto" w:fill="auto"/>
            <w:vAlign w:val="center"/>
          </w:tcPr>
          <w:p w:rsidR="00913A0A" w:rsidRPr="00C83DF5" w:rsidRDefault="00913A0A" w:rsidP="00242B11">
            <w:pPr>
              <w:pStyle w:val="TableText"/>
              <w:widowControl w:val="0"/>
              <w:rPr>
                <w:rFonts w:ascii="Tahoma" w:hAnsi="Tahoma" w:cs="Tahoma"/>
                <w:sz w:val="14"/>
                <w:szCs w:val="14"/>
              </w:rPr>
            </w:pPr>
            <w:r w:rsidRPr="00C83DF5">
              <w:rPr>
                <w:rFonts w:ascii="Tahoma" w:hAnsi="Tahoma" w:cs="Tahoma"/>
                <w:sz w:val="14"/>
                <w:szCs w:val="14"/>
              </w:rPr>
              <w:t>75</w:t>
            </w:r>
          </w:p>
        </w:tc>
        <w:tc>
          <w:tcPr>
            <w:tcW w:w="455" w:type="dxa"/>
            <w:gridSpan w:val="2"/>
            <w:tcBorders>
              <w:bottom w:val="single" w:sz="4" w:space="0" w:color="auto"/>
            </w:tcBorders>
            <w:shd w:val="clear" w:color="auto" w:fill="auto"/>
            <w:vAlign w:val="center"/>
          </w:tcPr>
          <w:p w:rsidR="00913A0A" w:rsidRPr="00C83DF5" w:rsidRDefault="00913A0A" w:rsidP="00242B11">
            <w:pPr>
              <w:pStyle w:val="TableText"/>
              <w:widowControl w:val="0"/>
              <w:rPr>
                <w:rFonts w:ascii="Tahoma" w:hAnsi="Tahoma" w:cs="Tahoma"/>
                <w:sz w:val="14"/>
                <w:szCs w:val="14"/>
              </w:rPr>
            </w:pPr>
            <w:r w:rsidRPr="00C83DF5">
              <w:rPr>
                <w:rFonts w:ascii="Tahoma" w:hAnsi="Tahoma" w:cs="Tahoma"/>
                <w:sz w:val="14"/>
                <w:szCs w:val="14"/>
              </w:rPr>
              <w:t>50</w:t>
            </w:r>
          </w:p>
        </w:tc>
        <w:tc>
          <w:tcPr>
            <w:tcW w:w="366" w:type="dxa"/>
            <w:tcBorders>
              <w:bottom w:val="single" w:sz="4" w:space="0" w:color="auto"/>
              <w:right w:val="single" w:sz="18" w:space="0" w:color="auto"/>
            </w:tcBorders>
            <w:shd w:val="clear" w:color="auto" w:fill="auto"/>
            <w:vAlign w:val="center"/>
          </w:tcPr>
          <w:p w:rsidR="00913A0A" w:rsidRPr="00C83DF5" w:rsidRDefault="00913A0A" w:rsidP="00EA31A6">
            <w:pPr>
              <w:pStyle w:val="TableText"/>
              <w:widowControl w:val="0"/>
              <w:rPr>
                <w:rFonts w:ascii="Tahoma" w:hAnsi="Tahoma" w:cs="Tahoma"/>
                <w:sz w:val="14"/>
                <w:szCs w:val="14"/>
              </w:rPr>
            </w:pPr>
            <w:r w:rsidRPr="00C83DF5">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913A0A" w:rsidRPr="00C83DF5" w:rsidRDefault="00913A0A" w:rsidP="00EA31A6">
            <w:pPr>
              <w:pStyle w:val="TableText"/>
              <w:widowControl w:val="0"/>
              <w:rPr>
                <w:rFonts w:ascii="Tahoma" w:hAnsi="Tahoma" w:cs="Tahoma"/>
                <w:sz w:val="14"/>
                <w:szCs w:val="14"/>
              </w:rPr>
            </w:pPr>
            <w:r w:rsidRPr="00C83DF5">
              <w:rPr>
                <w:rFonts w:ascii="Tahoma" w:hAnsi="Tahoma" w:cs="Tahoma"/>
                <w:sz w:val="14"/>
                <w:szCs w:val="14"/>
              </w:rPr>
              <w:t>50</w:t>
            </w:r>
          </w:p>
        </w:tc>
        <w:tc>
          <w:tcPr>
            <w:tcW w:w="450" w:type="dxa"/>
            <w:tcBorders>
              <w:bottom w:val="single" w:sz="4" w:space="0" w:color="auto"/>
            </w:tcBorders>
            <w:shd w:val="clear" w:color="auto" w:fill="auto"/>
            <w:vAlign w:val="center"/>
          </w:tcPr>
          <w:p w:rsidR="00913A0A" w:rsidRPr="00C83DF5" w:rsidRDefault="00913A0A" w:rsidP="00EA31A6">
            <w:pPr>
              <w:pStyle w:val="TableText"/>
              <w:widowControl w:val="0"/>
              <w:rPr>
                <w:rFonts w:ascii="Tahoma" w:hAnsi="Tahoma" w:cs="Tahoma"/>
                <w:sz w:val="14"/>
                <w:szCs w:val="14"/>
              </w:rPr>
            </w:pPr>
            <w:r w:rsidRPr="00C83DF5">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913A0A" w:rsidRPr="00C83DF5" w:rsidRDefault="00913A0A" w:rsidP="00EA31A6">
            <w:pPr>
              <w:pStyle w:val="TableText"/>
              <w:widowControl w:val="0"/>
              <w:rPr>
                <w:rFonts w:ascii="Tahoma" w:hAnsi="Tahoma" w:cs="Tahoma"/>
                <w:sz w:val="14"/>
                <w:szCs w:val="14"/>
              </w:rPr>
            </w:pPr>
            <w:r w:rsidRPr="00C83DF5">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913A0A" w:rsidRPr="00C83DF5" w:rsidRDefault="00913A0A" w:rsidP="003537B9">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C83DF5" w:rsidRDefault="00913A0A" w:rsidP="003537B9">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3537B9">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913A0A" w:rsidRPr="00C83DF5" w:rsidRDefault="00913A0A" w:rsidP="003537B9">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C778DB">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C778DB">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44" w:name="_Toc336338034"/>
            <w:bookmarkStart w:id="345" w:name="_Toc370983165"/>
            <w:r w:rsidRPr="00C83DF5">
              <w:rPr>
                <w:rFonts w:ascii="Tahoma" w:hAnsi="Tahoma" w:cs="Tahoma"/>
                <w:position w:val="0"/>
                <w:sz w:val="14"/>
              </w:rPr>
              <w:t>CAL für Project Server</w:t>
            </w:r>
            <w:bookmarkEnd w:id="344"/>
            <w:r w:rsidRPr="00C83DF5">
              <w:rPr>
                <w:rFonts w:ascii="Tahoma" w:hAnsi="Tahoma" w:cs="Tahoma"/>
                <w:position w:val="0"/>
                <w:sz w:val="14"/>
              </w:rPr>
              <w:t xml:space="preserve"> 2013</w:t>
            </w:r>
            <w:bookmarkEnd w:id="345"/>
            <w:r w:rsidRPr="00C83DF5">
              <w:rPr>
                <w:rFonts w:ascii="Tahoma" w:hAnsi="Tahoma" w:cs="Tahoma"/>
                <w:position w:val="0"/>
                <w:sz w:val="14"/>
              </w:rPr>
              <w:t xml:space="preserve"> </w:t>
            </w:r>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firstLine="15"/>
              <w:rPr>
                <w:rFonts w:ascii="Tahoma" w:hAnsi="Tahoma" w:cs="Tahoma"/>
                <w:b w:val="0"/>
                <w:sz w:val="14"/>
              </w:rPr>
            </w:pPr>
            <w:bookmarkStart w:id="346" w:name="_Toc336338036"/>
            <w:bookmarkStart w:id="347" w:name="_Toc370983166"/>
            <w:r w:rsidRPr="00C83DF5">
              <w:rPr>
                <w:rFonts w:ascii="Tahoma" w:hAnsi="Tahoma" w:cs="Tahoma"/>
                <w:b w:val="0"/>
                <w:sz w:val="14"/>
              </w:rPr>
              <w:t>SharePoint™ Online Extra Storage 1 GB (Add-On-AL)</w:t>
            </w:r>
            <w:bookmarkEnd w:id="346"/>
            <w:bookmarkEnd w:id="347"/>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b/>
                <w:color w:val="000000"/>
                <w:sz w:val="13"/>
                <w:szCs w:val="13"/>
                <w:u w:val="single"/>
              </w:rPr>
            </w:pPr>
          </w:p>
        </w:tc>
        <w:tc>
          <w:tcPr>
            <w:tcW w:w="449" w:type="dxa"/>
            <w:tcBorders>
              <w:bottom w:val="single" w:sz="4" w:space="0" w:color="auto"/>
            </w:tcBorders>
            <w:shd w:val="clear" w:color="auto" w:fill="auto"/>
          </w:tcPr>
          <w:p w:rsidR="00913A0A" w:rsidRPr="00C83DF5" w:rsidDel="008F575D" w:rsidRDefault="00913A0A" w:rsidP="001A63C6">
            <w:pPr>
              <w:pStyle w:val="TableText"/>
              <w:widowControl w:val="0"/>
              <w:spacing w:before="8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FE39CE">
            <w:pPr>
              <w:pStyle w:val="Heading2"/>
              <w:ind w:left="0" w:firstLine="15"/>
              <w:rPr>
                <w:rFonts w:ascii="Tahoma" w:hAnsi="Tahoma" w:cs="Tahoma"/>
                <w:b w:val="0"/>
                <w:sz w:val="14"/>
              </w:rPr>
            </w:pPr>
            <w:bookmarkStart w:id="348" w:name="_Toc336338037"/>
            <w:bookmarkStart w:id="349" w:name="_Toc370983167"/>
            <w:r w:rsidRPr="00C83DF5">
              <w:rPr>
                <w:rFonts w:ascii="Tahoma" w:hAnsi="Tahoma" w:cs="Tahoma"/>
                <w:b w:val="0"/>
                <w:sz w:val="14"/>
              </w:rPr>
              <w:t>SharePoint™ Online Extra Storage 1 GB A (Add-On-AL)</w:t>
            </w:r>
            <w:bookmarkEnd w:id="348"/>
            <w:bookmarkEnd w:id="349"/>
          </w:p>
        </w:tc>
        <w:tc>
          <w:tcPr>
            <w:tcW w:w="414" w:type="dxa"/>
            <w:tcBorders>
              <w:bottom w:val="single" w:sz="4" w:space="0" w:color="auto"/>
            </w:tcBorders>
            <w:shd w:val="clear" w:color="auto" w:fill="FABF8F"/>
            <w:vAlign w:val="center"/>
          </w:tcPr>
          <w:p w:rsidR="00913A0A" w:rsidRPr="00C83DF5" w:rsidRDefault="00913A0A" w:rsidP="00D66F68">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vAlign w:val="center"/>
          </w:tcPr>
          <w:p w:rsidR="00913A0A" w:rsidRPr="00C83DF5" w:rsidRDefault="00913A0A" w:rsidP="007E466C">
            <w:pPr>
              <w:pStyle w:val="TableText"/>
              <w:widowControl w:val="0"/>
              <w:rPr>
                <w:rFonts w:ascii="Tahoma" w:hAnsi="Tahoma" w:cs="Tahoma"/>
                <w:sz w:val="13"/>
              </w:rPr>
            </w:pPr>
            <w:r w:rsidRPr="00C83DF5">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D66F6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6C465D">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D02D7A">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7E466C">
            <w:pPr>
              <w:pStyle w:val="TableText"/>
              <w:widowControl w:val="0"/>
              <w:rPr>
                <w:rFonts w:ascii="Tahoma" w:hAnsi="Tahoma" w:cs="Tahoma"/>
                <w:sz w:val="13"/>
              </w:rPr>
            </w:pPr>
            <w:r w:rsidRPr="00C83DF5">
              <w:rPr>
                <w:rFonts w:ascii="Tahoma" w:hAnsi="Tahoma" w:cs="Tahoma"/>
                <w:sz w:val="13"/>
              </w:rPr>
              <w:t>A, ST (nur EES)</w:t>
            </w:r>
          </w:p>
        </w:tc>
        <w:tc>
          <w:tcPr>
            <w:tcW w:w="506" w:type="dxa"/>
            <w:tcBorders>
              <w:bottom w:val="single" w:sz="4" w:space="0" w:color="auto"/>
            </w:tcBorders>
            <w:shd w:val="clear" w:color="auto" w:fill="FABF8F"/>
            <w:vAlign w:val="center"/>
          </w:tcPr>
          <w:p w:rsidR="00913A0A" w:rsidRPr="00C83DF5"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D66F68">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D942DF" w:rsidRDefault="00913A0A" w:rsidP="00FE39CE">
            <w:pPr>
              <w:pStyle w:val="Heading2"/>
              <w:spacing w:beforeLines="20" w:before="48" w:afterLines="20" w:after="48"/>
              <w:ind w:left="0" w:firstLine="15"/>
              <w:rPr>
                <w:rFonts w:ascii="Tahoma" w:hAnsi="Tahoma" w:cs="Tahoma"/>
                <w:b w:val="0"/>
                <w:sz w:val="14"/>
                <w:lang w:val="de-DE"/>
              </w:rPr>
            </w:pPr>
            <w:bookmarkStart w:id="350" w:name="_Toc370983168"/>
            <w:r w:rsidRPr="00D942DF">
              <w:rPr>
                <w:rFonts w:ascii="Tahoma" w:hAnsi="Tahoma" w:cs="Tahoma"/>
                <w:b w:val="0"/>
                <w:sz w:val="14"/>
                <w:lang w:val="de-DE"/>
              </w:rPr>
              <w:lastRenderedPageBreak/>
              <w:t>Add-On für SharePoint™ Online Plan 1 (Nutzer-AL)</w:t>
            </w:r>
            <w:bookmarkEnd w:id="350"/>
          </w:p>
        </w:tc>
        <w:tc>
          <w:tcPr>
            <w:tcW w:w="414" w:type="dxa"/>
            <w:tcBorders>
              <w:bottom w:val="single" w:sz="4" w:space="0" w:color="auto"/>
            </w:tcBorders>
            <w:shd w:val="clear" w:color="auto" w:fill="auto"/>
            <w:vAlign w:val="center"/>
          </w:tcPr>
          <w:p w:rsidR="00913A0A" w:rsidRPr="00D942DF" w:rsidRDefault="00913A0A" w:rsidP="00796355">
            <w:pPr>
              <w:pStyle w:val="TableText"/>
              <w:widowControl w:val="0"/>
              <w:rPr>
                <w:lang w:val="de-D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firstLine="15"/>
              <w:jc w:val="both"/>
              <w:rPr>
                <w:rFonts w:ascii="Tahoma" w:hAnsi="Tahoma" w:cs="Tahoma"/>
                <w:b w:val="0"/>
                <w:lang w:val="de-DE"/>
              </w:rPr>
            </w:pPr>
            <w:bookmarkStart w:id="351" w:name="_Toc336338038"/>
            <w:bookmarkStart w:id="352" w:name="_Toc370983169"/>
            <w:r w:rsidRPr="00D942DF">
              <w:rPr>
                <w:rFonts w:ascii="Tahoma" w:hAnsi="Tahoma" w:cs="Tahoma"/>
                <w:b w:val="0"/>
                <w:sz w:val="14"/>
                <w:lang w:val="de-DE"/>
              </w:rPr>
              <w:t xml:space="preserve">SharePoint™ </w:t>
            </w:r>
            <w:r w:rsidRPr="00C83DF5">
              <w:rPr>
                <w:rFonts w:ascii="Tahoma" w:hAnsi="Tahoma" w:cs="Tahoma"/>
                <w:b w:val="0"/>
                <w:sz w:val="14"/>
                <w:lang w:val="de-DE"/>
              </w:rPr>
              <w:t>Online Plan 1 (Nutzer-AL)</w:t>
            </w:r>
            <w:bookmarkEnd w:id="351"/>
            <w:bookmarkEnd w:id="352"/>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rStyle w:val="EndnoteReference"/>
                <w:rFonts w:cs="Tahoma"/>
                <w:b w:val="0"/>
                <w:color w:val="0000FF"/>
                <w:sz w:val="13"/>
                <w:szCs w:val="13"/>
                <w:u w:val="single"/>
              </w:rPr>
            </w:pPr>
            <w:hyperlink w:anchor="_68_SharePoint_Online" w:history="1">
              <w:r w:rsidR="00CF5A3E" w:rsidRPr="00C83DF5">
                <w:rPr>
                  <w:rStyle w:val="Hyperlink"/>
                  <w:rFonts w:cs="Tahoma"/>
                  <w:b/>
                  <w:sz w:val="13"/>
                  <w:szCs w:val="13"/>
                </w:rPr>
                <w:t>77</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FE39CE">
            <w:pPr>
              <w:pStyle w:val="Heading2"/>
              <w:spacing w:beforeLines="20" w:before="48" w:afterLines="20" w:after="48"/>
              <w:ind w:left="0" w:firstLine="15"/>
              <w:rPr>
                <w:rFonts w:ascii="Tahoma" w:hAnsi="Tahoma" w:cs="Tahoma"/>
                <w:b w:val="0"/>
                <w:sz w:val="14"/>
                <w:lang w:val="de-DE"/>
              </w:rPr>
            </w:pPr>
            <w:bookmarkStart w:id="353" w:name="_Toc370983170"/>
            <w:r w:rsidRPr="00C83DF5">
              <w:rPr>
                <w:rFonts w:ascii="Tahoma" w:hAnsi="Tahoma" w:cs="Tahoma"/>
                <w:b w:val="0"/>
                <w:sz w:val="14"/>
                <w:lang w:val="de-DE"/>
              </w:rPr>
              <w:t>Add-On für SharePoint™ Online Plan 1 mit Yammer (Nutzer-AL)</w:t>
            </w:r>
            <w:bookmarkEnd w:id="353"/>
          </w:p>
        </w:tc>
        <w:tc>
          <w:tcPr>
            <w:tcW w:w="414" w:type="dxa"/>
            <w:tcBorders>
              <w:bottom w:val="single" w:sz="4" w:space="0" w:color="auto"/>
            </w:tcBorders>
            <w:shd w:val="clear" w:color="auto" w:fill="auto"/>
            <w:vAlign w:val="center"/>
          </w:tcPr>
          <w:p w:rsidR="00913A0A" w:rsidRPr="00C83DF5" w:rsidRDefault="00913A0A" w:rsidP="00796355">
            <w:pPr>
              <w:pStyle w:val="TableText"/>
              <w:widowControl w:val="0"/>
              <w:rPr>
                <w:lang w:val="de-D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354" w:name="_Toc336338039"/>
            <w:bookmarkStart w:id="355" w:name="_Toc370983171"/>
            <w:r w:rsidRPr="00C83DF5">
              <w:rPr>
                <w:rFonts w:ascii="Tahoma" w:hAnsi="Tahoma" w:cs="Tahoma"/>
                <w:position w:val="0"/>
                <w:sz w:val="14"/>
                <w:lang w:val="de-DE"/>
              </w:rPr>
              <w:t>SharePoint™ Online Plan 2 (Nutzer-AL)</w:t>
            </w:r>
            <w:bookmarkEnd w:id="354"/>
            <w:bookmarkEnd w:id="355"/>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rStyle w:val="EndnoteReference"/>
                <w:b w:val="0"/>
                <w:color w:val="000000"/>
                <w:sz w:val="13"/>
                <w:szCs w:val="13"/>
                <w:u w:val="single"/>
              </w:rPr>
            </w:pPr>
            <w:hyperlink w:anchor="_68_SharePoint_Online" w:history="1">
              <w:r w:rsidR="00201318" w:rsidRPr="00C83DF5">
                <w:rPr>
                  <w:rStyle w:val="Hyperlink"/>
                  <w:rFonts w:cs="Tahoma"/>
                  <w:b/>
                  <w:sz w:val="13"/>
                  <w:szCs w:val="13"/>
                </w:rPr>
                <w:t>77</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rPr>
            </w:pPr>
            <w:bookmarkStart w:id="356" w:name="_Toc336338040"/>
            <w:bookmarkStart w:id="357" w:name="_Toc370983172"/>
            <w:r w:rsidRPr="00C83DF5">
              <w:rPr>
                <w:rFonts w:ascii="Tahoma" w:hAnsi="Tahoma" w:cs="Tahoma"/>
                <w:position w:val="0"/>
                <w:sz w:val="14"/>
              </w:rPr>
              <w:t xml:space="preserve">SharePoint™ Server </w:t>
            </w:r>
            <w:bookmarkEnd w:id="356"/>
            <w:r w:rsidRPr="00C83DF5">
              <w:rPr>
                <w:rFonts w:ascii="Tahoma" w:hAnsi="Tahoma" w:cs="Tahoma"/>
                <w:position w:val="0"/>
                <w:sz w:val="14"/>
              </w:rPr>
              <w:t>2013</w:t>
            </w:r>
            <w:bookmarkEnd w:id="357"/>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b w:val="0"/>
                <w:color w:val="000000"/>
                <w:sz w:val="13"/>
                <w:szCs w:val="13"/>
                <w:u w:val="single"/>
              </w:rPr>
            </w:pPr>
            <w:hyperlink w:anchor="_69_SharePoint_Server" w:history="1">
              <w:r w:rsidR="00913A0A" w:rsidRPr="00DE15E2">
                <w:rPr>
                  <w:rStyle w:val="Hyperlink"/>
                  <w:b/>
                  <w:sz w:val="13"/>
                  <w:szCs w:val="13"/>
                </w:rPr>
                <w:t>78</w:t>
              </w:r>
            </w:hyperlink>
            <w:hyperlink w:anchor="_79_SharePoint_Server" w:history="1"/>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913A0A" w:rsidRPr="00C83DF5" w:rsidRDefault="00913A0A" w:rsidP="006C465D">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0911BF">
            <w:pPr>
              <w:pStyle w:val="ProductNames"/>
              <w:spacing w:beforeLines="20" w:before="48" w:afterLines="20" w:after="48"/>
              <w:rPr>
                <w:rFonts w:ascii="Tahoma" w:hAnsi="Tahoma" w:cs="Tahoma"/>
                <w:position w:val="0"/>
                <w:sz w:val="14"/>
              </w:rPr>
            </w:pPr>
            <w:bookmarkStart w:id="358" w:name="_Toc336338041"/>
            <w:bookmarkStart w:id="359" w:name="_Toc370983173"/>
            <w:r w:rsidRPr="00C83DF5">
              <w:rPr>
                <w:rFonts w:ascii="Tahoma" w:hAnsi="Tahoma" w:cs="Tahoma"/>
                <w:position w:val="0"/>
                <w:sz w:val="14"/>
              </w:rPr>
              <w:t>Enterprise CAL für SharePoint™ Server</w:t>
            </w:r>
            <w:bookmarkEnd w:id="358"/>
            <w:r w:rsidR="000911BF">
              <w:rPr>
                <w:rFonts w:ascii="Tahoma" w:hAnsi="Tahoma" w:cs="Tahoma"/>
                <w:position w:val="0"/>
                <w:sz w:val="14"/>
              </w:rPr>
              <w:t> </w:t>
            </w:r>
            <w:r w:rsidRPr="00C83DF5">
              <w:rPr>
                <w:rFonts w:ascii="Tahoma" w:hAnsi="Tahoma" w:cs="Tahoma"/>
                <w:position w:val="0"/>
                <w:sz w:val="14"/>
              </w:rPr>
              <w:t>2013</w:t>
            </w:r>
            <w:bookmarkEnd w:id="359"/>
            <w:r w:rsidRPr="00C83DF5">
              <w:rPr>
                <w:rFonts w:ascii="Tahoma" w:hAnsi="Tahoma" w:cs="Tahoma"/>
                <w:position w:val="0"/>
                <w:sz w:val="14"/>
              </w:rPr>
              <w:t xml:space="preserve"> </w:t>
            </w:r>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260"/>
        </w:trPr>
        <w:tc>
          <w:tcPr>
            <w:tcW w:w="2546" w:type="dxa"/>
            <w:gridSpan w:val="2"/>
            <w:tcBorders>
              <w:bottom w:val="single" w:sz="4" w:space="0" w:color="auto"/>
            </w:tcBorders>
            <w:shd w:val="clear" w:color="auto" w:fill="auto"/>
          </w:tcPr>
          <w:p w:rsidR="00913A0A" w:rsidRPr="00C83DF5" w:rsidRDefault="00913A0A" w:rsidP="000911BF">
            <w:pPr>
              <w:pStyle w:val="ProductNames"/>
              <w:spacing w:beforeLines="20" w:before="48" w:afterLines="20" w:after="48"/>
              <w:rPr>
                <w:rFonts w:ascii="Tahoma" w:hAnsi="Tahoma" w:cs="Tahoma"/>
                <w:position w:val="0"/>
                <w:sz w:val="14"/>
              </w:rPr>
            </w:pPr>
            <w:bookmarkStart w:id="360" w:name="_Toc336338044"/>
            <w:bookmarkStart w:id="361" w:name="_Toc370983174"/>
            <w:r w:rsidRPr="00C83DF5">
              <w:rPr>
                <w:rFonts w:ascii="Tahoma" w:hAnsi="Tahoma" w:cs="Tahoma"/>
                <w:position w:val="0"/>
                <w:sz w:val="14"/>
              </w:rPr>
              <w:t>Standard-CAL für SharePoint™ Server</w:t>
            </w:r>
            <w:bookmarkEnd w:id="360"/>
            <w:r w:rsidR="000911BF">
              <w:rPr>
                <w:rFonts w:ascii="Tahoma" w:hAnsi="Tahoma" w:cs="Tahoma"/>
                <w:position w:val="0"/>
                <w:sz w:val="14"/>
              </w:rPr>
              <w:t> </w:t>
            </w:r>
            <w:r w:rsidRPr="00C83DF5">
              <w:rPr>
                <w:rFonts w:ascii="Tahoma" w:hAnsi="Tahoma" w:cs="Tahoma"/>
                <w:position w:val="0"/>
                <w:sz w:val="14"/>
              </w:rPr>
              <w:t>2013</w:t>
            </w:r>
            <w:bookmarkEnd w:id="361"/>
          </w:p>
        </w:tc>
        <w:tc>
          <w:tcPr>
            <w:tcW w:w="414" w:type="dxa"/>
            <w:tcBorders>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Style w:val="EndnoteReference"/>
                <w:rFonts w:cs="Tahoma"/>
                <w:color w:val="000000"/>
                <w:sz w:val="13"/>
                <w:szCs w:val="13"/>
                <w:u w:val="single"/>
              </w:rPr>
            </w:pPr>
          </w:p>
        </w:tc>
        <w:tc>
          <w:tcPr>
            <w:tcW w:w="449" w:type="dxa"/>
            <w:tcBorders>
              <w:bottom w:val="single" w:sz="4" w:space="0" w:color="auto"/>
            </w:tcBorders>
            <w:shd w:val="clear" w:color="auto" w:fill="auto"/>
          </w:tcPr>
          <w:p w:rsidR="00913A0A" w:rsidRPr="00C83DF5" w:rsidRDefault="00913A0A" w:rsidP="00DE02E2">
            <w:pPr>
              <w:pStyle w:val="TableText"/>
              <w:widowControl w:val="0"/>
              <w:spacing w:beforeLines="20" w:before="48" w:afterLines="20" w:after="48"/>
              <w:rPr>
                <w:rFonts w:ascii="Tahoma" w:hAnsi="Tahoma" w:cs="Tahoma"/>
                <w:color w:val="000000"/>
                <w:sz w:val="13"/>
              </w:rPr>
            </w:pPr>
            <w:r w:rsidRPr="00C83DF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DE02E2">
            <w:pPr>
              <w:pStyle w:val="TableText"/>
              <w:widowControl w:val="0"/>
              <w:spacing w:beforeLines="20" w:before="48" w:afterLines="20" w:after="48"/>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auto"/>
            <w:vAlign w:val="center"/>
          </w:tcPr>
          <w:p w:rsidR="00913A0A" w:rsidRPr="00C83DF5" w:rsidRDefault="00913A0A" w:rsidP="00DE02E2">
            <w:pPr>
              <w:pStyle w:val="TableText"/>
              <w:widowControl w:val="0"/>
              <w:spacing w:beforeLines="20" w:before="48" w:afterLines="20" w:after="48"/>
              <w:rPr>
                <w:rFonts w:ascii="Tahoma" w:hAnsi="Tahoma" w:cs="Tahoma"/>
                <w:sz w:val="13"/>
              </w:rPr>
            </w:pPr>
          </w:p>
        </w:tc>
        <w:tc>
          <w:tcPr>
            <w:tcW w:w="484" w:type="dxa"/>
            <w:tcBorders>
              <w:bottom w:val="single" w:sz="4" w:space="0" w:color="auto"/>
            </w:tcBorders>
          </w:tcPr>
          <w:p w:rsidR="00913A0A" w:rsidRPr="00C83DF5" w:rsidRDefault="002C4BA9" w:rsidP="00DE02E2">
            <w:pPr>
              <w:pStyle w:val="TableText"/>
              <w:widowControl w:val="0"/>
              <w:spacing w:beforeLines="20" w:before="48" w:afterLines="20" w:after="48"/>
              <w:rPr>
                <w:rFonts w:ascii="Tahoma" w:hAnsi="Tahoma" w:cs="Tahoma"/>
                <w:sz w:val="13"/>
              </w:rPr>
            </w:pPr>
            <w:r w:rsidRPr="00C83DF5">
              <w:rPr>
                <w:rFonts w:ascii="Tahoma" w:hAnsi="Tahoma" w:cs="Tahoma"/>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0911BF">
            <w:pPr>
              <w:pStyle w:val="ProductNames"/>
              <w:spacing w:beforeLines="20" w:before="48" w:afterLines="20" w:after="48"/>
              <w:rPr>
                <w:rFonts w:ascii="Tahoma" w:hAnsi="Tahoma" w:cs="Tahoma"/>
                <w:position w:val="0"/>
                <w:sz w:val="14"/>
                <w:lang w:val="pt-BR"/>
              </w:rPr>
            </w:pPr>
            <w:bookmarkStart w:id="362" w:name="_Toc336338045"/>
            <w:bookmarkStart w:id="363" w:name="_Toc370983175"/>
            <w:r w:rsidRPr="00C83DF5">
              <w:rPr>
                <w:rFonts w:ascii="Tahoma" w:hAnsi="Tahoma" w:cs="Tahoma"/>
                <w:position w:val="0"/>
                <w:sz w:val="14"/>
                <w:lang w:val="pt-BR"/>
              </w:rPr>
              <w:t>SQL Server</w:t>
            </w:r>
            <w:r w:rsidRPr="00C83DF5">
              <w:rPr>
                <w:rFonts w:ascii="Tahoma" w:eastAsia="Times New Roman" w:hAnsi="Tahoma" w:cs="Tahoma"/>
                <w:color w:val="000000"/>
                <w:position w:val="0"/>
                <w:sz w:val="18"/>
                <w:szCs w:val="18"/>
                <w:vertAlign w:val="superscript"/>
                <w:lang w:val="pt-BR"/>
              </w:rPr>
              <w:t>®</w:t>
            </w:r>
            <w:r w:rsidRPr="00C83DF5">
              <w:rPr>
                <w:rFonts w:ascii="Tahoma" w:hAnsi="Tahoma" w:cs="Tahoma"/>
                <w:position w:val="0"/>
                <w:sz w:val="14"/>
                <w:lang w:val="pt-BR"/>
              </w:rPr>
              <w:t xml:space="preserve"> 2008 R2 Datacenter, 1</w:t>
            </w:r>
            <w:r w:rsidR="000911BF">
              <w:rPr>
                <w:rFonts w:ascii="Tahoma" w:hAnsi="Tahoma" w:cs="Tahoma"/>
                <w:position w:val="0"/>
                <w:sz w:val="14"/>
                <w:lang w:val="pt-BR"/>
              </w:rPr>
              <w:t> </w:t>
            </w:r>
            <w:r w:rsidRPr="00C83DF5">
              <w:rPr>
                <w:rFonts w:ascii="Tahoma" w:hAnsi="Tahoma" w:cs="Tahoma"/>
                <w:position w:val="0"/>
                <w:sz w:val="14"/>
                <w:lang w:val="pt-BR"/>
              </w:rPr>
              <w:t>Prozessorlizenz</w:t>
            </w:r>
            <w:bookmarkEnd w:id="362"/>
            <w:bookmarkEnd w:id="363"/>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b/>
                <w:color w:val="0000FF"/>
                <w:sz w:val="13"/>
                <w:szCs w:val="13"/>
                <w:u w:val="single"/>
              </w:rPr>
            </w:pPr>
            <w:hyperlink w:anchor="_75_73_SQL" w:history="1">
              <w:r w:rsidR="00CF5A3E" w:rsidRPr="00C83DF5">
                <w:rPr>
                  <w:rStyle w:val="Hyperlink"/>
                  <w:b/>
                  <w:sz w:val="13"/>
                  <w:szCs w:val="13"/>
                </w:rPr>
                <w:t>79</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64" w:name="_Toc336338048"/>
            <w:bookmarkStart w:id="365" w:name="_Toc370983176"/>
            <w:r w:rsidRPr="00C83DF5">
              <w:rPr>
                <w:rFonts w:ascii="Tahoma" w:hAnsi="Tahoma" w:cs="Tahoma"/>
                <w:position w:val="0"/>
                <w:sz w:val="14"/>
              </w:rPr>
              <w:t>SQL Server</w:t>
            </w:r>
            <w:r w:rsidRPr="00DF3F89">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2008 R2 Small Business</w:t>
            </w:r>
            <w:bookmarkEnd w:id="364"/>
            <w:bookmarkEnd w:id="365"/>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rFonts w:cs="Tahoma"/>
                <w:b w:val="0"/>
                <w:color w:val="000000"/>
                <w:sz w:val="13"/>
                <w:szCs w:val="13"/>
                <w:u w:val="single"/>
              </w:rPr>
            </w:pPr>
            <w:hyperlink w:anchor="_76_74_SQL" w:history="1">
              <w:r w:rsidR="00CF5A3E" w:rsidRPr="00C83DF5">
                <w:rPr>
                  <w:rStyle w:val="Hyperlink"/>
                  <w:b/>
                  <w:sz w:val="13"/>
                  <w:szCs w:val="13"/>
                </w:rPr>
                <w:t>80</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66" w:name="_Toc336338049"/>
            <w:bookmarkStart w:id="367" w:name="_Toc370983177"/>
            <w:r w:rsidRPr="00C83DF5">
              <w:rPr>
                <w:rFonts w:ascii="Tahoma" w:hAnsi="Tahoma" w:cs="Tahoma"/>
                <w:position w:val="0"/>
                <w:sz w:val="14"/>
              </w:rPr>
              <w:t>CAL für 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2008 R2 Small Business</w:t>
            </w:r>
            <w:bookmarkEnd w:id="366"/>
            <w:bookmarkEnd w:id="367"/>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68" w:name="_Toc336338050"/>
            <w:bookmarkStart w:id="369" w:name="_Toc370983178"/>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2008 R2 Web pro Prozessor</w:t>
            </w:r>
            <w:bookmarkEnd w:id="368"/>
            <w:bookmarkEnd w:id="369"/>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rFonts w:cs="Tahoma"/>
                <w:b w:val="0"/>
                <w:color w:val="000000"/>
                <w:sz w:val="13"/>
                <w:szCs w:val="13"/>
                <w:u w:val="single"/>
              </w:rPr>
            </w:pPr>
            <w:hyperlink w:anchor="_77_75_SQL" w:history="1">
              <w:r w:rsidR="00CF5A3E" w:rsidRPr="00C83DF5">
                <w:rPr>
                  <w:rStyle w:val="Hyperlink"/>
                  <w:b/>
                  <w:sz w:val="13"/>
                  <w:szCs w:val="13"/>
                </w:rPr>
                <w:t>81</w:t>
              </w:r>
            </w:hyperlink>
            <w:hyperlink w:anchor="Srv_84SQL2008R2Webproc" w:history="1"/>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70" w:name="_Toc336338051"/>
            <w:bookmarkStart w:id="371" w:name="_Toc370983179"/>
            <w:r w:rsidRPr="00C83DF5">
              <w:rPr>
                <w:rFonts w:ascii="Tahoma" w:hAnsi="Tahoma" w:cs="Tahoma"/>
                <w:position w:val="0"/>
                <w:sz w:val="14"/>
              </w:rPr>
              <w:t>CAL für 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2008 R2 Workgroup</w:t>
            </w:r>
            <w:bookmarkEnd w:id="370"/>
            <w:bookmarkEnd w:id="371"/>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72" w:name="_Toc336338053"/>
            <w:bookmarkStart w:id="373" w:name="_Toc370983180"/>
            <w:r w:rsidRPr="00C83DF5">
              <w:rPr>
                <w:rFonts w:ascii="Tahoma" w:hAnsi="Tahoma" w:cs="Tahoma"/>
                <w:position w:val="0"/>
                <w:sz w:val="14"/>
                <w:szCs w:val="18"/>
              </w:rPr>
              <w:t>SQL Server</w:t>
            </w:r>
            <w:r w:rsidRPr="00C83DF5">
              <w:rPr>
                <w:rFonts w:ascii="Tahoma" w:eastAsia="Times New Roman" w:hAnsi="Tahoma" w:cs="Tahoma"/>
                <w:color w:val="000000"/>
                <w:position w:val="0"/>
                <w:sz w:val="14"/>
                <w:szCs w:val="18"/>
                <w:vertAlign w:val="superscript"/>
              </w:rPr>
              <w:t>®</w:t>
            </w:r>
            <w:r w:rsidRPr="00C83DF5">
              <w:rPr>
                <w:rFonts w:ascii="Tahoma" w:hAnsi="Tahoma" w:cs="Tahoma"/>
                <w:position w:val="0"/>
                <w:sz w:val="14"/>
                <w:szCs w:val="18"/>
              </w:rPr>
              <w:t xml:space="preserve"> 2008 R2 Workgroup </w:t>
            </w:r>
            <w:r w:rsidR="000911BF">
              <w:rPr>
                <w:rFonts w:ascii="Tahoma" w:hAnsi="Tahoma" w:cs="Tahoma"/>
                <w:position w:val="0"/>
                <w:sz w:val="14"/>
                <w:szCs w:val="18"/>
              </w:rPr>
              <w:br/>
            </w:r>
            <w:r w:rsidRPr="00C83DF5">
              <w:rPr>
                <w:rFonts w:ascii="Tahoma" w:hAnsi="Tahoma" w:cs="Tahoma"/>
                <w:position w:val="0"/>
                <w:sz w:val="14"/>
                <w:szCs w:val="18"/>
              </w:rPr>
              <w:t>(Add-On für 5 Clients)</w:t>
            </w:r>
            <w:bookmarkEnd w:id="372"/>
            <w:bookmarkEnd w:id="373"/>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b w:val="0"/>
                <w:color w:val="000000"/>
                <w:sz w:val="13"/>
                <w:szCs w:val="13"/>
                <w:u w:val="single"/>
              </w:rPr>
            </w:pPr>
            <w:hyperlink w:anchor="_85_84_SQL" w:history="1">
              <w:r w:rsidR="00CF5A3E" w:rsidRPr="00C83DF5">
                <w:rPr>
                  <w:rStyle w:val="Hyperlink"/>
                  <w:b/>
                  <w:sz w:val="13"/>
                  <w:szCs w:val="13"/>
                </w:rPr>
                <w:t>82</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0911BF">
            <w:pPr>
              <w:pStyle w:val="ProductNames"/>
              <w:spacing w:beforeLines="20" w:before="48" w:afterLines="20" w:after="48"/>
              <w:rPr>
                <w:rFonts w:ascii="Tahoma" w:hAnsi="Tahoma" w:cs="Tahoma"/>
                <w:position w:val="0"/>
                <w:sz w:val="14"/>
                <w:szCs w:val="18"/>
              </w:rPr>
            </w:pPr>
            <w:bookmarkStart w:id="374" w:name="_Toc336338052"/>
            <w:bookmarkStart w:id="375" w:name="_Toc370983181"/>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2008 R2 Workgroup, 1</w:t>
            </w:r>
            <w:r w:rsidR="000911BF">
              <w:rPr>
                <w:rFonts w:ascii="Tahoma" w:hAnsi="Tahoma" w:cs="Tahoma"/>
                <w:position w:val="0"/>
                <w:sz w:val="14"/>
              </w:rPr>
              <w:t> </w:t>
            </w:r>
            <w:r w:rsidRPr="00C83DF5">
              <w:rPr>
                <w:rFonts w:ascii="Tahoma" w:hAnsi="Tahoma" w:cs="Tahoma"/>
                <w:position w:val="0"/>
                <w:sz w:val="14"/>
              </w:rPr>
              <w:t>Prozessorlizenz</w:t>
            </w:r>
            <w:bookmarkEnd w:id="374"/>
            <w:bookmarkEnd w:id="375"/>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rStyle w:val="EndnoteReference"/>
                <w:b w:val="0"/>
                <w:color w:val="000000"/>
                <w:sz w:val="13"/>
                <w:szCs w:val="13"/>
              </w:rPr>
            </w:pPr>
            <w:hyperlink w:anchor="_79_77_SQL" w:history="1">
              <w:r w:rsidR="00CF5A3E" w:rsidRPr="00C83DF5">
                <w:rPr>
                  <w:rStyle w:val="Hyperlink"/>
                  <w:b/>
                  <w:sz w:val="13"/>
                  <w:szCs w:val="13"/>
                </w:rPr>
                <w:t>83</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76" w:name="_Toc336338054"/>
            <w:bookmarkStart w:id="377" w:name="_Toc370983182"/>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2012 </w:t>
            </w:r>
            <w:r w:rsidR="00FE39CE">
              <w:rPr>
                <w:rFonts w:ascii="Tahoma" w:hAnsi="Tahoma" w:cs="Tahoma"/>
                <w:position w:val="0"/>
                <w:sz w:val="14"/>
              </w:rPr>
              <w:br/>
            </w:r>
            <w:r w:rsidRPr="00C83DF5">
              <w:rPr>
                <w:rFonts w:ascii="Tahoma" w:hAnsi="Tahoma" w:cs="Tahoma"/>
                <w:position w:val="0"/>
                <w:sz w:val="14"/>
              </w:rPr>
              <w:t>Business Intelligence</w:t>
            </w:r>
            <w:bookmarkEnd w:id="376"/>
            <w:bookmarkEnd w:id="377"/>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u w:val="single"/>
              </w:rPr>
              <w:t>75</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188</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150</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113</w:t>
            </w:r>
          </w:p>
        </w:tc>
        <w:tc>
          <w:tcPr>
            <w:tcW w:w="450" w:type="dxa"/>
            <w:gridSpan w:val="2"/>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113</w:t>
            </w:r>
          </w:p>
        </w:tc>
        <w:tc>
          <w:tcPr>
            <w:tcW w:w="455" w:type="dxa"/>
            <w:gridSpan w:val="2"/>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75</w:t>
            </w:r>
          </w:p>
        </w:tc>
        <w:tc>
          <w:tcPr>
            <w:tcW w:w="366"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75</w:t>
            </w:r>
          </w:p>
        </w:tc>
        <w:tc>
          <w:tcPr>
            <w:tcW w:w="450" w:type="dxa"/>
            <w:tcBorders>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szCs w:val="13"/>
              </w:rPr>
            </w:pPr>
            <w:r w:rsidRPr="00C83DF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8A0F85" w:rsidRPr="00C83DF5" w:rsidTr="00EF001C">
        <w:trPr>
          <w:trHeight w:val="404"/>
        </w:trPr>
        <w:tc>
          <w:tcPr>
            <w:tcW w:w="2546" w:type="dxa"/>
            <w:gridSpan w:val="2"/>
            <w:tcBorders>
              <w:bottom w:val="single" w:sz="4" w:space="0" w:color="auto"/>
            </w:tcBorders>
            <w:shd w:val="clear" w:color="auto" w:fill="FABF8F"/>
            <w:vAlign w:val="center"/>
          </w:tcPr>
          <w:p w:rsidR="00913A0A" w:rsidRPr="00D942DF" w:rsidRDefault="00913A0A" w:rsidP="00DE02E2">
            <w:pPr>
              <w:pStyle w:val="ProductNames"/>
              <w:spacing w:beforeLines="20" w:before="48" w:afterLines="20" w:after="48"/>
              <w:rPr>
                <w:rFonts w:ascii="Tahoma" w:hAnsi="Tahoma" w:cs="Tahoma"/>
                <w:position w:val="0"/>
                <w:sz w:val="14"/>
                <w:lang w:val="de-DE"/>
              </w:rPr>
            </w:pPr>
            <w:bookmarkStart w:id="378" w:name="_Toc336338055"/>
            <w:bookmarkStart w:id="379" w:name="_Toc370983183"/>
            <w:r w:rsidRPr="00D942DF">
              <w:rPr>
                <w:rFonts w:ascii="Tahoma" w:hAnsi="Tahoma" w:cs="Tahoma"/>
                <w:position w:val="0"/>
                <w:sz w:val="14"/>
                <w:lang w:val="de-DE"/>
              </w:rPr>
              <w:t>CAL für SQL Server</w:t>
            </w:r>
            <w:r w:rsidRPr="00D942DF">
              <w:rPr>
                <w:rFonts w:ascii="Tahoma" w:eastAsia="Times New Roman" w:hAnsi="Tahoma" w:cs="Tahoma"/>
                <w:color w:val="000000"/>
                <w:position w:val="0"/>
                <w:sz w:val="18"/>
                <w:szCs w:val="18"/>
                <w:vertAlign w:val="superscript"/>
                <w:lang w:val="de-DE"/>
              </w:rPr>
              <w:t>®</w:t>
            </w:r>
            <w:r w:rsidRPr="00D942DF">
              <w:rPr>
                <w:rFonts w:ascii="Tahoma" w:hAnsi="Tahoma" w:cs="Tahoma"/>
                <w:position w:val="0"/>
                <w:sz w:val="14"/>
                <w:lang w:val="de-DE"/>
              </w:rPr>
              <w:t xml:space="preserve"> 2012 </w:t>
            </w:r>
            <w:r w:rsidR="000911BF" w:rsidRPr="00D942DF">
              <w:rPr>
                <w:rFonts w:ascii="Tahoma" w:hAnsi="Tahoma" w:cs="Tahoma"/>
                <w:position w:val="0"/>
                <w:sz w:val="14"/>
                <w:lang w:val="de-DE"/>
              </w:rPr>
              <w:br/>
            </w:r>
            <w:r w:rsidRPr="00D942DF">
              <w:rPr>
                <w:rFonts w:ascii="Tahoma" w:hAnsi="Tahoma" w:cs="Tahoma"/>
                <w:position w:val="0"/>
                <w:sz w:val="14"/>
                <w:lang w:val="de-DE"/>
              </w:rPr>
              <w:t>(Geräte- &amp; Nutzer-AL)</w:t>
            </w:r>
            <w:bookmarkEnd w:id="378"/>
            <w:bookmarkEnd w:id="379"/>
          </w:p>
        </w:tc>
        <w:tc>
          <w:tcPr>
            <w:tcW w:w="414" w:type="dxa"/>
            <w:tcBorders>
              <w:bottom w:val="single" w:sz="4" w:space="0" w:color="auto"/>
            </w:tcBorders>
            <w:shd w:val="clear" w:color="auto" w:fill="FABF8F"/>
            <w:vAlign w:val="center"/>
          </w:tcPr>
          <w:p w:rsidR="00913A0A" w:rsidRPr="00D942DF" w:rsidRDefault="00913A0A" w:rsidP="001A63C6">
            <w:pPr>
              <w:pStyle w:val="TableText"/>
              <w:widowControl w:val="0"/>
              <w:rPr>
                <w:rStyle w:val="EndnoteReference"/>
                <w:color w:val="000000"/>
                <w:sz w:val="13"/>
                <w:szCs w:val="13"/>
                <w:u w:val="single"/>
                <w:lang w:val="de-D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AO,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913A0A" w:rsidRPr="00C83DF5" w:rsidTr="004909D7">
        <w:trPr>
          <w:trHeight w:val="260"/>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80" w:name="_Toc336338056"/>
            <w:bookmarkStart w:id="381" w:name="_Toc370983184"/>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2012 Developer</w:t>
            </w:r>
            <w:bookmarkEnd w:id="380"/>
            <w:bookmarkEnd w:id="381"/>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b w:val="0"/>
                <w:color w:val="000000"/>
                <w:sz w:val="13"/>
                <w:szCs w:val="13"/>
              </w:rPr>
            </w:pPr>
            <w:hyperlink w:anchor="_80_78_SQL" w:history="1">
              <w:r w:rsidR="00CF5A3E" w:rsidRPr="00C83DF5">
                <w:rPr>
                  <w:rStyle w:val="Hyperlink"/>
                  <w:b/>
                  <w:sz w:val="13"/>
                  <w:szCs w:val="13"/>
                </w:rPr>
                <w:t>84</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82" w:name="_Toc336338057"/>
            <w:bookmarkStart w:id="383" w:name="_Toc370983185"/>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2012 Enterprise</w:t>
            </w:r>
            <w:bookmarkEnd w:id="382"/>
            <w:bookmarkEnd w:id="383"/>
            <w:r w:rsidRPr="00C83DF5">
              <w:rPr>
                <w:rFonts w:ascii="Tahoma" w:hAnsi="Tahoma" w:cs="Tahoma"/>
                <w:position w:val="0"/>
                <w:sz w:val="14"/>
              </w:rPr>
              <w:t xml:space="preserve"> </w:t>
            </w:r>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rStyle w:val="EndnoteReference"/>
                <w:b w:val="0"/>
                <w:color w:val="000000"/>
                <w:sz w:val="13"/>
                <w:szCs w:val="13"/>
              </w:rPr>
            </w:pPr>
            <w:hyperlink w:anchor="_81_79_SQL" w:history="1">
              <w:r w:rsidR="00CF5A3E" w:rsidRPr="00C83DF5">
                <w:rPr>
                  <w:rStyle w:val="Hyperlink"/>
                  <w:b/>
                  <w:sz w:val="13"/>
                  <w:szCs w:val="13"/>
                </w:rPr>
                <w:t>85</w:t>
              </w:r>
            </w:hyperlink>
            <w:hyperlink w:anchor="_81_79_SQL" w:history="1"/>
            <w:hyperlink w:anchor="Srv_88SQLServer2012Enterprise" w:history="1"/>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188</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113</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0911BF">
            <w:pPr>
              <w:pStyle w:val="ProductNames"/>
              <w:spacing w:beforeLines="20" w:before="48" w:afterLines="20" w:after="48"/>
              <w:rPr>
                <w:rFonts w:ascii="Tahoma" w:hAnsi="Tahoma" w:cs="Tahoma"/>
                <w:position w:val="0"/>
                <w:sz w:val="14"/>
              </w:rPr>
            </w:pPr>
            <w:bookmarkStart w:id="384" w:name="_Toc336338058"/>
            <w:bookmarkStart w:id="385" w:name="_Toc370983186"/>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2012 Enterprise Core (2</w:t>
            </w:r>
            <w:r w:rsidR="000911BF">
              <w:rPr>
                <w:rFonts w:ascii="Tahoma" w:hAnsi="Tahoma" w:cs="Tahoma"/>
                <w:position w:val="0"/>
                <w:sz w:val="14"/>
              </w:rPr>
              <w:t> </w:t>
            </w:r>
            <w:r w:rsidRPr="00C83DF5">
              <w:rPr>
                <w:rFonts w:ascii="Tahoma" w:hAnsi="Tahoma" w:cs="Tahoma"/>
                <w:position w:val="0"/>
                <w:sz w:val="14"/>
              </w:rPr>
              <w:t>Pack Core-Lizenz)</w:t>
            </w:r>
            <w:bookmarkEnd w:id="384"/>
            <w:bookmarkEnd w:id="385"/>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b w:val="0"/>
                <w:color w:val="0000FF"/>
                <w:sz w:val="13"/>
                <w:szCs w:val="13"/>
                <w:u w:val="single"/>
              </w:rPr>
            </w:pPr>
            <w:hyperlink w:anchor="_80_SQL_Server®" w:history="1">
              <w:r w:rsidR="00CF5A3E" w:rsidRPr="00C83DF5">
                <w:rPr>
                  <w:rStyle w:val="Hyperlink"/>
                  <w:b/>
                  <w:sz w:val="13"/>
                  <w:szCs w:val="13"/>
                </w:rPr>
                <w:t>86</w:t>
              </w:r>
            </w:hyperlink>
            <w:hyperlink w:anchor="Srv_89SQLServer2012EnterpriseCore" w:history="1"/>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313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188</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188</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86" w:name="_Toc336338046"/>
            <w:bookmarkStart w:id="387" w:name="_Toc370983187"/>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2012 Parallel Data Warehouse</w:t>
            </w:r>
            <w:bookmarkEnd w:id="386"/>
            <w:bookmarkEnd w:id="387"/>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rStyle w:val="EndnoteReference"/>
                <w:rFonts w:cs="Tahoma"/>
                <w:b w:val="0"/>
                <w:color w:val="000000"/>
                <w:sz w:val="13"/>
                <w:szCs w:val="13"/>
                <w:u w:val="single"/>
              </w:rPr>
            </w:pPr>
            <w:hyperlink w:anchor="_80_SQL_Server" w:history="1">
              <w:r w:rsidR="00CF5A3E" w:rsidRPr="00C83DF5">
                <w:rPr>
                  <w:rStyle w:val="Hyperlink"/>
                  <w:b/>
                  <w:sz w:val="13"/>
                  <w:szCs w:val="13"/>
                </w:rPr>
                <w:t>87</w:t>
              </w:r>
            </w:hyperlink>
            <w:hyperlink w:anchor="_80_SQL_Server" w:history="1"/>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400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300</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300</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200</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45693C"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88" w:name="_Toc336338047"/>
            <w:bookmarkStart w:id="389" w:name="_Toc370983188"/>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2012 Parallel Data Warehouse Developer</w:t>
            </w:r>
            <w:bookmarkEnd w:id="388"/>
            <w:bookmarkEnd w:id="389"/>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90" w:name="_Toc336338059"/>
            <w:bookmarkStart w:id="391" w:name="_Toc370983189"/>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2012 Standard</w:t>
            </w:r>
            <w:bookmarkEnd w:id="390"/>
            <w:bookmarkEnd w:id="391"/>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rFonts w:cs="Tahoma"/>
                <w:b w:val="0"/>
                <w:color w:val="0000FF"/>
                <w:sz w:val="13"/>
                <w:szCs w:val="13"/>
                <w:u w:val="single"/>
              </w:rPr>
            </w:pPr>
            <w:hyperlink w:anchor="_82_SQL_Server®" w:history="1">
              <w:r w:rsidR="00CF5A3E" w:rsidRPr="00C83DF5">
                <w:rPr>
                  <w:rStyle w:val="Hyperlink"/>
                  <w:b/>
                  <w:sz w:val="13"/>
                  <w:szCs w:val="13"/>
                </w:rPr>
                <w:t>88</w:t>
              </w:r>
            </w:hyperlink>
            <w:hyperlink w:anchor="Srv_90SQLServer2012Standard" w:history="1"/>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23</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0911BF">
            <w:pPr>
              <w:pStyle w:val="ProductNames"/>
              <w:spacing w:beforeLines="20" w:before="48" w:afterLines="20" w:after="48"/>
              <w:rPr>
                <w:rFonts w:ascii="Tahoma" w:hAnsi="Tahoma" w:cs="Tahoma"/>
                <w:position w:val="0"/>
                <w:sz w:val="14"/>
              </w:rPr>
            </w:pPr>
            <w:bookmarkStart w:id="392" w:name="_Toc336338060"/>
            <w:bookmarkStart w:id="393" w:name="_Toc370983190"/>
            <w:r w:rsidRPr="00C83DF5">
              <w:rPr>
                <w:rFonts w:ascii="Tahoma" w:hAnsi="Tahoma" w:cs="Tahoma"/>
                <w:position w:val="0"/>
                <w:sz w:val="14"/>
              </w:rPr>
              <w:t>SQL Server</w:t>
            </w:r>
            <w:r w:rsidRPr="00C83DF5">
              <w:rPr>
                <w:rFonts w:ascii="Tahoma" w:eastAsia="Times New Roman" w:hAnsi="Tahoma" w:cs="Tahoma"/>
                <w:color w:val="000000"/>
                <w:position w:val="0"/>
                <w:sz w:val="18"/>
                <w:szCs w:val="18"/>
                <w:vertAlign w:val="superscript"/>
              </w:rPr>
              <w:t>®</w:t>
            </w:r>
            <w:r w:rsidRPr="00C83DF5">
              <w:rPr>
                <w:rFonts w:ascii="Tahoma" w:hAnsi="Tahoma" w:cs="Tahoma"/>
                <w:position w:val="0"/>
                <w:sz w:val="14"/>
              </w:rPr>
              <w:t xml:space="preserve"> 2012 Standard Core (2</w:t>
            </w:r>
            <w:r w:rsidR="000911BF">
              <w:rPr>
                <w:rFonts w:ascii="Tahoma" w:hAnsi="Tahoma" w:cs="Tahoma"/>
                <w:position w:val="0"/>
                <w:sz w:val="14"/>
              </w:rPr>
              <w:t> </w:t>
            </w:r>
            <w:r w:rsidRPr="00C83DF5">
              <w:rPr>
                <w:rFonts w:ascii="Tahoma" w:hAnsi="Tahoma" w:cs="Tahoma"/>
                <w:position w:val="0"/>
                <w:sz w:val="14"/>
              </w:rPr>
              <w:t>Pack Core-Lizenz)</w:t>
            </w:r>
            <w:bookmarkEnd w:id="392"/>
            <w:bookmarkEnd w:id="393"/>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rStyle w:val="EndnoteReference"/>
                <w:rFonts w:cs="Tahoma"/>
                <w:b w:val="0"/>
                <w:color w:val="000000"/>
                <w:sz w:val="13"/>
                <w:szCs w:val="13"/>
                <w:u w:val="single"/>
              </w:rPr>
            </w:pPr>
            <w:hyperlink w:anchor="_85_83_SQL" w:history="1">
              <w:r w:rsidR="00CF5A3E" w:rsidRPr="00C83DF5">
                <w:rPr>
                  <w:rStyle w:val="Hyperlink"/>
                  <w:b/>
                  <w:sz w:val="13"/>
                  <w:szCs w:val="13"/>
                </w:rPr>
                <w:t>89</w:t>
              </w:r>
            </w:hyperlink>
            <w:hyperlink w:anchor="Srv_91SQLServer2012StandardCore" w:history="1"/>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913A0A" w:rsidRPr="00C83DF5" w:rsidTr="00EF001C">
        <w:trPr>
          <w:trHeight w:val="593"/>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394" w:name="_Toc336338062"/>
            <w:bookmarkStart w:id="395" w:name="_Toc370983191"/>
            <w:r w:rsidRPr="00C83DF5">
              <w:rPr>
                <w:rFonts w:ascii="Tahoma" w:hAnsi="Tahoma" w:cs="Tahoma"/>
                <w:position w:val="0"/>
                <w:sz w:val="14"/>
              </w:rPr>
              <w:t>Enterprise-Server-Management-Lizenz für System Center Configuration Manager 2007 R3</w:t>
            </w:r>
            <w:bookmarkEnd w:id="394"/>
            <w:bookmarkEnd w:id="395"/>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80"/>
              <w:rPr>
                <w:rFonts w:ascii="Tahoma" w:hAnsi="Tahoma" w:cs="Tahoma"/>
                <w:color w:val="000000"/>
                <w:sz w:val="13"/>
              </w:rPr>
            </w:pPr>
            <w:r w:rsidRPr="00C83DF5">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83460">
            <w:pPr>
              <w:pStyle w:val="ProductNames"/>
              <w:keepNext/>
              <w:spacing w:beforeLines="20" w:before="48" w:afterLines="20" w:after="48"/>
              <w:rPr>
                <w:rFonts w:ascii="Tahoma" w:hAnsi="Tahoma" w:cs="Tahoma"/>
                <w:position w:val="0"/>
                <w:sz w:val="14"/>
                <w:lang w:val="de-DE"/>
              </w:rPr>
            </w:pPr>
            <w:bookmarkStart w:id="396" w:name="_Toc336338063"/>
            <w:bookmarkStart w:id="397" w:name="_Toc370983192"/>
            <w:r w:rsidRPr="00C83DF5">
              <w:rPr>
                <w:rFonts w:ascii="Tahoma" w:hAnsi="Tahoma" w:cs="Tahoma"/>
                <w:position w:val="0"/>
                <w:sz w:val="14"/>
                <w:lang w:val="de-DE"/>
              </w:rPr>
              <w:t>Standard-Server-Management-Lizenz (Standard-Server-ML) für System Center Configuration Manager 2007 R3</w:t>
            </w:r>
            <w:bookmarkEnd w:id="396"/>
            <w:bookmarkEnd w:id="397"/>
          </w:p>
        </w:tc>
        <w:tc>
          <w:tcPr>
            <w:tcW w:w="414" w:type="dxa"/>
            <w:tcBorders>
              <w:bottom w:val="single" w:sz="4" w:space="0" w:color="auto"/>
            </w:tcBorders>
            <w:shd w:val="clear" w:color="auto" w:fill="FABF8F"/>
            <w:vAlign w:val="center"/>
          </w:tcPr>
          <w:p w:rsidR="00913A0A" w:rsidRPr="00C83DF5" w:rsidRDefault="00913A0A" w:rsidP="00183460">
            <w:pPr>
              <w:pStyle w:val="TableText"/>
              <w:keepNext/>
              <w:keepLines/>
              <w:widowControl w:val="0"/>
              <w:rPr>
                <w:rStyle w:val="EndnoteReference"/>
                <w:color w:val="0000FF"/>
                <w:sz w:val="13"/>
                <w:szCs w:val="13"/>
                <w:u w:val="single"/>
                <w:lang w:val="de-DE"/>
              </w:rPr>
            </w:pPr>
          </w:p>
        </w:tc>
        <w:tc>
          <w:tcPr>
            <w:tcW w:w="449" w:type="dxa"/>
            <w:tcBorders>
              <w:bottom w:val="single" w:sz="4" w:space="0" w:color="auto"/>
            </w:tcBorders>
            <w:shd w:val="clear" w:color="auto" w:fill="FABF8F"/>
          </w:tcPr>
          <w:p w:rsidR="00913A0A" w:rsidRPr="00C83DF5" w:rsidRDefault="00913A0A" w:rsidP="00183460">
            <w:pPr>
              <w:pStyle w:val="TableText"/>
              <w:keepNext/>
              <w:keepLines/>
              <w:widowControl w:val="0"/>
              <w:spacing w:before="180"/>
              <w:rPr>
                <w:rFonts w:ascii="Tahoma" w:hAnsi="Tahoma" w:cs="Tahoma"/>
                <w:color w:val="000000"/>
                <w:sz w:val="13"/>
              </w:rPr>
            </w:pPr>
            <w:r w:rsidRPr="00C83DF5">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r w:rsidRPr="00C83DF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C83DF5" w:rsidRDefault="00913A0A" w:rsidP="00183460">
            <w:pPr>
              <w:pStyle w:val="TableText"/>
              <w:keepNext/>
              <w:keepLines/>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83460">
            <w:pPr>
              <w:pStyle w:val="TableText"/>
              <w:keepNext/>
              <w:keepLines/>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83460">
            <w:pPr>
              <w:pStyle w:val="TableText"/>
              <w:keepNext/>
              <w:keepLines/>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10" w:before="24" w:afterLines="10" w:after="24"/>
              <w:rPr>
                <w:rFonts w:ascii="Tahoma" w:hAnsi="Tahoma" w:cs="Tahoma"/>
                <w:position w:val="0"/>
                <w:sz w:val="14"/>
              </w:rPr>
            </w:pPr>
            <w:bookmarkStart w:id="398" w:name="_Toc257333903"/>
            <w:bookmarkStart w:id="399" w:name="_Toc336338067"/>
            <w:bookmarkStart w:id="400" w:name="_Toc370983193"/>
            <w:r w:rsidRPr="00C83DF5">
              <w:rPr>
                <w:rFonts w:ascii="Tahoma" w:hAnsi="Tahoma" w:cs="Tahoma"/>
                <w:position w:val="0"/>
                <w:sz w:val="14"/>
              </w:rPr>
              <w:t>Enterprise-Server-Management-Lizenz für System Center Data Protection Manager 2010</w:t>
            </w:r>
            <w:bookmarkEnd w:id="398"/>
            <w:bookmarkEnd w:id="399"/>
            <w:bookmarkEnd w:id="400"/>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jc w:val="left"/>
              <w:rPr>
                <w:rStyle w:val="EndnoteReference"/>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80"/>
              <w:rPr>
                <w:rFonts w:ascii="Tahoma" w:hAnsi="Tahoma" w:cs="Tahoma"/>
                <w:color w:val="000000"/>
                <w:sz w:val="13"/>
              </w:rPr>
            </w:pPr>
            <w:r w:rsidRPr="00C83DF5">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AO,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10" w:before="24" w:afterLines="10" w:after="24"/>
              <w:rPr>
                <w:rFonts w:ascii="Tahoma" w:hAnsi="Tahoma" w:cs="Tahoma"/>
                <w:position w:val="0"/>
                <w:sz w:val="14"/>
              </w:rPr>
            </w:pPr>
            <w:bookmarkStart w:id="401" w:name="_Toc257333904"/>
            <w:bookmarkStart w:id="402" w:name="_Toc336338068"/>
            <w:bookmarkStart w:id="403" w:name="_Toc370983194"/>
            <w:r w:rsidRPr="00C83DF5">
              <w:rPr>
                <w:rFonts w:ascii="Tahoma" w:hAnsi="Tahoma" w:cs="Tahoma"/>
                <w:position w:val="0"/>
                <w:sz w:val="14"/>
              </w:rPr>
              <w:lastRenderedPageBreak/>
              <w:t>Standard-Server-Management-Lizenz für System Center Data Protection Manager 2010</w:t>
            </w:r>
            <w:bookmarkEnd w:id="401"/>
            <w:bookmarkEnd w:id="402"/>
            <w:bookmarkEnd w:id="403"/>
            <w:r w:rsidRPr="00C83DF5">
              <w:rPr>
                <w:rFonts w:ascii="Tahoma" w:hAnsi="Tahoma" w:cs="Tahoma"/>
                <w:position w:val="0"/>
                <w:sz w:val="14"/>
              </w:rPr>
              <w:t xml:space="preserve"> </w:t>
            </w:r>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color w:val="0000FF"/>
                <w:sz w:val="13"/>
                <w:szCs w:val="13"/>
                <w:u w:val="singl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80"/>
              <w:rPr>
                <w:rFonts w:ascii="Tahoma" w:hAnsi="Tahoma" w:cs="Tahoma"/>
                <w:color w:val="000000"/>
                <w:sz w:val="13"/>
              </w:rPr>
            </w:pPr>
            <w:r w:rsidRPr="00C83DF5">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AO,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404" w:name="_Toc336338069"/>
            <w:bookmarkStart w:id="405" w:name="_Toc257333905"/>
            <w:bookmarkStart w:id="406" w:name="_Toc370983195"/>
            <w:r w:rsidRPr="00C83DF5">
              <w:rPr>
                <w:rFonts w:ascii="Tahoma" w:hAnsi="Tahoma" w:cs="Tahoma"/>
                <w:position w:val="0"/>
                <w:sz w:val="14"/>
              </w:rPr>
              <w:t>System Center Essentials 2010</w:t>
            </w:r>
            <w:bookmarkEnd w:id="404"/>
            <w:bookmarkEnd w:id="406"/>
            <w:r w:rsidRPr="00C83DF5">
              <w:rPr>
                <w:rFonts w:ascii="Tahoma" w:hAnsi="Tahoma" w:cs="Tahoma"/>
                <w:position w:val="0"/>
                <w:sz w:val="14"/>
              </w:rPr>
              <w:t xml:space="preserve"> </w:t>
            </w:r>
            <w:bookmarkEnd w:id="405"/>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b w:val="0"/>
                <w:color w:val="0000FF"/>
                <w:sz w:val="13"/>
                <w:szCs w:val="13"/>
                <w:u w:val="single"/>
              </w:rPr>
            </w:pPr>
            <w:hyperlink w:anchor="_79_System_Center" w:history="1">
              <w:r w:rsidR="00CF5A3E" w:rsidRPr="00C83DF5">
                <w:rPr>
                  <w:rStyle w:val="Hyperlink"/>
                  <w:b/>
                  <w:sz w:val="13"/>
                  <w:szCs w:val="13"/>
                </w:rPr>
                <w:t>90</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4D388E"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407" w:name="_Toc257333906"/>
            <w:bookmarkStart w:id="408" w:name="_Toc336338070"/>
            <w:bookmarkStart w:id="409" w:name="_Toc370983196"/>
            <w:r w:rsidRPr="00C83DF5">
              <w:rPr>
                <w:rFonts w:ascii="Tahoma" w:hAnsi="Tahoma" w:cs="Tahoma"/>
                <w:position w:val="0"/>
                <w:sz w:val="14"/>
                <w:lang w:val="de-DE"/>
              </w:rPr>
              <w:t>Client-ML für System Center Essentials 2010</w:t>
            </w:r>
            <w:bookmarkEnd w:id="407"/>
            <w:bookmarkEnd w:id="408"/>
            <w:bookmarkEnd w:id="409"/>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lang w:val="de-DE"/>
              </w:rPr>
            </w:pPr>
          </w:p>
        </w:tc>
      </w:tr>
      <w:tr w:rsidR="00913A0A" w:rsidRPr="004D388E"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410" w:name="_Toc257333908"/>
            <w:bookmarkStart w:id="411" w:name="_Toc336338071"/>
            <w:bookmarkStart w:id="412" w:name="_Toc370983197"/>
            <w:r w:rsidRPr="00C83DF5">
              <w:rPr>
                <w:rFonts w:ascii="Tahoma" w:hAnsi="Tahoma" w:cs="Tahoma"/>
                <w:position w:val="0"/>
                <w:sz w:val="14"/>
                <w:lang w:val="de-DE"/>
              </w:rPr>
              <w:t xml:space="preserve">Server-ML für System Center </w:t>
            </w:r>
            <w:r w:rsidR="00183460">
              <w:rPr>
                <w:rFonts w:ascii="Tahoma" w:hAnsi="Tahoma" w:cs="Tahoma"/>
                <w:position w:val="0"/>
                <w:sz w:val="14"/>
                <w:lang w:val="de-DE"/>
              </w:rPr>
              <w:br/>
            </w:r>
            <w:r w:rsidRPr="00C83DF5">
              <w:rPr>
                <w:rFonts w:ascii="Tahoma" w:hAnsi="Tahoma" w:cs="Tahoma"/>
                <w:position w:val="0"/>
                <w:sz w:val="14"/>
                <w:lang w:val="de-DE"/>
              </w:rPr>
              <w:t>Essentials 2010</w:t>
            </w:r>
            <w:bookmarkEnd w:id="410"/>
            <w:bookmarkEnd w:id="411"/>
            <w:bookmarkEnd w:id="412"/>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lang w:val="de-DE"/>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lang w:val="de-DE"/>
              </w:rPr>
            </w:pPr>
          </w:p>
        </w:tc>
      </w:tr>
      <w:tr w:rsidR="008A0F85" w:rsidRPr="004D388E"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413" w:name="_Toc336338072"/>
            <w:bookmarkStart w:id="414" w:name="_Toc257333910"/>
            <w:bookmarkStart w:id="415" w:name="_Toc370983198"/>
            <w:r w:rsidRPr="00C83DF5">
              <w:rPr>
                <w:rFonts w:ascii="Tahoma" w:hAnsi="Tahoma" w:cs="Tahoma"/>
                <w:position w:val="0"/>
                <w:sz w:val="14"/>
                <w:lang w:val="de-DE"/>
              </w:rPr>
              <w:t xml:space="preserve">System Center Essentials 2010 mit </w:t>
            </w:r>
            <w:r w:rsidR="00183460">
              <w:rPr>
                <w:rFonts w:ascii="Tahoma" w:hAnsi="Tahoma" w:cs="Tahoma"/>
                <w:position w:val="0"/>
                <w:sz w:val="14"/>
                <w:lang w:val="de-DE"/>
              </w:rPr>
              <w:br/>
            </w:r>
            <w:r w:rsidRPr="00C83DF5">
              <w:rPr>
                <w:rFonts w:ascii="Tahoma" w:hAnsi="Tahoma" w:cs="Tahoma"/>
                <w:position w:val="0"/>
                <w:sz w:val="14"/>
                <w:lang w:val="de-DE"/>
              </w:rPr>
              <w:t>SQL Server 2008-Technologie</w:t>
            </w:r>
            <w:bookmarkEnd w:id="413"/>
            <w:bookmarkEnd w:id="415"/>
            <w:r w:rsidRPr="00C83DF5">
              <w:rPr>
                <w:rFonts w:ascii="Tahoma" w:hAnsi="Tahoma" w:cs="Tahoma"/>
                <w:position w:val="0"/>
                <w:sz w:val="14"/>
                <w:lang w:val="de-DE"/>
              </w:rPr>
              <w:t xml:space="preserve"> </w:t>
            </w:r>
            <w:bookmarkEnd w:id="414"/>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2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lang w:val="de-DE"/>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lang w:val="de-DE"/>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416" w:name="_Toc336338073"/>
            <w:bookmarkStart w:id="417" w:name="_Toc370983199"/>
            <w:r w:rsidRPr="00C83DF5">
              <w:rPr>
                <w:rFonts w:ascii="Tahoma" w:hAnsi="Tahoma" w:cs="Tahoma"/>
                <w:position w:val="0"/>
                <w:sz w:val="14"/>
              </w:rPr>
              <w:t>Lizenz-Suite für System Center Essentials Plus 2010 Client-Management</w:t>
            </w:r>
            <w:bookmarkEnd w:id="416"/>
            <w:bookmarkEnd w:id="417"/>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83460">
            <w:pPr>
              <w:pStyle w:val="ProductNames"/>
              <w:spacing w:beforeLines="20" w:before="48" w:afterLines="20" w:after="48"/>
              <w:rPr>
                <w:rFonts w:ascii="Tahoma" w:hAnsi="Tahoma" w:cs="Tahoma"/>
                <w:position w:val="0"/>
                <w:sz w:val="14"/>
                <w:lang w:val="de-DE"/>
              </w:rPr>
            </w:pPr>
            <w:bookmarkStart w:id="418" w:name="_Toc336338077"/>
            <w:bookmarkStart w:id="419" w:name="_Toc370983200"/>
            <w:r w:rsidRPr="00C83DF5">
              <w:rPr>
                <w:rFonts w:ascii="Tahoma" w:hAnsi="Tahoma" w:cs="Tahoma"/>
                <w:position w:val="0"/>
                <w:sz w:val="14"/>
                <w:lang w:val="de-DE"/>
              </w:rPr>
              <w:t>Standard-Server-Management-Lizenz für System Center Operations Manager</w:t>
            </w:r>
            <w:r w:rsidR="00183460">
              <w:rPr>
                <w:rFonts w:ascii="Tahoma" w:hAnsi="Tahoma" w:cs="Tahoma"/>
                <w:position w:val="0"/>
                <w:sz w:val="14"/>
                <w:lang w:val="de-DE"/>
              </w:rPr>
              <w:t> </w:t>
            </w:r>
            <w:r w:rsidRPr="00C83DF5">
              <w:rPr>
                <w:rFonts w:ascii="Tahoma" w:hAnsi="Tahoma" w:cs="Tahoma"/>
                <w:position w:val="0"/>
                <w:sz w:val="14"/>
                <w:lang w:val="de-DE"/>
              </w:rPr>
              <w:t>2007 R2</w:t>
            </w:r>
            <w:bookmarkEnd w:id="418"/>
            <w:bookmarkEnd w:id="419"/>
            <w:r w:rsidRPr="00C83DF5">
              <w:rPr>
                <w:rFonts w:ascii="Tahoma" w:hAnsi="Tahoma" w:cs="Tahoma"/>
                <w:position w:val="0"/>
                <w:sz w:val="14"/>
                <w:lang w:val="de-DE"/>
              </w:rPr>
              <w:t xml:space="preserve"> </w:t>
            </w:r>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color w:val="000000"/>
                <w:sz w:val="13"/>
                <w:szCs w:val="13"/>
                <w:u w:val="single"/>
                <w:lang w:val="de-D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200"/>
              <w:rPr>
                <w:rFonts w:ascii="Tahoma" w:hAnsi="Tahoma" w:cs="Tahoma"/>
                <w:color w:val="000000"/>
                <w:sz w:val="13"/>
              </w:rPr>
            </w:pPr>
            <w:r w:rsidRPr="00C83DF5">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42BCD">
            <w:pPr>
              <w:pStyle w:val="ProductNames"/>
              <w:spacing w:beforeLines="20" w:before="48" w:afterLines="20" w:after="48"/>
              <w:rPr>
                <w:rFonts w:ascii="Tahoma" w:hAnsi="Tahoma" w:cs="Tahoma"/>
                <w:position w:val="0"/>
                <w:sz w:val="14"/>
              </w:rPr>
            </w:pPr>
            <w:bookmarkStart w:id="420" w:name="_Toc336338078"/>
            <w:bookmarkStart w:id="421" w:name="_Toc370983201"/>
            <w:r w:rsidRPr="00C83DF5">
              <w:rPr>
                <w:rFonts w:ascii="Tahoma" w:hAnsi="Tahoma" w:cs="Tahoma"/>
                <w:position w:val="0"/>
                <w:sz w:val="14"/>
              </w:rPr>
              <w:t>Enterprise-Server-Management-Lizenz für System Center Operations Manager</w:t>
            </w:r>
            <w:r w:rsidR="00142BCD">
              <w:rPr>
                <w:rFonts w:ascii="Tahoma" w:hAnsi="Tahoma" w:cs="Tahoma"/>
                <w:position w:val="0"/>
                <w:sz w:val="14"/>
              </w:rPr>
              <w:t> </w:t>
            </w:r>
            <w:r w:rsidRPr="00C83DF5">
              <w:rPr>
                <w:rFonts w:ascii="Tahoma" w:hAnsi="Tahoma" w:cs="Tahoma"/>
                <w:position w:val="0"/>
                <w:sz w:val="14"/>
              </w:rPr>
              <w:t>2007 R2</w:t>
            </w:r>
            <w:bookmarkEnd w:id="420"/>
            <w:bookmarkEnd w:id="421"/>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color w:val="000000"/>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200"/>
              <w:rPr>
                <w:rFonts w:ascii="Tahoma" w:hAnsi="Tahoma" w:cs="Tahoma"/>
                <w:color w:val="000000"/>
                <w:sz w:val="13"/>
              </w:rPr>
            </w:pPr>
            <w:r w:rsidRPr="00C83DF5">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83460">
            <w:pPr>
              <w:pStyle w:val="ProductNames"/>
              <w:spacing w:beforeLines="20" w:before="48" w:afterLines="20" w:after="48"/>
              <w:rPr>
                <w:rFonts w:ascii="Tahoma" w:hAnsi="Tahoma" w:cs="Tahoma"/>
                <w:position w:val="0"/>
                <w:sz w:val="14"/>
                <w:lang w:val="de-DE"/>
              </w:rPr>
            </w:pPr>
            <w:bookmarkStart w:id="422" w:name="_Toc336338079"/>
            <w:bookmarkStart w:id="423" w:name="_Toc370983202"/>
            <w:r w:rsidRPr="00C83DF5">
              <w:rPr>
                <w:rFonts w:ascii="Tahoma" w:hAnsi="Tahoma" w:cs="Tahoma"/>
                <w:position w:val="0"/>
                <w:sz w:val="14"/>
                <w:lang w:val="de-DE"/>
              </w:rPr>
              <w:t>Client-Management-Lizenz pro OSE für</w:t>
            </w:r>
            <w:r w:rsidR="00183460">
              <w:rPr>
                <w:rFonts w:ascii="Tahoma" w:hAnsi="Tahoma" w:cs="Tahoma"/>
                <w:position w:val="0"/>
                <w:sz w:val="14"/>
                <w:lang w:val="de-DE"/>
              </w:rPr>
              <w:t> </w:t>
            </w:r>
            <w:r w:rsidRPr="00C83DF5">
              <w:rPr>
                <w:rFonts w:ascii="Tahoma" w:hAnsi="Tahoma" w:cs="Tahoma"/>
                <w:position w:val="0"/>
                <w:sz w:val="14"/>
                <w:lang w:val="de-DE"/>
              </w:rPr>
              <w:t>System Center Operations Manager 2007 R2</w:t>
            </w:r>
            <w:bookmarkEnd w:id="422"/>
            <w:bookmarkEnd w:id="423"/>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color w:val="000000"/>
                <w:sz w:val="13"/>
                <w:szCs w:val="13"/>
                <w:u w:val="single"/>
                <w:lang w:val="de-D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200"/>
              <w:rPr>
                <w:rFonts w:ascii="Tahoma" w:hAnsi="Tahoma" w:cs="Tahoma"/>
                <w:color w:val="000000"/>
                <w:sz w:val="13"/>
              </w:rPr>
            </w:pPr>
            <w:r w:rsidRPr="00C83DF5">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sz w:val="13"/>
              </w:rPr>
              <w:t>AO,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42BCD">
            <w:pPr>
              <w:pStyle w:val="ProductNames"/>
              <w:spacing w:beforeLines="20" w:before="48" w:afterLines="20" w:after="48"/>
              <w:rPr>
                <w:rFonts w:ascii="Tahoma" w:hAnsi="Tahoma" w:cs="Tahoma"/>
                <w:position w:val="0"/>
                <w:sz w:val="14"/>
                <w:lang w:val="de-DE"/>
              </w:rPr>
            </w:pPr>
            <w:bookmarkStart w:id="424" w:name="_Toc336338080"/>
            <w:bookmarkStart w:id="425" w:name="_Toc370983203"/>
            <w:r w:rsidRPr="00C83DF5">
              <w:rPr>
                <w:rFonts w:ascii="Tahoma" w:hAnsi="Tahoma" w:cs="Tahoma"/>
                <w:position w:val="0"/>
                <w:sz w:val="14"/>
                <w:lang w:val="de-DE"/>
              </w:rPr>
              <w:t>Client-Management-Lizenz pro Nutzer</w:t>
            </w:r>
            <w:r w:rsidR="00142BCD">
              <w:rPr>
                <w:rFonts w:ascii="Tahoma" w:hAnsi="Tahoma" w:cs="Tahoma"/>
                <w:position w:val="0"/>
                <w:sz w:val="14"/>
                <w:lang w:val="de-DE"/>
              </w:rPr>
              <w:t> </w:t>
            </w:r>
            <w:r w:rsidRPr="00C83DF5">
              <w:rPr>
                <w:rFonts w:ascii="Tahoma" w:hAnsi="Tahoma" w:cs="Tahoma"/>
                <w:position w:val="0"/>
                <w:sz w:val="14"/>
                <w:lang w:val="de-DE"/>
              </w:rPr>
              <w:t>für System Center Operations Manager 2007 R2</w:t>
            </w:r>
            <w:bookmarkEnd w:id="424"/>
            <w:bookmarkEnd w:id="425"/>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color w:val="000000"/>
                <w:sz w:val="13"/>
                <w:szCs w:val="13"/>
                <w:u w:val="single"/>
                <w:lang w:val="de-D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200"/>
              <w:rPr>
                <w:rFonts w:ascii="Tahoma" w:hAnsi="Tahoma" w:cs="Tahoma"/>
                <w:sz w:val="13"/>
              </w:rPr>
            </w:pPr>
            <w:r w:rsidRPr="00C83DF5">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120"/>
            </w:pPr>
          </w:p>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426" w:name="_Toc336338081"/>
            <w:bookmarkStart w:id="427" w:name="_Toc370983204"/>
            <w:r w:rsidRPr="00C83DF5">
              <w:rPr>
                <w:rFonts w:ascii="Tahoma" w:hAnsi="Tahoma" w:cs="Tahoma"/>
                <w:position w:val="0"/>
                <w:sz w:val="14"/>
              </w:rPr>
              <w:t>System Center Reporting Manager 2006</w:t>
            </w:r>
            <w:bookmarkEnd w:id="426"/>
            <w:bookmarkEnd w:id="427"/>
            <w:r w:rsidRPr="00C83DF5">
              <w:rPr>
                <w:rFonts w:ascii="Tahoma" w:hAnsi="Tahoma" w:cs="Tahoma"/>
                <w:position w:val="0"/>
                <w:sz w:val="14"/>
              </w:rPr>
              <w:t xml:space="preserve"> </w:t>
            </w:r>
          </w:p>
        </w:tc>
        <w:tc>
          <w:tcPr>
            <w:tcW w:w="414" w:type="dxa"/>
            <w:tcBorders>
              <w:bottom w:val="single" w:sz="4" w:space="0" w:color="auto"/>
            </w:tcBorders>
            <w:shd w:val="clear" w:color="auto" w:fill="FABF8F"/>
            <w:vAlign w:val="center"/>
          </w:tcPr>
          <w:p w:rsidR="00913A0A" w:rsidRPr="00C83DF5" w:rsidRDefault="005519A5" w:rsidP="00907139">
            <w:pPr>
              <w:pStyle w:val="TableText"/>
              <w:widowControl w:val="0"/>
              <w:rPr>
                <w:rStyle w:val="EndnoteReference"/>
                <w:b w:val="0"/>
                <w:color w:val="0000FF"/>
                <w:sz w:val="13"/>
                <w:szCs w:val="13"/>
                <w:u w:val="single"/>
              </w:rPr>
            </w:pPr>
            <w:hyperlink w:anchor="_80_System_Center" w:history="1">
              <w:r w:rsidR="00CF5A3E" w:rsidRPr="00C83DF5">
                <w:rPr>
                  <w:rStyle w:val="Hyperlink"/>
                  <w:b/>
                  <w:sz w:val="13"/>
                  <w:szCs w:val="13"/>
                </w:rPr>
                <w:t>91</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428" w:name="_Toc336338082"/>
            <w:bookmarkStart w:id="429" w:name="_Toc370983205"/>
            <w:r w:rsidRPr="00C83DF5">
              <w:rPr>
                <w:rFonts w:ascii="Tahoma" w:hAnsi="Tahoma" w:cs="Tahoma"/>
                <w:position w:val="0"/>
                <w:sz w:val="14"/>
              </w:rPr>
              <w:t>System Center Server Management Suite Enterprise</w:t>
            </w:r>
            <w:bookmarkEnd w:id="428"/>
            <w:bookmarkEnd w:id="429"/>
            <w:r w:rsidRPr="00C83DF5">
              <w:rPr>
                <w:rFonts w:ascii="Tahoma" w:hAnsi="Tahoma" w:cs="Tahoma"/>
                <w:position w:val="0"/>
                <w:sz w:val="14"/>
              </w:rPr>
              <w:t xml:space="preserve"> </w:t>
            </w:r>
          </w:p>
        </w:tc>
        <w:tc>
          <w:tcPr>
            <w:tcW w:w="414" w:type="dxa"/>
            <w:tcBorders>
              <w:bottom w:val="single" w:sz="4" w:space="0" w:color="auto"/>
            </w:tcBorders>
            <w:shd w:val="clear" w:color="auto" w:fill="auto"/>
            <w:vAlign w:val="center"/>
          </w:tcPr>
          <w:p w:rsidR="00913A0A" w:rsidRPr="00C83DF5" w:rsidRDefault="005519A5" w:rsidP="00907139">
            <w:pPr>
              <w:pStyle w:val="TableText"/>
              <w:widowControl w:val="0"/>
              <w:rPr>
                <w:rStyle w:val="EndnoteReference"/>
                <w:b w:val="0"/>
                <w:color w:val="0000FF"/>
                <w:sz w:val="13"/>
                <w:szCs w:val="13"/>
                <w:u w:val="single"/>
              </w:rPr>
            </w:pPr>
            <w:hyperlink w:anchor="Srv_85SysCtrSvrMgmtSuiteEnterprise" w:history="1">
              <w:r w:rsidR="00CF5A3E" w:rsidRPr="00C83DF5">
                <w:rPr>
                  <w:rStyle w:val="Hyperlink"/>
                  <w:b/>
                  <w:sz w:val="13"/>
                  <w:szCs w:val="13"/>
                </w:rPr>
                <w:t>92</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60"/>
              <w:rPr>
                <w:rFonts w:ascii="Tahoma" w:hAnsi="Tahoma" w:cs="Tahoma"/>
                <w:sz w:val="13"/>
                <w:szCs w:val="13"/>
              </w:rPr>
            </w:pPr>
          </w:p>
        </w:tc>
        <w:tc>
          <w:tcPr>
            <w:tcW w:w="455"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60"/>
              <w:rPr>
                <w:rFonts w:ascii="Tahoma" w:hAnsi="Tahoma" w:cs="Tahoma"/>
                <w:sz w:val="13"/>
                <w:szCs w:val="13"/>
              </w:rPr>
            </w:pPr>
          </w:p>
        </w:tc>
        <w:tc>
          <w:tcPr>
            <w:tcW w:w="366"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DE02E2">
            <w:pPr>
              <w:pStyle w:val="Heading4"/>
              <w:spacing w:beforeLines="20" w:before="48" w:afterLines="20" w:after="48"/>
              <w:ind w:left="0" w:firstLine="0"/>
              <w:rPr>
                <w:rFonts w:ascii="Tahoma" w:hAnsi="Tahoma" w:cs="Tahoma"/>
                <w:b w:val="0"/>
                <w:sz w:val="18"/>
                <w:szCs w:val="18"/>
              </w:rPr>
            </w:pPr>
            <w:bookmarkStart w:id="430" w:name="_Toc336338083"/>
            <w:bookmarkStart w:id="431" w:name="_Toc370983206"/>
            <w:r w:rsidRPr="00C83DF5">
              <w:rPr>
                <w:rFonts w:ascii="Tahoma" w:hAnsi="Tahoma" w:cs="Tahoma"/>
                <w:b w:val="0"/>
                <w:sz w:val="14"/>
                <w:szCs w:val="18"/>
              </w:rPr>
              <w:t>System Center Server Management Suite Datacenter</w:t>
            </w:r>
            <w:bookmarkEnd w:id="430"/>
            <w:bookmarkEnd w:id="431"/>
          </w:p>
        </w:tc>
        <w:tc>
          <w:tcPr>
            <w:tcW w:w="414" w:type="dxa"/>
            <w:tcBorders>
              <w:bottom w:val="single" w:sz="4" w:space="0" w:color="auto"/>
            </w:tcBorders>
            <w:shd w:val="clear" w:color="auto" w:fill="FABF8F"/>
          </w:tcPr>
          <w:p w:rsidR="00913A0A" w:rsidRPr="00C83DF5" w:rsidRDefault="005519A5" w:rsidP="00907139">
            <w:pPr>
              <w:pStyle w:val="TableText"/>
              <w:widowControl w:val="0"/>
              <w:spacing w:before="120"/>
              <w:rPr>
                <w:rStyle w:val="EndnoteReference"/>
                <w:b w:val="0"/>
                <w:sz w:val="13"/>
                <w:szCs w:val="13"/>
                <w:u w:val="single"/>
              </w:rPr>
            </w:pPr>
            <w:hyperlink w:anchor="_86_System_Center" w:history="1">
              <w:r w:rsidR="00CF5A3E" w:rsidRPr="00C83DF5">
                <w:rPr>
                  <w:rStyle w:val="Hyperlink"/>
                  <w:b/>
                  <w:sz w:val="13"/>
                  <w:szCs w:val="13"/>
                </w:rPr>
                <w:t>93</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07/09</w:t>
            </w:r>
          </w:p>
        </w:tc>
        <w:tc>
          <w:tcPr>
            <w:tcW w:w="360" w:type="dxa"/>
            <w:tcBorders>
              <w:bottom w:val="single" w:sz="4" w:space="0" w:color="auto"/>
              <w:right w:val="single" w:sz="18"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5" w:type="dxa"/>
            <w:gridSpan w:val="2"/>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366" w:type="dxa"/>
            <w:tcBorders>
              <w:bottom w:val="single" w:sz="4" w:space="0" w:color="auto"/>
              <w:right w:val="single" w:sz="18"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DE02E2">
            <w:pPr>
              <w:pStyle w:val="ProductNames"/>
              <w:spacing w:beforeLines="10" w:before="24" w:afterLines="10" w:after="24"/>
              <w:rPr>
                <w:rFonts w:ascii="Tahoma" w:hAnsi="Tahoma" w:cs="Tahoma"/>
                <w:b/>
                <w:position w:val="0"/>
                <w:sz w:val="14"/>
                <w:lang w:val="de-DE"/>
              </w:rPr>
            </w:pPr>
            <w:bookmarkStart w:id="432" w:name="_Toc336338086"/>
            <w:bookmarkStart w:id="433" w:name="_Toc370983207"/>
            <w:r w:rsidRPr="00C83DF5">
              <w:rPr>
                <w:rFonts w:ascii="Tahoma" w:hAnsi="Tahoma" w:cs="Tahoma"/>
                <w:position w:val="0"/>
                <w:sz w:val="14"/>
                <w:lang w:val="de-DE"/>
              </w:rPr>
              <w:t>Client-Management-Lizenz (Client-ML) für System Center Service Manager 2010 pro Betriebssystemumgebung</w:t>
            </w:r>
            <w:bookmarkEnd w:id="432"/>
            <w:bookmarkEnd w:id="433"/>
          </w:p>
        </w:tc>
        <w:tc>
          <w:tcPr>
            <w:tcW w:w="414" w:type="dxa"/>
            <w:tcBorders>
              <w:bottom w:val="single" w:sz="4" w:space="0" w:color="auto"/>
            </w:tcBorders>
            <w:shd w:val="clear" w:color="auto" w:fill="auto"/>
          </w:tcPr>
          <w:p w:rsidR="00913A0A" w:rsidRPr="00C83DF5"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04/10</w:t>
            </w:r>
          </w:p>
        </w:tc>
        <w:tc>
          <w:tcPr>
            <w:tcW w:w="360" w:type="dxa"/>
            <w:tcBorders>
              <w:bottom w:val="single" w:sz="4" w:space="0" w:color="auto"/>
              <w:right w:val="single" w:sz="18"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120"/>
            </w:pPr>
          </w:p>
          <w:p w:rsidR="00913A0A" w:rsidRPr="00C83DF5"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DE02E2">
            <w:pPr>
              <w:pStyle w:val="ProductNames"/>
              <w:spacing w:beforeLines="10" w:before="24" w:afterLines="10" w:after="24"/>
              <w:rPr>
                <w:rFonts w:ascii="Tahoma" w:hAnsi="Tahoma" w:cs="Tahoma"/>
                <w:b/>
                <w:position w:val="0"/>
                <w:sz w:val="14"/>
                <w:lang w:val="de-DE"/>
              </w:rPr>
            </w:pPr>
            <w:bookmarkStart w:id="434" w:name="_Toc336338087"/>
            <w:bookmarkStart w:id="435" w:name="_Toc370983208"/>
            <w:r w:rsidRPr="00C83DF5">
              <w:rPr>
                <w:rFonts w:ascii="Tahoma" w:hAnsi="Tahoma" w:cs="Tahoma"/>
                <w:position w:val="0"/>
                <w:sz w:val="14"/>
                <w:lang w:val="de-DE"/>
              </w:rPr>
              <w:t>Client-Management-Lizenz (Client-ML) für System Center Service Manager 2010 pro Nutzer</w:t>
            </w:r>
            <w:bookmarkEnd w:id="434"/>
            <w:bookmarkEnd w:id="435"/>
          </w:p>
        </w:tc>
        <w:tc>
          <w:tcPr>
            <w:tcW w:w="414" w:type="dxa"/>
            <w:tcBorders>
              <w:bottom w:val="single" w:sz="4" w:space="0" w:color="auto"/>
            </w:tcBorders>
            <w:shd w:val="clear" w:color="auto" w:fill="FABF8F"/>
          </w:tcPr>
          <w:p w:rsidR="00913A0A" w:rsidRPr="00C83DF5"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04/10</w:t>
            </w:r>
          </w:p>
        </w:tc>
        <w:tc>
          <w:tcPr>
            <w:tcW w:w="360" w:type="dxa"/>
            <w:tcBorders>
              <w:bottom w:val="single" w:sz="4" w:space="0" w:color="auto"/>
              <w:right w:val="single" w:sz="18"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spacing w:before="120"/>
            </w:pPr>
          </w:p>
          <w:p w:rsidR="00913A0A" w:rsidRPr="00C83DF5"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tcPr>
          <w:p w:rsidR="00913A0A" w:rsidRPr="00C83DF5" w:rsidRDefault="00913A0A" w:rsidP="00DE02E2">
            <w:pPr>
              <w:pStyle w:val="Heading3"/>
              <w:spacing w:beforeLines="20" w:before="48" w:afterLines="20" w:after="48"/>
              <w:rPr>
                <w:rFonts w:ascii="Tahoma" w:hAnsi="Tahoma" w:cs="Tahoma"/>
                <w:b w:val="0"/>
                <w:sz w:val="14"/>
                <w:szCs w:val="16"/>
                <w:lang w:val="de-DE"/>
              </w:rPr>
            </w:pPr>
            <w:bookmarkStart w:id="436" w:name="_Toc336338088"/>
            <w:bookmarkStart w:id="437" w:name="_Toc370983209"/>
            <w:r w:rsidRPr="00C83DF5">
              <w:rPr>
                <w:rFonts w:ascii="Tahoma" w:hAnsi="Tahoma" w:cs="Tahoma"/>
                <w:b w:val="0"/>
                <w:sz w:val="14"/>
                <w:szCs w:val="16"/>
                <w:lang w:val="de-DE"/>
              </w:rPr>
              <w:t>Server-Management-Lizenz (Server-ML) für System Center Service Manager 2010 pro Betriebssystemumgebung</w:t>
            </w:r>
            <w:bookmarkEnd w:id="436"/>
            <w:bookmarkEnd w:id="437"/>
          </w:p>
        </w:tc>
        <w:tc>
          <w:tcPr>
            <w:tcW w:w="414" w:type="dxa"/>
            <w:tcBorders>
              <w:bottom w:val="single" w:sz="4" w:space="0" w:color="auto"/>
            </w:tcBorders>
            <w:shd w:val="clear" w:color="auto" w:fill="auto"/>
          </w:tcPr>
          <w:p w:rsidR="00913A0A" w:rsidRPr="00C83DF5" w:rsidRDefault="00913A0A" w:rsidP="001A63C6">
            <w:pPr>
              <w:pStyle w:val="TableText"/>
              <w:widowControl w:val="0"/>
              <w:spacing w:before="20" w:after="20"/>
              <w:rPr>
                <w:rStyle w:val="EndnoteReference"/>
                <w:sz w:val="13"/>
                <w:szCs w:val="13"/>
                <w:u w:val="single"/>
                <w:lang w:val="de-D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20" w:after="20"/>
              <w:rPr>
                <w:rFonts w:ascii="Tahoma" w:hAnsi="Tahoma" w:cs="Tahoma"/>
                <w:sz w:val="13"/>
              </w:rPr>
            </w:pPr>
            <w:r w:rsidRPr="00C83DF5">
              <w:rPr>
                <w:rFonts w:ascii="Tahoma" w:hAnsi="Tahoma" w:cs="Tahoma"/>
                <w:sz w:val="13"/>
              </w:rPr>
              <w:t>04/10</w:t>
            </w:r>
          </w:p>
        </w:tc>
        <w:tc>
          <w:tcPr>
            <w:tcW w:w="360" w:type="dxa"/>
            <w:tcBorders>
              <w:bottom w:val="single" w:sz="4" w:space="0" w:color="auto"/>
              <w:right w:val="single" w:sz="18" w:space="0" w:color="auto"/>
            </w:tcBorders>
            <w:shd w:val="clear" w:color="auto" w:fill="auto"/>
          </w:tcPr>
          <w:p w:rsidR="00913A0A" w:rsidRPr="00C83DF5" w:rsidRDefault="00913A0A" w:rsidP="001A63C6">
            <w:pPr>
              <w:pStyle w:val="TableText"/>
              <w:widowControl w:val="0"/>
              <w:spacing w:before="20" w:after="2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before="20" w:after="20"/>
            </w:pPr>
          </w:p>
          <w:p w:rsidR="00913A0A" w:rsidRPr="00C83DF5"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spacing w:before="20" w:after="2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tcPr>
          <w:p w:rsidR="00913A0A" w:rsidRPr="00C83DF5"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spacing w:before="20" w:after="20"/>
              <w:rPr>
                <w:rFonts w:ascii="Tahoma" w:hAnsi="Tahoma" w:cs="Tahoma"/>
                <w:sz w:val="13"/>
              </w:rPr>
            </w:pPr>
          </w:p>
        </w:tc>
      </w:tr>
      <w:tr w:rsidR="008A0F85" w:rsidRPr="00C83DF5" w:rsidTr="004909D7">
        <w:trPr>
          <w:trHeight w:val="368"/>
        </w:trPr>
        <w:tc>
          <w:tcPr>
            <w:tcW w:w="2546" w:type="dxa"/>
            <w:gridSpan w:val="2"/>
            <w:tcBorders>
              <w:bottom w:val="single" w:sz="4" w:space="0" w:color="auto"/>
            </w:tcBorders>
            <w:shd w:val="clear" w:color="auto" w:fill="FABF8F"/>
            <w:vAlign w:val="center"/>
          </w:tcPr>
          <w:p w:rsidR="00913A0A" w:rsidRPr="00C83DF5" w:rsidRDefault="00913A0A" w:rsidP="001524AA">
            <w:pPr>
              <w:pStyle w:val="ProductNames"/>
              <w:spacing w:beforeLines="20" w:before="48" w:afterLines="20" w:after="48"/>
              <w:rPr>
                <w:rFonts w:ascii="Tahoma" w:hAnsi="Tahoma" w:cs="Tahoma"/>
                <w:position w:val="0"/>
                <w:sz w:val="14"/>
                <w:lang w:val="de-DE"/>
              </w:rPr>
            </w:pPr>
            <w:bookmarkStart w:id="438" w:name="_Toc336338093"/>
            <w:bookmarkStart w:id="439" w:name="_Toc370983210"/>
            <w:r w:rsidRPr="00C83DF5">
              <w:rPr>
                <w:rFonts w:ascii="Tahoma" w:hAnsi="Tahoma" w:cs="Tahoma"/>
                <w:position w:val="0"/>
                <w:sz w:val="14"/>
                <w:szCs w:val="18"/>
                <w:lang w:val="de-DE"/>
              </w:rPr>
              <w:t>System Center 2012 R2 Client Management Suite (Client-ML) pro</w:t>
            </w:r>
            <w:r w:rsidR="001524AA">
              <w:rPr>
                <w:rFonts w:ascii="Tahoma" w:hAnsi="Tahoma" w:cs="Tahoma"/>
                <w:position w:val="0"/>
                <w:sz w:val="14"/>
                <w:szCs w:val="18"/>
                <w:lang w:val="de-DE"/>
              </w:rPr>
              <w:t> </w:t>
            </w:r>
            <w:r w:rsidRPr="00C83DF5">
              <w:rPr>
                <w:rFonts w:ascii="Tahoma" w:hAnsi="Tahoma" w:cs="Tahoma"/>
                <w:position w:val="0"/>
                <w:sz w:val="14"/>
                <w:szCs w:val="18"/>
                <w:lang w:val="de-DE"/>
              </w:rPr>
              <w:t>Betriebssystemumgebung</w:t>
            </w:r>
            <w:bookmarkEnd w:id="438"/>
            <w:bookmarkEnd w:id="439"/>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rPr>
                <w:b/>
                <w:color w:val="000000"/>
                <w:sz w:val="13"/>
                <w:szCs w:val="13"/>
                <w:u w:val="single"/>
              </w:rPr>
            </w:pPr>
            <w:hyperlink w:anchor="_96_System_Center_1" w:history="1">
              <w:r w:rsidR="00CF5A3E" w:rsidRPr="00C83DF5">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24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5" w:type="dxa"/>
            <w:gridSpan w:val="2"/>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366" w:type="dxa"/>
            <w:tcBorders>
              <w:bottom w:val="single" w:sz="4" w:space="0" w:color="auto"/>
              <w:right w:val="single" w:sz="18" w:space="0" w:color="auto"/>
            </w:tcBorders>
            <w:shd w:val="clear" w:color="auto" w:fill="FABF8F"/>
            <w:vAlign w:val="bottom"/>
          </w:tcPr>
          <w:p w:rsidR="00913A0A" w:rsidRPr="00C83DF5" w:rsidRDefault="00AD6873" w:rsidP="001A63C6">
            <w:pPr>
              <w:pStyle w:val="TableText"/>
              <w:widowControl w:val="0"/>
              <w:spacing w:after="120"/>
              <w:rPr>
                <w:rFonts w:ascii="Tahoma" w:hAnsi="Tahoma" w:cs="Tahoma"/>
                <w:sz w:val="13"/>
                <w:szCs w:val="13"/>
              </w:rPr>
            </w:pPr>
            <w:r w:rsidRPr="00C83DF5">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P</w:t>
            </w:r>
          </w:p>
        </w:tc>
        <w:tc>
          <w:tcPr>
            <w:tcW w:w="450" w:type="dxa"/>
            <w:tcBorders>
              <w:bottom w:val="single" w:sz="4" w:space="0" w:color="auto"/>
            </w:tcBorders>
            <w:shd w:val="clear" w:color="auto" w:fill="FABF8F"/>
          </w:tcPr>
          <w:p w:rsidR="00913A0A" w:rsidRPr="00C83DF5" w:rsidRDefault="00913A0A" w:rsidP="001A63C6">
            <w:pPr>
              <w:spacing w:before="240"/>
              <w:jc w:val="center"/>
            </w:pPr>
            <w:r w:rsidRPr="00C83DF5">
              <w:rPr>
                <w:rFonts w:ascii="Arial" w:hAnsi="Arial" w:cs="Arial"/>
                <w:sz w:val="13"/>
                <w:szCs w:val="13"/>
              </w:rPr>
              <w:t>AO, ST</w:t>
            </w:r>
          </w:p>
          <w:p w:rsidR="00913A0A" w:rsidRPr="00C83DF5" w:rsidRDefault="00913A0A" w:rsidP="001A63C6">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34"/>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lang w:val="fr-FR"/>
              </w:rPr>
            </w:pPr>
            <w:bookmarkStart w:id="440" w:name="_Toc336338094"/>
            <w:bookmarkStart w:id="441" w:name="_Toc370983211"/>
            <w:r w:rsidRPr="00C83DF5">
              <w:rPr>
                <w:rFonts w:ascii="Tahoma" w:hAnsi="Tahoma" w:cs="Tahoma"/>
                <w:position w:val="0"/>
                <w:sz w:val="14"/>
                <w:szCs w:val="18"/>
                <w:lang w:val="fr-FR"/>
              </w:rPr>
              <w:t>System Center 2012 R2 Client Management Suite (Client-ML) pro Nutzer</w:t>
            </w:r>
            <w:bookmarkEnd w:id="440"/>
            <w:bookmarkEnd w:id="441"/>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rPr>
                <w:b/>
                <w:color w:val="000000"/>
                <w:sz w:val="13"/>
                <w:szCs w:val="13"/>
                <w:u w:val="single"/>
              </w:rPr>
            </w:pPr>
            <w:hyperlink w:anchor="_96_System_Center_1" w:history="1">
              <w:r w:rsidR="00AB5334" w:rsidRPr="00C83DF5">
                <w:rPr>
                  <w:rStyle w:val="Hyperlink"/>
                  <w:rFonts w:cs="Tahoma"/>
                  <w:b/>
                  <w:sz w:val="13"/>
                  <w:szCs w:val="13"/>
                </w:rPr>
                <w:t>96</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24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5"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366" w:type="dxa"/>
            <w:tcBorders>
              <w:bottom w:val="single" w:sz="4" w:space="0" w:color="auto"/>
              <w:right w:val="single" w:sz="18" w:space="0" w:color="auto"/>
            </w:tcBorders>
            <w:shd w:val="clear" w:color="auto" w:fill="auto"/>
            <w:vAlign w:val="bottom"/>
          </w:tcPr>
          <w:p w:rsidR="00913A0A" w:rsidRPr="00C83DF5" w:rsidRDefault="00AD6873" w:rsidP="001A63C6">
            <w:pPr>
              <w:pStyle w:val="TableText"/>
              <w:widowControl w:val="0"/>
              <w:spacing w:after="120"/>
              <w:rPr>
                <w:rFonts w:ascii="Tahoma" w:hAnsi="Tahoma" w:cs="Tahoma"/>
                <w:sz w:val="13"/>
                <w:szCs w:val="13"/>
              </w:rPr>
            </w:pPr>
            <w:r w:rsidRPr="00C83DF5">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34"/>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rPr>
            </w:pPr>
            <w:bookmarkStart w:id="442" w:name="_Toc336338095"/>
            <w:bookmarkStart w:id="443" w:name="_Toc370983212"/>
            <w:r w:rsidRPr="00C83DF5">
              <w:rPr>
                <w:rFonts w:ascii="Tahoma" w:hAnsi="Tahoma" w:cs="Tahoma"/>
                <w:position w:val="0"/>
                <w:sz w:val="14"/>
                <w:szCs w:val="14"/>
              </w:rPr>
              <w:t>Client-Management-Lizenz (Client-ML) für System Center 2012 R2 Configuration Manager (nur Studenten)</w:t>
            </w:r>
            <w:bookmarkEnd w:id="442"/>
            <w:bookmarkEnd w:id="443"/>
          </w:p>
        </w:tc>
        <w:tc>
          <w:tcPr>
            <w:tcW w:w="414" w:type="dxa"/>
            <w:tcBorders>
              <w:bottom w:val="single" w:sz="4" w:space="0" w:color="auto"/>
            </w:tcBorders>
            <w:shd w:val="clear" w:color="auto" w:fill="FABF8F"/>
            <w:vAlign w:val="center"/>
          </w:tcPr>
          <w:p w:rsidR="00913A0A" w:rsidRPr="00C83DF5" w:rsidRDefault="005519A5" w:rsidP="0054317D">
            <w:pPr>
              <w:pStyle w:val="TableText"/>
              <w:widowControl w:val="0"/>
              <w:rPr>
                <w:b/>
                <w:color w:val="000000"/>
                <w:sz w:val="13"/>
                <w:szCs w:val="13"/>
                <w:u w:val="single"/>
              </w:rPr>
            </w:pPr>
            <w:hyperlink w:anchor="_97_System_Center_1" w:history="1">
              <w:r w:rsidR="00CF5A3E" w:rsidRPr="00C83DF5">
                <w:rPr>
                  <w:rStyle w:val="Hyperlink"/>
                  <w:rFonts w:cs="Tahoma"/>
                  <w:b/>
                  <w:sz w:val="13"/>
                  <w:szCs w:val="13"/>
                </w:rPr>
                <w:t>97</w:t>
              </w:r>
            </w:hyperlink>
            <w:hyperlink w:anchor="_91_89_System" w:history="1"/>
            <w:hyperlink w:anchor="Srv_101SystemCenter2012" w:history="1"/>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24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5" w:type="dxa"/>
            <w:gridSpan w:val="2"/>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366" w:type="dxa"/>
            <w:tcBorders>
              <w:bottom w:val="single" w:sz="4" w:space="0" w:color="auto"/>
              <w:right w:val="single" w:sz="18" w:space="0" w:color="auto"/>
            </w:tcBorders>
            <w:shd w:val="clear" w:color="auto" w:fill="FABF8F"/>
            <w:vAlign w:val="bottom"/>
          </w:tcPr>
          <w:p w:rsidR="00913A0A" w:rsidRPr="00C83DF5" w:rsidRDefault="00AD6873" w:rsidP="001A63C6">
            <w:pPr>
              <w:pStyle w:val="TableText"/>
              <w:widowControl w:val="0"/>
              <w:spacing w:after="120"/>
              <w:rPr>
                <w:rFonts w:ascii="Tahoma" w:hAnsi="Tahoma" w:cs="Tahoma"/>
                <w:sz w:val="13"/>
                <w:szCs w:val="13"/>
              </w:rPr>
            </w:pPr>
            <w:r w:rsidRPr="00C83DF5">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34"/>
        </w:trPr>
        <w:tc>
          <w:tcPr>
            <w:tcW w:w="2546" w:type="dxa"/>
            <w:gridSpan w:val="2"/>
            <w:tcBorders>
              <w:bottom w:val="single" w:sz="4" w:space="0" w:color="auto"/>
            </w:tcBorders>
            <w:shd w:val="clear" w:color="auto" w:fill="auto"/>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444" w:name="_Toc336338096"/>
            <w:bookmarkStart w:id="445" w:name="_Toc370983213"/>
            <w:r w:rsidRPr="00C83DF5">
              <w:rPr>
                <w:rFonts w:ascii="Tahoma" w:hAnsi="Tahoma" w:cs="Tahoma"/>
                <w:position w:val="0"/>
                <w:sz w:val="14"/>
                <w:lang w:val="de-DE"/>
              </w:rPr>
              <w:t>Client-Management-Lizenz für System Center 2012 R2 Configuration Manager pro Betriebssystemumgebung</w:t>
            </w:r>
            <w:bookmarkEnd w:id="444"/>
            <w:bookmarkEnd w:id="445"/>
          </w:p>
        </w:tc>
        <w:tc>
          <w:tcPr>
            <w:tcW w:w="414" w:type="dxa"/>
            <w:tcBorders>
              <w:bottom w:val="single" w:sz="4" w:space="0" w:color="auto"/>
            </w:tcBorders>
            <w:shd w:val="clear" w:color="auto" w:fill="auto"/>
            <w:vAlign w:val="center"/>
          </w:tcPr>
          <w:p w:rsidR="00913A0A" w:rsidRPr="00C83DF5" w:rsidRDefault="005519A5" w:rsidP="0054317D">
            <w:pPr>
              <w:pStyle w:val="TableText"/>
              <w:widowControl w:val="0"/>
              <w:rPr>
                <w:b/>
                <w:color w:val="000000"/>
                <w:sz w:val="13"/>
                <w:szCs w:val="13"/>
                <w:u w:val="single"/>
              </w:rPr>
            </w:pPr>
            <w:hyperlink w:anchor="_97_System_Center_1" w:history="1">
              <w:r w:rsidR="00AB5334" w:rsidRPr="00C83DF5">
                <w:rPr>
                  <w:rStyle w:val="Hyperlink"/>
                  <w:rFonts w:cs="Tahoma"/>
                  <w:b/>
                  <w:sz w:val="13"/>
                  <w:szCs w:val="13"/>
                </w:rPr>
                <w:t>97</w:t>
              </w:r>
            </w:hyperlink>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24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3</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2</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2</w:t>
            </w:r>
          </w:p>
        </w:tc>
        <w:tc>
          <w:tcPr>
            <w:tcW w:w="450"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2</w:t>
            </w:r>
          </w:p>
        </w:tc>
        <w:tc>
          <w:tcPr>
            <w:tcW w:w="455"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1</w:t>
            </w:r>
          </w:p>
        </w:tc>
        <w:tc>
          <w:tcPr>
            <w:tcW w:w="366"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34"/>
        </w:trPr>
        <w:tc>
          <w:tcPr>
            <w:tcW w:w="2546" w:type="dxa"/>
            <w:gridSpan w:val="2"/>
            <w:tcBorders>
              <w:bottom w:val="single" w:sz="4" w:space="0" w:color="auto"/>
            </w:tcBorders>
            <w:shd w:val="clear" w:color="auto" w:fill="FABF8F"/>
            <w:vAlign w:val="center"/>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446" w:name="_Toc336338097"/>
            <w:bookmarkStart w:id="447" w:name="_Toc370983214"/>
            <w:r w:rsidRPr="00C83DF5">
              <w:rPr>
                <w:rFonts w:ascii="Tahoma" w:hAnsi="Tahoma" w:cs="Tahoma"/>
                <w:position w:val="0"/>
                <w:sz w:val="14"/>
                <w:lang w:val="de-DE"/>
              </w:rPr>
              <w:t>Client-Management-Lizenz für System Center 2012 R2 Configuration Manager pro Nutzer</w:t>
            </w:r>
            <w:bookmarkEnd w:id="446"/>
            <w:bookmarkEnd w:id="447"/>
          </w:p>
        </w:tc>
        <w:tc>
          <w:tcPr>
            <w:tcW w:w="414" w:type="dxa"/>
            <w:tcBorders>
              <w:bottom w:val="single" w:sz="4" w:space="0" w:color="auto"/>
            </w:tcBorders>
            <w:shd w:val="clear" w:color="auto" w:fill="FABF8F"/>
            <w:vAlign w:val="center"/>
          </w:tcPr>
          <w:p w:rsidR="00913A0A" w:rsidRPr="00C83DF5" w:rsidRDefault="005519A5" w:rsidP="0054317D">
            <w:pPr>
              <w:pStyle w:val="TableText"/>
              <w:widowControl w:val="0"/>
              <w:rPr>
                <w:b/>
                <w:color w:val="000000"/>
                <w:sz w:val="13"/>
                <w:szCs w:val="13"/>
                <w:u w:val="single"/>
              </w:rPr>
            </w:pPr>
            <w:hyperlink w:anchor="_97_System_Center_1" w:history="1">
              <w:r w:rsidR="00F47C7D" w:rsidRPr="00C83DF5">
                <w:rPr>
                  <w:rStyle w:val="Hyperlink"/>
                  <w:rFonts w:cs="Tahoma"/>
                  <w:b/>
                  <w:sz w:val="13"/>
                  <w:szCs w:val="13"/>
                </w:rPr>
                <w:t>97</w:t>
              </w:r>
            </w:hyperlink>
          </w:p>
        </w:tc>
        <w:tc>
          <w:tcPr>
            <w:tcW w:w="449" w:type="dxa"/>
            <w:tcBorders>
              <w:bottom w:val="single" w:sz="4" w:space="0" w:color="auto"/>
            </w:tcBorders>
            <w:shd w:val="clear" w:color="auto" w:fill="FABF8F"/>
          </w:tcPr>
          <w:p w:rsidR="00913A0A" w:rsidRPr="00C83DF5" w:rsidRDefault="00913A0A" w:rsidP="001A63C6">
            <w:pPr>
              <w:pStyle w:val="TableText"/>
              <w:widowControl w:val="0"/>
              <w:spacing w:before="24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5" w:type="dxa"/>
            <w:gridSpan w:val="2"/>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366"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spacing w:before="24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34"/>
        </w:trPr>
        <w:tc>
          <w:tcPr>
            <w:tcW w:w="2546" w:type="dxa"/>
            <w:gridSpan w:val="2"/>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rPr>
            </w:pPr>
            <w:bookmarkStart w:id="448" w:name="_Toc336338098"/>
            <w:bookmarkStart w:id="449" w:name="_Toc370983215"/>
            <w:r w:rsidRPr="00C83DF5">
              <w:rPr>
                <w:rFonts w:ascii="Tahoma" w:hAnsi="Tahoma" w:cs="Tahoma"/>
                <w:position w:val="0"/>
                <w:sz w:val="14"/>
              </w:rPr>
              <w:lastRenderedPageBreak/>
              <w:t>Server-Management-Lizenz für System Center 2012 R2 Datacenter (2 Prozessoren)</w:t>
            </w:r>
            <w:bookmarkEnd w:id="448"/>
            <w:bookmarkEnd w:id="449"/>
          </w:p>
        </w:tc>
        <w:tc>
          <w:tcPr>
            <w:tcW w:w="414" w:type="dxa"/>
            <w:tcBorders>
              <w:bottom w:val="single" w:sz="4" w:space="0" w:color="auto"/>
            </w:tcBorders>
            <w:shd w:val="clear" w:color="auto" w:fill="auto"/>
            <w:vAlign w:val="center"/>
          </w:tcPr>
          <w:p w:rsidR="00913A0A" w:rsidRPr="00C83DF5" w:rsidRDefault="005519A5" w:rsidP="0054317D">
            <w:pPr>
              <w:pStyle w:val="TableText"/>
              <w:widowControl w:val="0"/>
              <w:rPr>
                <w:b/>
                <w:color w:val="000000"/>
                <w:sz w:val="13"/>
                <w:szCs w:val="13"/>
                <w:u w:val="single"/>
              </w:rPr>
            </w:pPr>
            <w:hyperlink w:anchor="_91_89_System" w:history="1">
              <w:r w:rsidR="00CF5A3E" w:rsidRPr="00C83DF5">
                <w:rPr>
                  <w:rStyle w:val="Hyperlink"/>
                  <w:rFonts w:cs="Tahoma"/>
                  <w:b/>
                  <w:sz w:val="13"/>
                  <w:szCs w:val="13"/>
                </w:rPr>
                <w:t>94</w:t>
              </w:r>
            </w:hyperlink>
            <w:hyperlink w:anchor="_91_89_System" w:history="1"/>
            <w:hyperlink w:anchor="Srv_101SystemCenter2012" w:history="1"/>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63</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50</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38</w:t>
            </w:r>
          </w:p>
        </w:tc>
        <w:tc>
          <w:tcPr>
            <w:tcW w:w="450"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38</w:t>
            </w:r>
          </w:p>
        </w:tc>
        <w:tc>
          <w:tcPr>
            <w:tcW w:w="455"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25</w:t>
            </w:r>
          </w:p>
        </w:tc>
        <w:tc>
          <w:tcPr>
            <w:tcW w:w="366"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 C</w:t>
            </w:r>
          </w:p>
        </w:tc>
      </w:tr>
      <w:tr w:rsidR="008A0F85" w:rsidRPr="00C83DF5" w:rsidTr="004909D7">
        <w:trPr>
          <w:trHeight w:val="134"/>
        </w:trPr>
        <w:tc>
          <w:tcPr>
            <w:tcW w:w="2546" w:type="dxa"/>
            <w:gridSpan w:val="2"/>
            <w:tcBorders>
              <w:bottom w:val="single" w:sz="4" w:space="0" w:color="auto"/>
            </w:tcBorders>
            <w:shd w:val="clear" w:color="auto" w:fill="FABF8F"/>
            <w:vAlign w:val="center"/>
          </w:tcPr>
          <w:p w:rsidR="00913A0A" w:rsidRPr="00C83DF5" w:rsidRDefault="00913A0A" w:rsidP="007E466C">
            <w:pPr>
              <w:pStyle w:val="ProductNames"/>
              <w:spacing w:before="60" w:after="60"/>
              <w:rPr>
                <w:rFonts w:ascii="Tahoma" w:hAnsi="Tahoma" w:cs="Tahoma"/>
                <w:position w:val="0"/>
                <w:sz w:val="14"/>
              </w:rPr>
            </w:pPr>
            <w:bookmarkStart w:id="450" w:name="_Toc370983216"/>
            <w:r w:rsidRPr="00C83DF5">
              <w:rPr>
                <w:rFonts w:ascii="Tahoma" w:hAnsi="Tahoma" w:cs="Tahoma"/>
                <w:position w:val="0"/>
                <w:sz w:val="14"/>
              </w:rPr>
              <w:t>System Center 2012 R2 Endpoint Protection</w:t>
            </w:r>
            <w:bookmarkEnd w:id="450"/>
          </w:p>
        </w:tc>
        <w:tc>
          <w:tcPr>
            <w:tcW w:w="414" w:type="dxa"/>
            <w:tcBorders>
              <w:bottom w:val="single" w:sz="4" w:space="0" w:color="auto"/>
            </w:tcBorders>
            <w:shd w:val="clear" w:color="auto" w:fill="FABF8F"/>
            <w:vAlign w:val="center"/>
          </w:tcPr>
          <w:p w:rsidR="00913A0A" w:rsidRPr="00C83DF5" w:rsidRDefault="005519A5" w:rsidP="0054317D">
            <w:pPr>
              <w:pStyle w:val="TableText"/>
              <w:widowControl w:val="0"/>
              <w:rPr>
                <w:b/>
                <w:color w:val="000000"/>
                <w:sz w:val="13"/>
                <w:szCs w:val="13"/>
                <w:u w:val="single"/>
              </w:rPr>
            </w:pPr>
            <w:hyperlink w:anchor="_103_System_Center" w:history="1">
              <w:r w:rsidR="00CF5A3E" w:rsidRPr="00C83DF5">
                <w:rPr>
                  <w:rStyle w:val="Hyperlink"/>
                  <w:b/>
                  <w:sz w:val="13"/>
                  <w:szCs w:val="13"/>
                </w:rPr>
                <w:t>98</w:t>
              </w:r>
            </w:hyperlink>
            <w:hyperlink w:anchor="Srv_102SysCtr2012EndpointProt" w:history="1"/>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7E466C">
            <w:pPr>
              <w:pStyle w:val="TableText"/>
              <w:widowControl w:val="0"/>
              <w:rPr>
                <w:rFonts w:ascii="Tahoma" w:hAnsi="Tahoma" w:cs="Tahoma"/>
                <w:sz w:val="13"/>
                <w:szCs w:val="13"/>
              </w:rPr>
            </w:pPr>
            <w:r w:rsidRPr="00C83DF5">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rsidR="00913A0A" w:rsidRPr="00C83DF5"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C83DF5"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7E466C">
            <w:pPr>
              <w:pStyle w:val="TableText"/>
              <w:widowControl w:val="0"/>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913A0A" w:rsidRPr="00C83DF5" w:rsidRDefault="00913A0A" w:rsidP="007E466C">
            <w:pPr>
              <w:pStyle w:val="TableText"/>
              <w:widowControl w:val="0"/>
              <w:rPr>
                <w:rFonts w:ascii="Tahoma" w:hAnsi="Tahoma" w:cs="Tahoma"/>
                <w:sz w:val="13"/>
              </w:rPr>
            </w:pPr>
            <w:r w:rsidRPr="00C83DF5">
              <w:rPr>
                <w:rFonts w:ascii="Tahoma" w:hAnsi="Tahoma" w:cs="Tahoma"/>
                <w:sz w:val="13"/>
              </w:rPr>
              <w:t>AO,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34"/>
        </w:trPr>
        <w:tc>
          <w:tcPr>
            <w:tcW w:w="2546" w:type="dxa"/>
            <w:gridSpan w:val="2"/>
            <w:tcBorders>
              <w:bottom w:val="single" w:sz="4" w:space="0" w:color="auto"/>
            </w:tcBorders>
            <w:shd w:val="clear" w:color="auto" w:fill="auto"/>
          </w:tcPr>
          <w:p w:rsidR="00913A0A" w:rsidRPr="00C83DF5" w:rsidRDefault="00913A0A" w:rsidP="00DE02E2">
            <w:pPr>
              <w:pStyle w:val="ProductNames"/>
              <w:spacing w:beforeLines="20" w:before="48" w:afterLines="20" w:after="48"/>
              <w:rPr>
                <w:rFonts w:ascii="Tahoma" w:hAnsi="Tahoma" w:cs="Tahoma"/>
                <w:position w:val="0"/>
                <w:sz w:val="14"/>
                <w:lang w:val="de-DE"/>
              </w:rPr>
            </w:pPr>
            <w:bookmarkStart w:id="451" w:name="_Toc336338100"/>
            <w:bookmarkStart w:id="452" w:name="_Toc370983217"/>
            <w:r w:rsidRPr="00C83DF5">
              <w:rPr>
                <w:rFonts w:ascii="Tahoma" w:hAnsi="Tahoma" w:cs="Tahoma"/>
                <w:position w:val="0"/>
                <w:sz w:val="14"/>
                <w:lang w:val="de-DE"/>
              </w:rPr>
              <w:t>Standard-Server-Management-Lizenz für System Center 2012 R2 (2 Prozessoren)</w:t>
            </w:r>
            <w:bookmarkEnd w:id="451"/>
            <w:bookmarkEnd w:id="452"/>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spacing w:before="240"/>
              <w:rPr>
                <w:b/>
                <w:color w:val="000000"/>
                <w:sz w:val="13"/>
                <w:szCs w:val="13"/>
                <w:u w:val="single"/>
                <w:lang w:val="de-DE"/>
              </w:rPr>
            </w:pPr>
          </w:p>
        </w:tc>
        <w:tc>
          <w:tcPr>
            <w:tcW w:w="449"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38</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30</w:t>
            </w:r>
          </w:p>
        </w:tc>
        <w:tc>
          <w:tcPr>
            <w:tcW w:w="450" w:type="dxa"/>
            <w:gridSpan w:val="3"/>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23</w:t>
            </w:r>
          </w:p>
        </w:tc>
        <w:tc>
          <w:tcPr>
            <w:tcW w:w="450"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23</w:t>
            </w:r>
          </w:p>
        </w:tc>
        <w:tc>
          <w:tcPr>
            <w:tcW w:w="455" w:type="dxa"/>
            <w:gridSpan w:val="2"/>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15</w:t>
            </w:r>
          </w:p>
        </w:tc>
        <w:tc>
          <w:tcPr>
            <w:tcW w:w="366"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spacing w:before="12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 C</w:t>
            </w: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DE02E2">
            <w:pPr>
              <w:pStyle w:val="Heading2"/>
              <w:spacing w:beforeLines="20" w:before="48" w:afterLines="20" w:after="48"/>
              <w:ind w:left="0"/>
              <w:rPr>
                <w:rFonts w:ascii="Tahoma" w:hAnsi="Tahoma" w:cs="Tahoma"/>
                <w:b w:val="0"/>
                <w:sz w:val="14"/>
                <w:szCs w:val="14"/>
              </w:rPr>
            </w:pPr>
            <w:bookmarkStart w:id="453" w:name="_Toc336338102"/>
            <w:bookmarkStart w:id="454" w:name="_Toc370983218"/>
            <w:r w:rsidRPr="00C83DF5">
              <w:rPr>
                <w:rFonts w:ascii="Tahoma" w:hAnsi="Tahoma" w:cs="Tahoma"/>
                <w:b w:val="0"/>
                <w:sz w:val="14"/>
                <w:szCs w:val="14"/>
              </w:rPr>
              <w:t>VDI Suite</w:t>
            </w:r>
            <w:bookmarkEnd w:id="453"/>
            <w:bookmarkEnd w:id="454"/>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b/>
                <w:sz w:val="13"/>
                <w:szCs w:val="13"/>
                <w:u w:val="single"/>
              </w:rPr>
            </w:pPr>
          </w:p>
        </w:tc>
        <w:tc>
          <w:tcPr>
            <w:tcW w:w="449"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2981" w:type="dxa"/>
            <w:gridSpan w:val="15"/>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P</w:t>
            </w:r>
          </w:p>
        </w:tc>
        <w:tc>
          <w:tcPr>
            <w:tcW w:w="450" w:type="dxa"/>
            <w:tcBorders>
              <w:bottom w:val="single" w:sz="4" w:space="0" w:color="auto"/>
            </w:tcBorders>
            <w:shd w:val="clear" w:color="auto" w:fill="FABF8F"/>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A, ST</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215"/>
        </w:trPr>
        <w:tc>
          <w:tcPr>
            <w:tcW w:w="2546" w:type="dxa"/>
            <w:gridSpan w:val="2"/>
            <w:tcBorders>
              <w:bottom w:val="single" w:sz="4" w:space="0" w:color="auto"/>
            </w:tcBorders>
            <w:shd w:val="clear" w:color="auto" w:fill="auto"/>
          </w:tcPr>
          <w:p w:rsidR="00913A0A" w:rsidRPr="00C83DF5" w:rsidRDefault="00913A0A" w:rsidP="00DE02E2">
            <w:pPr>
              <w:pStyle w:val="Heading2"/>
              <w:spacing w:beforeLines="20" w:before="48" w:afterLines="20" w:after="48"/>
              <w:ind w:left="0"/>
              <w:rPr>
                <w:rFonts w:ascii="Tahoma" w:hAnsi="Tahoma" w:cs="Tahoma"/>
                <w:b w:val="0"/>
                <w:sz w:val="14"/>
                <w:szCs w:val="14"/>
              </w:rPr>
            </w:pPr>
            <w:bookmarkStart w:id="455" w:name="_Toc336338103"/>
            <w:bookmarkStart w:id="456" w:name="_Toc370983219"/>
            <w:r w:rsidRPr="00C83DF5">
              <w:rPr>
                <w:rFonts w:ascii="Tahoma" w:hAnsi="Tahoma" w:cs="Tahoma"/>
                <w:b w:val="0"/>
                <w:sz w:val="14"/>
                <w:szCs w:val="14"/>
              </w:rPr>
              <w:t>VDI Suite mit MDOP</w:t>
            </w:r>
            <w:bookmarkEnd w:id="455"/>
            <w:bookmarkEnd w:id="456"/>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b/>
                <w:sz w:val="13"/>
                <w:szCs w:val="13"/>
                <w:u w:val="single"/>
              </w:rPr>
            </w:pPr>
          </w:p>
        </w:tc>
        <w:tc>
          <w:tcPr>
            <w:tcW w:w="449"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2981" w:type="dxa"/>
            <w:gridSpan w:val="15"/>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E, P</w:t>
            </w:r>
          </w:p>
        </w:tc>
        <w:tc>
          <w:tcPr>
            <w:tcW w:w="450" w:type="dxa"/>
            <w:tcBorders>
              <w:bottom w:val="single" w:sz="4" w:space="0" w:color="auto"/>
            </w:tcBorders>
            <w:shd w:val="clear" w:color="auto" w:fill="auto"/>
          </w:tcPr>
          <w:p w:rsidR="00913A0A" w:rsidRPr="00C83DF5" w:rsidRDefault="00913A0A" w:rsidP="001A63C6">
            <w:pPr>
              <w:pStyle w:val="TableText"/>
              <w:rPr>
                <w:rFonts w:ascii="Tahoma" w:hAnsi="Tahoma" w:cs="Tahoma"/>
                <w:sz w:val="13"/>
                <w:szCs w:val="13"/>
              </w:rPr>
            </w:pPr>
            <w:r w:rsidRPr="00C83DF5">
              <w:rPr>
                <w:rFonts w:ascii="Tahoma" w:hAnsi="Tahoma" w:cs="Tahoma"/>
                <w:sz w:val="13"/>
                <w:szCs w:val="13"/>
              </w:rPr>
              <w:t>A,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tcPr>
          <w:p w:rsidR="00913A0A" w:rsidRPr="00C83DF5" w:rsidRDefault="00913A0A" w:rsidP="00DE02E2">
            <w:pPr>
              <w:pStyle w:val="Heading2"/>
              <w:spacing w:beforeLines="20" w:before="48" w:afterLines="20" w:after="48"/>
              <w:ind w:left="0"/>
              <w:rPr>
                <w:rFonts w:ascii="Tahoma" w:hAnsi="Tahoma" w:cs="Tahoma"/>
                <w:b w:val="0"/>
                <w:sz w:val="14"/>
                <w:szCs w:val="14"/>
                <w:lang w:val="pt-BR"/>
              </w:rPr>
            </w:pPr>
            <w:bookmarkStart w:id="457" w:name="_Toc336338108"/>
            <w:bookmarkStart w:id="458" w:name="_Toc370983220"/>
            <w:r w:rsidRPr="00C83DF5">
              <w:rPr>
                <w:rFonts w:ascii="Tahoma" w:hAnsi="Tahoma" w:cs="Tahoma"/>
                <w:b w:val="0"/>
                <w:sz w:val="14"/>
                <w:szCs w:val="14"/>
                <w:lang w:val="pt-BR"/>
              </w:rPr>
              <w:t>Virtual Server 2005 R2 Enterprise Edition</w:t>
            </w:r>
            <w:bookmarkEnd w:id="457"/>
            <w:bookmarkEnd w:id="458"/>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sz w:val="13"/>
                <w:szCs w:val="13"/>
                <w:u w:val="single"/>
                <w:lang w:val="pt-BR"/>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szCs w:val="14"/>
              </w:rPr>
            </w:pPr>
            <w:bookmarkStart w:id="459" w:name="_Toc336338109"/>
            <w:bookmarkStart w:id="460" w:name="_Toc370983221"/>
            <w:r w:rsidRPr="00C83DF5">
              <w:rPr>
                <w:rFonts w:ascii="Tahoma" w:hAnsi="Tahoma" w:cs="Tahoma"/>
                <w:b w:val="0"/>
                <w:sz w:val="14"/>
                <w:szCs w:val="14"/>
              </w:rPr>
              <w:t>Visual Studio</w:t>
            </w:r>
            <w:r w:rsidRPr="00C83DF5">
              <w:rPr>
                <w:rFonts w:ascii="Tahoma" w:eastAsia="Times New Roman" w:hAnsi="Tahoma" w:cs="Tahoma"/>
                <w:b w:val="0"/>
                <w:color w:val="000000"/>
                <w:sz w:val="14"/>
                <w:szCs w:val="14"/>
                <w:vertAlign w:val="superscript"/>
              </w:rPr>
              <w:t>®</w:t>
            </w:r>
            <w:r w:rsidRPr="00C83DF5">
              <w:rPr>
                <w:rFonts w:ascii="Tahoma" w:hAnsi="Tahoma" w:cs="Tahoma"/>
                <w:b w:val="0"/>
                <w:sz w:val="14"/>
                <w:szCs w:val="14"/>
              </w:rPr>
              <w:t xml:space="preserve"> Team Foundation Server 2013 mit SQL Server 2012-Technologie</w:t>
            </w:r>
            <w:bookmarkEnd w:id="459"/>
            <w:bookmarkEnd w:id="460"/>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rFonts w:ascii="Tahoma" w:hAnsi="Tahoma"/>
                <w:sz w:val="13"/>
                <w:szCs w:val="13"/>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8</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0983222"/>
            <w:r w:rsidRPr="00C83DF5">
              <w:rPr>
                <w:rFonts w:ascii="Tahoma" w:hAnsi="Tahoma" w:cs="Tahoma"/>
                <w:b w:val="0"/>
                <w:sz w:val="14"/>
                <w:szCs w:val="14"/>
              </w:rPr>
              <w:t>Geräte-CAL für Visual Studio</w:t>
            </w:r>
            <w:r w:rsidRPr="00DF3F89">
              <w:rPr>
                <w:rFonts w:ascii="Tahoma" w:hAnsi="Tahoma" w:cs="Tahoma"/>
                <w:b w:val="0"/>
                <w:sz w:val="14"/>
                <w:szCs w:val="14"/>
                <w:vertAlign w:val="superscript"/>
              </w:rPr>
              <w:t>®</w:t>
            </w:r>
            <w:r w:rsidRPr="00C83DF5">
              <w:rPr>
                <w:rFonts w:ascii="Tahoma" w:hAnsi="Tahoma" w:cs="Tahoma"/>
                <w:b w:val="0"/>
                <w:sz w:val="14"/>
                <w:szCs w:val="14"/>
              </w:rPr>
              <w:t xml:space="preserve"> Team Foundation Server 2013</w:t>
            </w:r>
            <w:bookmarkEnd w:id="461"/>
            <w:bookmarkEnd w:id="462"/>
            <w:bookmarkEnd w:id="463"/>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rFonts w:ascii="Tahoma" w:hAnsi="Tahoma"/>
                <w:sz w:val="13"/>
                <w:szCs w:val="13"/>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8</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0983223"/>
            <w:r w:rsidRPr="00C83DF5">
              <w:rPr>
                <w:rFonts w:ascii="Tahoma" w:hAnsi="Tahoma" w:cs="Tahoma"/>
                <w:b w:val="0"/>
                <w:sz w:val="14"/>
                <w:szCs w:val="14"/>
              </w:rPr>
              <w:t>Nutzer-CAL für Visual Studio</w:t>
            </w:r>
            <w:r w:rsidRPr="00DF3F89">
              <w:rPr>
                <w:rFonts w:ascii="Tahoma" w:hAnsi="Tahoma" w:cs="Tahoma"/>
                <w:b w:val="0"/>
                <w:sz w:val="14"/>
                <w:szCs w:val="14"/>
                <w:vertAlign w:val="superscript"/>
              </w:rPr>
              <w:t>®</w:t>
            </w:r>
            <w:r w:rsidRPr="00C83DF5">
              <w:rPr>
                <w:rFonts w:ascii="Tahoma" w:hAnsi="Tahoma" w:cs="Tahoma"/>
                <w:b w:val="0"/>
                <w:sz w:val="14"/>
                <w:szCs w:val="14"/>
              </w:rPr>
              <w:t xml:space="preserve"> Team Foundation Server 2013</w:t>
            </w:r>
            <w:bookmarkEnd w:id="464"/>
            <w:bookmarkEnd w:id="465"/>
            <w:bookmarkEnd w:id="466"/>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rFonts w:ascii="Tahoma" w:hAnsi="Tahoma"/>
                <w:sz w:val="13"/>
                <w:szCs w:val="13"/>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8</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spacing w:after="120"/>
              <w:rPr>
                <w:rFonts w:ascii="Tahoma" w:hAnsi="Tahoma" w:cs="Tahoma"/>
                <w:sz w:val="13"/>
                <w:szCs w:val="13"/>
              </w:rPr>
            </w:pPr>
            <w:r w:rsidRPr="00C83DF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STP</w:t>
            </w:r>
          </w:p>
        </w:tc>
      </w:tr>
      <w:tr w:rsidR="008A0F85" w:rsidRPr="00C83DF5" w:rsidTr="004909D7">
        <w:trPr>
          <w:trHeight w:val="287"/>
        </w:trPr>
        <w:tc>
          <w:tcPr>
            <w:tcW w:w="2546" w:type="dxa"/>
            <w:gridSpan w:val="2"/>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lang w:val="de-DE"/>
              </w:rPr>
            </w:pPr>
            <w:bookmarkStart w:id="467" w:name="_Toc370983224"/>
            <w:r w:rsidRPr="00C83DF5">
              <w:rPr>
                <w:rFonts w:ascii="Tahoma" w:hAnsi="Tahoma" w:cs="Tahoma"/>
                <w:b w:val="0"/>
                <w:sz w:val="14"/>
                <w:lang w:val="de-DE"/>
              </w:rPr>
              <w:t>Windows Azure Active Directory-Rechteverwaltung (Nutzer-AL)</w:t>
            </w:r>
            <w:bookmarkEnd w:id="467"/>
          </w:p>
        </w:tc>
        <w:tc>
          <w:tcPr>
            <w:tcW w:w="414" w:type="dxa"/>
            <w:tcBorders>
              <w:bottom w:val="single" w:sz="4" w:space="0" w:color="auto"/>
            </w:tcBorders>
            <w:shd w:val="clear" w:color="auto" w:fill="FABF8F"/>
            <w:vAlign w:val="center"/>
          </w:tcPr>
          <w:p w:rsidR="00913A0A" w:rsidRPr="00C83DF5" w:rsidRDefault="00913A0A" w:rsidP="00FC4741">
            <w:pPr>
              <w:pStyle w:val="TableText"/>
              <w:widowControl w:val="0"/>
              <w:spacing w:before="100" w:beforeAutospacing="1"/>
              <w:rPr>
                <w:lang w:val="de-DE"/>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45693C" w:rsidRPr="00C83DF5" w:rsidTr="00CE3CB8">
        <w:trPr>
          <w:trHeight w:val="287"/>
        </w:trPr>
        <w:tc>
          <w:tcPr>
            <w:tcW w:w="2546" w:type="dxa"/>
            <w:gridSpan w:val="2"/>
            <w:tcBorders>
              <w:bottom w:val="single" w:sz="4" w:space="0" w:color="auto"/>
            </w:tcBorders>
            <w:shd w:val="clear" w:color="auto" w:fill="auto"/>
            <w:vAlign w:val="center"/>
          </w:tcPr>
          <w:p w:rsidR="00ED3095" w:rsidRPr="00C83DF5" w:rsidRDefault="00ED3095" w:rsidP="00DE02E2">
            <w:pPr>
              <w:pStyle w:val="Heading2"/>
              <w:spacing w:beforeLines="20" w:before="48" w:afterLines="20" w:after="48"/>
              <w:ind w:left="0"/>
              <w:rPr>
                <w:rFonts w:ascii="Tahoma" w:hAnsi="Tahoma" w:cs="Tahoma"/>
                <w:b w:val="0"/>
                <w:sz w:val="14"/>
                <w:lang w:val="de-DE"/>
              </w:rPr>
            </w:pPr>
            <w:bookmarkStart w:id="468" w:name="_Toc370983225"/>
            <w:r w:rsidRPr="00C83DF5">
              <w:rPr>
                <w:rFonts w:ascii="Tahoma" w:hAnsi="Tahoma" w:cs="Tahoma"/>
                <w:b w:val="0"/>
                <w:sz w:val="14"/>
                <w:lang w:val="de-DE"/>
              </w:rPr>
              <w:t>Windows Azure Active Directory-Rechteverwaltung für Forschung &amp; Lehre (Nutzer-AL)</w:t>
            </w:r>
            <w:bookmarkEnd w:id="468"/>
          </w:p>
        </w:tc>
        <w:tc>
          <w:tcPr>
            <w:tcW w:w="414" w:type="dxa"/>
            <w:tcBorders>
              <w:bottom w:val="single" w:sz="4" w:space="0" w:color="auto"/>
            </w:tcBorders>
            <w:shd w:val="clear" w:color="auto" w:fill="auto"/>
            <w:vAlign w:val="center"/>
          </w:tcPr>
          <w:p w:rsidR="00ED3095" w:rsidRPr="00C83DF5" w:rsidRDefault="00ED3095" w:rsidP="00FC4741">
            <w:pPr>
              <w:pStyle w:val="TableText"/>
              <w:widowControl w:val="0"/>
              <w:spacing w:before="100" w:beforeAutospacing="1"/>
              <w:rPr>
                <w:lang w:val="de-DE"/>
              </w:rPr>
            </w:pPr>
          </w:p>
        </w:tc>
        <w:tc>
          <w:tcPr>
            <w:tcW w:w="449" w:type="dxa"/>
            <w:tcBorders>
              <w:bottom w:val="single" w:sz="4" w:space="0" w:color="auto"/>
            </w:tcBorders>
            <w:shd w:val="clear" w:color="auto" w:fill="auto"/>
            <w:vAlign w:val="center"/>
          </w:tcPr>
          <w:p w:rsidR="00ED3095" w:rsidRPr="00C83DF5" w:rsidRDefault="00ED3095" w:rsidP="001A63C6">
            <w:pPr>
              <w:pStyle w:val="TableText"/>
              <w:widowControl w:val="0"/>
              <w:spacing w:before="80"/>
              <w:rPr>
                <w:rFonts w:ascii="Tahoma" w:hAnsi="Tahoma" w:cs="Tahoma"/>
                <w:sz w:val="13"/>
              </w:rPr>
            </w:pPr>
            <w:r w:rsidRPr="00C83DF5">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3095" w:rsidRPr="00C83DF5" w:rsidRDefault="00ED3095" w:rsidP="00CE3CB8">
            <w:pPr>
              <w:pStyle w:val="TableText"/>
              <w:widowControl w:val="0"/>
              <w:rPr>
                <w:rFonts w:ascii="Tahoma" w:hAnsi="Tahoma" w:cs="Tahoma"/>
                <w:sz w:val="13"/>
              </w:rPr>
            </w:pPr>
            <w:r w:rsidRPr="00C83DF5">
              <w:rPr>
                <w:rFonts w:ascii="Tahoma" w:hAnsi="Tahoma" w:cs="Tahoma"/>
                <w:sz w:val="13"/>
              </w:rPr>
              <w:t>A, ST (nur EES)</w:t>
            </w:r>
          </w:p>
        </w:tc>
        <w:tc>
          <w:tcPr>
            <w:tcW w:w="506" w:type="dxa"/>
            <w:tcBorders>
              <w:bottom w:val="single" w:sz="4" w:space="0" w:color="auto"/>
            </w:tcBorders>
            <w:shd w:val="clear" w:color="auto" w:fill="auto"/>
            <w:vAlign w:val="center"/>
          </w:tcPr>
          <w:p w:rsidR="00ED3095" w:rsidRPr="00C83DF5" w:rsidRDefault="00ED3095"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ED3095" w:rsidRPr="00C83DF5" w:rsidRDefault="00ED3095" w:rsidP="001A63C6">
            <w:pPr>
              <w:pStyle w:val="TableText"/>
              <w:widowControl w:val="0"/>
              <w:rPr>
                <w:rFonts w:ascii="Tahoma" w:hAnsi="Tahoma" w:cs="Tahoma"/>
                <w:sz w:val="13"/>
              </w:rPr>
            </w:pPr>
          </w:p>
        </w:tc>
      </w:tr>
      <w:tr w:rsidR="00913A0A" w:rsidRPr="00C83DF5" w:rsidTr="004909D7">
        <w:trPr>
          <w:trHeight w:val="287"/>
        </w:trPr>
        <w:tc>
          <w:tcPr>
            <w:tcW w:w="2546" w:type="dxa"/>
            <w:gridSpan w:val="2"/>
            <w:tcBorders>
              <w:bottom w:val="single" w:sz="4" w:space="0" w:color="auto"/>
            </w:tcBorders>
            <w:shd w:val="clear" w:color="auto" w:fill="FABF8F"/>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469" w:name="_Toc370983226"/>
            <w:r w:rsidRPr="00C83DF5">
              <w:rPr>
                <w:rFonts w:ascii="Tahoma" w:hAnsi="Tahoma" w:cs="Tahoma"/>
                <w:b w:val="0"/>
                <w:sz w:val="14"/>
              </w:rPr>
              <w:t>Windows Azure Active Directory-Rechteverwaltungs-Add-On (Nutzer-AL)</w:t>
            </w:r>
            <w:bookmarkEnd w:id="469"/>
          </w:p>
        </w:tc>
        <w:tc>
          <w:tcPr>
            <w:tcW w:w="414" w:type="dxa"/>
            <w:tcBorders>
              <w:bottom w:val="single" w:sz="4" w:space="0" w:color="auto"/>
            </w:tcBorders>
            <w:shd w:val="clear" w:color="auto" w:fill="FABF8F"/>
            <w:vAlign w:val="center"/>
          </w:tcPr>
          <w:p w:rsidR="00913A0A" w:rsidRPr="00C83DF5" w:rsidRDefault="005519A5" w:rsidP="00FC4741">
            <w:pPr>
              <w:pStyle w:val="TableText"/>
              <w:widowControl w:val="0"/>
              <w:spacing w:before="100" w:beforeAutospacing="1"/>
              <w:rPr>
                <w:b/>
                <w:sz w:val="13"/>
                <w:szCs w:val="13"/>
              </w:rPr>
            </w:pPr>
            <w:hyperlink w:anchor="_7_Add-on_User" w:history="1">
              <w:r w:rsidR="00CF5A3E" w:rsidRPr="00C83DF5">
                <w:rPr>
                  <w:rStyle w:val="Hyperlink"/>
                  <w:b/>
                  <w:sz w:val="13"/>
                  <w:szCs w:val="13"/>
                </w:rPr>
                <w:t>7</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45693C" w:rsidRPr="00C83DF5" w:rsidTr="004909D7">
        <w:trPr>
          <w:trHeight w:val="287"/>
        </w:trPr>
        <w:tc>
          <w:tcPr>
            <w:tcW w:w="2546" w:type="dxa"/>
            <w:gridSpan w:val="2"/>
            <w:tcBorders>
              <w:bottom w:val="single" w:sz="4" w:space="0" w:color="auto"/>
            </w:tcBorders>
            <w:shd w:val="clear" w:color="auto" w:fill="auto"/>
            <w:vAlign w:val="center"/>
          </w:tcPr>
          <w:p w:rsidR="00913A0A" w:rsidRPr="00C83DF5" w:rsidRDefault="00913A0A" w:rsidP="00DE02E2">
            <w:pPr>
              <w:pStyle w:val="Heading2"/>
              <w:spacing w:beforeLines="20" w:before="48" w:afterLines="20" w:after="48"/>
              <w:ind w:left="0"/>
              <w:rPr>
                <w:rFonts w:ascii="Tahoma" w:hAnsi="Tahoma" w:cs="Tahoma"/>
                <w:b w:val="0"/>
                <w:sz w:val="14"/>
              </w:rPr>
            </w:pPr>
            <w:bookmarkStart w:id="470" w:name="_Toc336338114"/>
            <w:bookmarkStart w:id="471" w:name="_Toc370983227"/>
            <w:r w:rsidRPr="00C83DF5">
              <w:rPr>
                <w:rFonts w:ascii="Tahoma" w:hAnsi="Tahoma" w:cs="Tahoma"/>
                <w:b w:val="0"/>
                <w:sz w:val="14"/>
              </w:rPr>
              <w:t>Windows Azure-Dienste</w:t>
            </w:r>
            <w:bookmarkEnd w:id="470"/>
            <w:bookmarkEnd w:id="471"/>
          </w:p>
        </w:tc>
        <w:tc>
          <w:tcPr>
            <w:tcW w:w="414" w:type="dxa"/>
            <w:tcBorders>
              <w:bottom w:val="single" w:sz="4" w:space="0" w:color="auto"/>
            </w:tcBorders>
            <w:shd w:val="clear" w:color="auto" w:fill="auto"/>
            <w:vAlign w:val="center"/>
          </w:tcPr>
          <w:p w:rsidR="00913A0A" w:rsidRPr="00C83DF5" w:rsidRDefault="005519A5" w:rsidP="005720DF">
            <w:pPr>
              <w:pStyle w:val="TableText"/>
              <w:widowControl w:val="0"/>
              <w:spacing w:before="100" w:beforeAutospacing="1"/>
              <w:rPr>
                <w:rFonts w:cs="Tahoma"/>
                <w:b/>
                <w:color w:val="0000FF"/>
                <w:sz w:val="13"/>
                <w:szCs w:val="13"/>
                <w:u w:val="single"/>
              </w:rPr>
            </w:pPr>
            <w:hyperlink w:anchor="_92_Visual_Studio" w:history="1">
              <w:r w:rsidR="00CF5A3E" w:rsidRPr="00C83DF5">
                <w:rPr>
                  <w:rStyle w:val="Hyperlink"/>
                  <w:rFonts w:cs="Tahoma"/>
                  <w:b/>
                  <w:sz w:val="13"/>
                  <w:szCs w:val="13"/>
                </w:rPr>
                <w:t>99</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913A0A" w:rsidRPr="00C83DF5" w:rsidRDefault="002C4BA9" w:rsidP="001A63C6">
            <w:pPr>
              <w:pStyle w:val="TableText"/>
              <w:widowControl w:val="0"/>
              <w:rPr>
                <w:rFonts w:ascii="Tahoma" w:hAnsi="Tahoma" w:cs="Tahoma"/>
                <w:sz w:val="13"/>
              </w:rPr>
            </w:pPr>
            <w:r w:rsidRPr="00C83DF5">
              <w:rPr>
                <w:rFonts w:ascii="Tahoma" w:hAnsi="Tahoma" w:cs="Tahoma"/>
                <w:sz w:val="13"/>
              </w:rPr>
              <w:t>A</w:t>
            </w:r>
          </w:p>
        </w:tc>
      </w:tr>
      <w:tr w:rsidR="00913A0A" w:rsidRPr="00C83DF5" w:rsidTr="004909D7">
        <w:trPr>
          <w:trHeight w:val="152"/>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472" w:name="_Toc336338115"/>
            <w:bookmarkStart w:id="473" w:name="_Toc370983228"/>
            <w:r w:rsidRPr="00C83DF5">
              <w:rPr>
                <w:rFonts w:ascii="Tahoma" w:hAnsi="Tahoma" w:cs="Tahoma"/>
                <w:b w:val="0"/>
                <w:sz w:val="14"/>
              </w:rPr>
              <w:t>Windows</w:t>
            </w:r>
            <w:r w:rsidRPr="00DF3F89">
              <w:rPr>
                <w:rFonts w:ascii="Tahoma" w:hAnsi="Tahoma" w:cs="Tahoma"/>
                <w:b w:val="0"/>
                <w:sz w:val="14"/>
                <w:vertAlign w:val="superscript"/>
              </w:rPr>
              <w:t>®</w:t>
            </w:r>
            <w:r w:rsidRPr="00C83DF5">
              <w:rPr>
                <w:rFonts w:ascii="Tahoma" w:hAnsi="Tahoma" w:cs="Tahoma"/>
                <w:b w:val="0"/>
                <w:sz w:val="14"/>
              </w:rPr>
              <w:t xml:space="preserve"> Embedded Device </w:t>
            </w:r>
            <w:r w:rsidR="00DF50C5">
              <w:rPr>
                <w:rFonts w:ascii="Tahoma" w:hAnsi="Tahoma" w:cs="Tahoma"/>
                <w:b w:val="0"/>
                <w:sz w:val="14"/>
              </w:rPr>
              <w:br/>
            </w:r>
            <w:r w:rsidRPr="00C83DF5">
              <w:rPr>
                <w:rFonts w:ascii="Tahoma" w:hAnsi="Tahoma" w:cs="Tahoma"/>
                <w:b w:val="0"/>
                <w:sz w:val="14"/>
              </w:rPr>
              <w:t>Manager 2011</w:t>
            </w:r>
            <w:bookmarkEnd w:id="472"/>
            <w:bookmarkEnd w:id="473"/>
          </w:p>
        </w:tc>
        <w:tc>
          <w:tcPr>
            <w:tcW w:w="414" w:type="dxa"/>
            <w:tcBorders>
              <w:bottom w:val="single" w:sz="4" w:space="0" w:color="auto"/>
            </w:tcBorders>
            <w:shd w:val="clear" w:color="auto" w:fill="FABF8F"/>
            <w:vAlign w:val="center"/>
          </w:tcPr>
          <w:p w:rsidR="00913A0A" w:rsidRPr="00C83DF5" w:rsidRDefault="005519A5" w:rsidP="005720DF">
            <w:pPr>
              <w:pStyle w:val="TableText"/>
              <w:widowControl w:val="0"/>
              <w:spacing w:before="100" w:beforeAutospacing="1"/>
              <w:rPr>
                <w:rFonts w:cs="Tahoma"/>
                <w:b/>
                <w:color w:val="0000FF"/>
                <w:sz w:val="13"/>
                <w:szCs w:val="13"/>
                <w:u w:val="single"/>
              </w:rPr>
            </w:pPr>
            <w:hyperlink w:anchor="_98_Windows_Embedded" w:history="1">
              <w:r w:rsidR="00CF5A3E" w:rsidRPr="00C83DF5">
                <w:rPr>
                  <w:rStyle w:val="Hyperlink"/>
                  <w:b/>
                  <w:sz w:val="13"/>
                  <w:szCs w:val="13"/>
                </w:rPr>
                <w:t>100</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45693C" w:rsidRPr="004D388E" w:rsidTr="004909D7">
        <w:trPr>
          <w:trHeight w:val="287"/>
        </w:trPr>
        <w:tc>
          <w:tcPr>
            <w:tcW w:w="2546" w:type="dxa"/>
            <w:gridSpan w:val="2"/>
            <w:tcBorders>
              <w:bottom w:val="single" w:sz="4" w:space="0" w:color="auto"/>
            </w:tcBorders>
            <w:shd w:val="clear" w:color="auto" w:fill="auto"/>
            <w:vAlign w:val="center"/>
          </w:tcPr>
          <w:p w:rsidR="00913A0A" w:rsidRPr="00C83DF5" w:rsidRDefault="00913A0A" w:rsidP="0032586D">
            <w:pPr>
              <w:pStyle w:val="Heading2"/>
              <w:spacing w:before="20" w:after="20"/>
              <w:ind w:left="0"/>
              <w:rPr>
                <w:rFonts w:ascii="Tahoma" w:hAnsi="Tahoma" w:cs="Tahoma"/>
                <w:b w:val="0"/>
                <w:sz w:val="14"/>
                <w:szCs w:val="14"/>
                <w:lang w:val="de-DE"/>
              </w:rPr>
            </w:pPr>
            <w:bookmarkStart w:id="474" w:name="_Toc336338116"/>
            <w:bookmarkStart w:id="475" w:name="_Toc370983229"/>
            <w:r w:rsidRPr="00D942DF">
              <w:rPr>
                <w:rFonts w:ascii="Tahoma" w:hAnsi="Tahoma" w:cs="Tahoma"/>
                <w:b w:val="0"/>
                <w:sz w:val="14"/>
                <w:lang w:val="de-DE"/>
              </w:rPr>
              <w:t>Client-Management-Lizenz pro Betriebssystemumgebung für Windows</w:t>
            </w:r>
            <w:r w:rsidRPr="00D942DF">
              <w:rPr>
                <w:rFonts w:ascii="Tahoma" w:hAnsi="Tahoma" w:cs="Tahoma"/>
                <w:b w:val="0"/>
                <w:sz w:val="14"/>
                <w:vertAlign w:val="superscript"/>
                <w:lang w:val="de-DE"/>
              </w:rPr>
              <w:t>®</w:t>
            </w:r>
            <w:r w:rsidRPr="00D942DF">
              <w:rPr>
                <w:rFonts w:ascii="Tahoma" w:hAnsi="Tahoma" w:cs="Tahoma"/>
                <w:b w:val="0"/>
                <w:sz w:val="14"/>
                <w:lang w:val="de-DE"/>
              </w:rPr>
              <w:t xml:space="preserve"> </w:t>
            </w:r>
            <w:r w:rsidRPr="00C83DF5">
              <w:rPr>
                <w:rFonts w:ascii="Tahoma" w:hAnsi="Tahoma" w:cs="Tahoma"/>
                <w:b w:val="0"/>
                <w:sz w:val="14"/>
                <w:lang w:val="de-DE"/>
              </w:rPr>
              <w:t>Embedded Device Manager</w:t>
            </w:r>
            <w:r w:rsidR="0032586D">
              <w:rPr>
                <w:rFonts w:ascii="Tahoma" w:hAnsi="Tahoma" w:cs="Tahoma"/>
                <w:b w:val="0"/>
                <w:sz w:val="14"/>
                <w:lang w:val="de-DE"/>
              </w:rPr>
              <w:t> </w:t>
            </w:r>
            <w:r w:rsidRPr="00C83DF5">
              <w:rPr>
                <w:rFonts w:ascii="Tahoma" w:hAnsi="Tahoma" w:cs="Tahoma"/>
                <w:b w:val="0"/>
                <w:sz w:val="14"/>
                <w:lang w:val="de-DE"/>
              </w:rPr>
              <w:t>2011</w:t>
            </w:r>
            <w:bookmarkEnd w:id="474"/>
            <w:bookmarkEnd w:id="475"/>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spacing w:before="100" w:beforeAutospacing="1"/>
              <w:rPr>
                <w:rFonts w:ascii="Tahoma" w:hAnsi="Tahoma" w:cs="Tahoma"/>
                <w:b/>
                <w:color w:val="0000FF"/>
                <w:sz w:val="13"/>
                <w:szCs w:val="13"/>
                <w:lang w:val="de-DE"/>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lang w:val="de-DE"/>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lang w:val="de-DE"/>
              </w:rPr>
            </w:pPr>
          </w:p>
        </w:tc>
        <w:tc>
          <w:tcPr>
            <w:tcW w:w="484"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lang w:val="de-DE"/>
              </w:rPr>
            </w:pPr>
          </w:p>
        </w:tc>
      </w:tr>
      <w:tr w:rsidR="00913A0A" w:rsidRPr="00C83DF5" w:rsidTr="004909D7">
        <w:trPr>
          <w:trHeight w:val="287"/>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lang w:val="de-DE"/>
              </w:rPr>
            </w:pPr>
            <w:bookmarkStart w:id="476" w:name="_Toc336338117"/>
            <w:bookmarkStart w:id="477" w:name="_Toc370983230"/>
            <w:r w:rsidRPr="00C83DF5">
              <w:rPr>
                <w:rFonts w:ascii="Tahoma" w:hAnsi="Tahoma" w:cs="Tahoma"/>
                <w:b w:val="0"/>
                <w:sz w:val="14"/>
                <w:lang w:val="de-DE"/>
              </w:rPr>
              <w:t>Client-Management-Lizenz pro Nutzer für Windows</w:t>
            </w:r>
            <w:r w:rsidRPr="00DF3F89">
              <w:rPr>
                <w:rFonts w:ascii="Tahoma" w:hAnsi="Tahoma" w:cs="Tahoma"/>
                <w:b w:val="0"/>
                <w:sz w:val="14"/>
                <w:vertAlign w:val="superscript"/>
                <w:lang w:val="de-DE"/>
              </w:rPr>
              <w:t>®</w:t>
            </w:r>
            <w:r w:rsidRPr="00C83DF5">
              <w:rPr>
                <w:rFonts w:ascii="Tahoma" w:hAnsi="Tahoma" w:cs="Tahoma"/>
                <w:b w:val="0"/>
                <w:sz w:val="14"/>
                <w:lang w:val="de-DE"/>
              </w:rPr>
              <w:t xml:space="preserve"> Embedded Device Manager 2011</w:t>
            </w:r>
            <w:bookmarkEnd w:id="476"/>
            <w:bookmarkEnd w:id="477"/>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spacing w:before="100" w:beforeAutospacing="1"/>
              <w:rPr>
                <w:rFonts w:cs="Tahoma"/>
                <w:b/>
                <w:color w:val="0000FF"/>
                <w:sz w:val="13"/>
                <w:szCs w:val="13"/>
              </w:rPr>
            </w:pPr>
            <w:hyperlink w:anchor="_96_Windows_Embedded" w:history="1">
              <w:r w:rsidR="00CF5A3E" w:rsidRPr="00C83DF5">
                <w:rPr>
                  <w:rStyle w:val="Hyperlink"/>
                  <w:b/>
                  <w:sz w:val="13"/>
                  <w:szCs w:val="13"/>
                </w:rPr>
                <w:t>101</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45693C" w:rsidRPr="00C83DF5" w:rsidTr="004909D7">
        <w:trPr>
          <w:trHeight w:val="287"/>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rPr>
            </w:pPr>
            <w:bookmarkStart w:id="478" w:name="_Toc336338118"/>
            <w:bookmarkStart w:id="479" w:name="_Toc370983231"/>
            <w:r w:rsidRPr="00C83DF5">
              <w:rPr>
                <w:rFonts w:ascii="Tahoma" w:hAnsi="Tahoma" w:cs="Tahoma"/>
                <w:b w:val="0"/>
                <w:sz w:val="14"/>
              </w:rPr>
              <w:t>Windows</w:t>
            </w:r>
            <w:r w:rsidRPr="00DF3F89">
              <w:rPr>
                <w:rFonts w:ascii="Tahoma" w:hAnsi="Tahoma" w:cs="Tahoma"/>
                <w:b w:val="0"/>
                <w:sz w:val="14"/>
                <w:vertAlign w:val="superscript"/>
              </w:rPr>
              <w:t>®</w:t>
            </w:r>
            <w:r w:rsidRPr="00C83DF5">
              <w:rPr>
                <w:rFonts w:ascii="Tahoma" w:hAnsi="Tahoma" w:cs="Tahoma"/>
                <w:b w:val="0"/>
                <w:sz w:val="14"/>
              </w:rPr>
              <w:t xml:space="preserve"> Embedded Device </w:t>
            </w:r>
            <w:r w:rsidR="00DF50C5">
              <w:rPr>
                <w:rFonts w:ascii="Tahoma" w:hAnsi="Tahoma" w:cs="Tahoma"/>
                <w:b w:val="0"/>
                <w:sz w:val="14"/>
              </w:rPr>
              <w:br/>
            </w:r>
            <w:r w:rsidRPr="00C83DF5">
              <w:rPr>
                <w:rFonts w:ascii="Tahoma" w:hAnsi="Tahoma" w:cs="Tahoma"/>
                <w:b w:val="0"/>
                <w:sz w:val="14"/>
              </w:rPr>
              <w:t>Manager 2011 mit SQL Server</w:t>
            </w:r>
            <w:r w:rsidRPr="00DF3F89">
              <w:rPr>
                <w:rFonts w:ascii="Tahoma" w:hAnsi="Tahoma" w:cs="Tahoma"/>
                <w:b w:val="0"/>
                <w:sz w:val="14"/>
                <w:vertAlign w:val="superscript"/>
              </w:rPr>
              <w:t>®</w:t>
            </w:r>
            <w:r w:rsidRPr="00C83DF5">
              <w:rPr>
                <w:rFonts w:ascii="Tahoma" w:hAnsi="Tahoma" w:cs="Tahoma"/>
                <w:b w:val="0"/>
                <w:sz w:val="14"/>
              </w:rPr>
              <w:t xml:space="preserve"> </w:t>
            </w:r>
            <w:r w:rsidR="00DF50C5">
              <w:rPr>
                <w:rFonts w:ascii="Tahoma" w:hAnsi="Tahoma" w:cs="Tahoma"/>
                <w:b w:val="0"/>
                <w:sz w:val="14"/>
              </w:rPr>
              <w:br/>
            </w:r>
            <w:r w:rsidRPr="00C83DF5">
              <w:rPr>
                <w:rFonts w:ascii="Tahoma" w:hAnsi="Tahoma" w:cs="Tahoma"/>
                <w:b w:val="0"/>
                <w:sz w:val="14"/>
              </w:rPr>
              <w:t>2008-Technologie</w:t>
            </w:r>
            <w:bookmarkEnd w:id="478"/>
            <w:bookmarkEnd w:id="479"/>
          </w:p>
        </w:tc>
        <w:tc>
          <w:tcPr>
            <w:tcW w:w="414" w:type="dxa"/>
            <w:tcBorders>
              <w:bottom w:val="single" w:sz="4" w:space="0" w:color="auto"/>
            </w:tcBorders>
            <w:shd w:val="clear" w:color="auto" w:fill="auto"/>
            <w:vAlign w:val="center"/>
          </w:tcPr>
          <w:p w:rsidR="00913A0A" w:rsidRPr="00C83DF5" w:rsidRDefault="005519A5" w:rsidP="00ED1DE2">
            <w:pPr>
              <w:pStyle w:val="TableText"/>
              <w:widowControl w:val="0"/>
              <w:spacing w:before="100" w:beforeAutospacing="1"/>
              <w:rPr>
                <w:rFonts w:cs="Tahoma"/>
                <w:b/>
                <w:color w:val="0000FF"/>
                <w:sz w:val="13"/>
                <w:szCs w:val="13"/>
                <w:u w:val="single"/>
              </w:rPr>
            </w:pPr>
            <w:hyperlink w:anchor="_96_Windows_Embedded" w:history="1">
              <w:r w:rsidR="00ED091B" w:rsidRPr="00C83DF5">
                <w:rPr>
                  <w:rStyle w:val="Hyperlink"/>
                  <w:b/>
                  <w:sz w:val="13"/>
                  <w:szCs w:val="13"/>
                </w:rPr>
                <w:t>101</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r>
      <w:tr w:rsidR="00913A0A" w:rsidRPr="00C83DF5" w:rsidTr="004909D7">
        <w:trPr>
          <w:trHeight w:val="287"/>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480" w:name="_Toc336338119"/>
            <w:bookmarkStart w:id="481" w:name="_Toc370983232"/>
            <w:r w:rsidRPr="00C83DF5">
              <w:rPr>
                <w:rFonts w:ascii="Tahoma" w:hAnsi="Tahoma" w:cs="Tahoma"/>
                <w:b w:val="0"/>
                <w:sz w:val="14"/>
                <w:szCs w:val="14"/>
              </w:rPr>
              <w:t>Windows Essential Business Server 2008 Standard</w:t>
            </w:r>
            <w:bookmarkEnd w:id="480"/>
            <w:bookmarkEnd w:id="481"/>
          </w:p>
        </w:tc>
        <w:tc>
          <w:tcPr>
            <w:tcW w:w="414" w:type="dxa"/>
            <w:tcBorders>
              <w:bottom w:val="single" w:sz="4" w:space="0" w:color="auto"/>
            </w:tcBorders>
            <w:shd w:val="clear" w:color="auto" w:fill="FABF8F"/>
            <w:vAlign w:val="center"/>
          </w:tcPr>
          <w:p w:rsidR="00913A0A" w:rsidRPr="00C83DF5" w:rsidRDefault="005519A5" w:rsidP="00ED1DE2">
            <w:pPr>
              <w:pStyle w:val="TableText"/>
              <w:widowControl w:val="0"/>
              <w:spacing w:before="100" w:beforeAutospacing="1"/>
              <w:rPr>
                <w:rStyle w:val="EndnoteReference"/>
                <w:rFonts w:cs="Tahoma"/>
                <w:b w:val="0"/>
                <w:color w:val="0000FF"/>
                <w:sz w:val="13"/>
                <w:szCs w:val="13"/>
                <w:u w:val="single"/>
              </w:rPr>
            </w:pPr>
            <w:hyperlink w:anchor="_100_Windows_EBS" w:history="1">
              <w:r w:rsidR="00CF5A3E" w:rsidRPr="00C83DF5">
                <w:rPr>
                  <w:rStyle w:val="Hyperlink"/>
                  <w:b/>
                  <w:sz w:val="13"/>
                  <w:szCs w:val="13"/>
                </w:rPr>
                <w:t>102</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45693C" w:rsidRPr="00C83DF5" w:rsidTr="004909D7">
        <w:trPr>
          <w:trHeight w:val="287"/>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rPr>
            </w:pPr>
            <w:bookmarkStart w:id="482" w:name="_Toc336338120"/>
            <w:bookmarkStart w:id="483" w:name="_Toc370983233"/>
            <w:r w:rsidRPr="00C83DF5">
              <w:rPr>
                <w:rFonts w:ascii="Tahoma" w:hAnsi="Tahoma" w:cs="Tahoma"/>
                <w:b w:val="0"/>
                <w:sz w:val="14"/>
                <w:szCs w:val="14"/>
              </w:rPr>
              <w:t>CAL-Suite für Windows Essential Business Server 2008</w:t>
            </w:r>
            <w:bookmarkEnd w:id="482"/>
            <w:bookmarkEnd w:id="483"/>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r>
      <w:tr w:rsidR="00913A0A" w:rsidRPr="00C83DF5" w:rsidTr="004909D7">
        <w:trPr>
          <w:trHeight w:val="287"/>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484" w:name="_Toc336338121"/>
            <w:bookmarkStart w:id="485" w:name="_Toc370983234"/>
            <w:r w:rsidRPr="00C83DF5">
              <w:rPr>
                <w:rFonts w:ascii="Tahoma" w:hAnsi="Tahoma" w:cs="Tahoma"/>
                <w:b w:val="0"/>
                <w:sz w:val="14"/>
                <w:szCs w:val="14"/>
              </w:rPr>
              <w:t>CAL-Suite für Windows Essential Business Server 2008 (5 Clients)</w:t>
            </w:r>
            <w:bookmarkEnd w:id="484"/>
            <w:bookmarkEnd w:id="485"/>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45693C" w:rsidRPr="00C83DF5" w:rsidTr="004909D7">
        <w:trPr>
          <w:trHeight w:val="287"/>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rPr>
            </w:pPr>
            <w:bookmarkStart w:id="486" w:name="_Toc336338122"/>
            <w:bookmarkStart w:id="487" w:name="_Toc370983235"/>
            <w:r w:rsidRPr="00C83DF5">
              <w:rPr>
                <w:rFonts w:ascii="Tahoma" w:hAnsi="Tahoma" w:cs="Tahoma"/>
                <w:b w:val="0"/>
                <w:color w:val="000000"/>
                <w:sz w:val="14"/>
                <w:szCs w:val="14"/>
              </w:rPr>
              <w:t>CAL-Suite für Windows Essential Business Server 2008 (20 Clients)</w:t>
            </w:r>
            <w:bookmarkEnd w:id="486"/>
            <w:bookmarkEnd w:id="487"/>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r>
      <w:tr w:rsidR="00913A0A" w:rsidRPr="00C83DF5" w:rsidTr="004909D7">
        <w:trPr>
          <w:trHeight w:val="287"/>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488" w:name="_Toc336338123"/>
            <w:bookmarkStart w:id="489" w:name="_Toc370983236"/>
            <w:r w:rsidRPr="00C83DF5">
              <w:rPr>
                <w:rFonts w:ascii="Tahoma" w:hAnsi="Tahoma" w:cs="Tahoma"/>
                <w:b w:val="0"/>
                <w:sz w:val="14"/>
                <w:szCs w:val="14"/>
              </w:rPr>
              <w:t>CAL-Suite für Windows Essential Business Server 2008 (50 Clients)</w:t>
            </w:r>
            <w:bookmarkEnd w:id="488"/>
            <w:bookmarkEnd w:id="489"/>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sz w:val="13"/>
              </w:rPr>
            </w:pPr>
            <w:r w:rsidRPr="00C83DF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287"/>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rPr>
            </w:pPr>
            <w:bookmarkStart w:id="490" w:name="_Toc336338124"/>
            <w:bookmarkStart w:id="491" w:name="_Toc370983237"/>
            <w:r w:rsidRPr="00C83DF5">
              <w:rPr>
                <w:rFonts w:ascii="Tahoma" w:hAnsi="Tahoma" w:cs="Tahoma"/>
                <w:b w:val="0"/>
                <w:sz w:val="14"/>
                <w:szCs w:val="14"/>
              </w:rPr>
              <w:t>Windows Essential Business Server 2008 Premium</w:t>
            </w:r>
            <w:bookmarkEnd w:id="490"/>
            <w:bookmarkEnd w:id="491"/>
            <w:r w:rsidRPr="00C83DF5">
              <w:rPr>
                <w:rFonts w:ascii="Tahoma" w:hAnsi="Tahoma" w:cs="Tahoma"/>
                <w:b w:val="0"/>
                <w:sz w:val="14"/>
                <w:szCs w:val="14"/>
              </w:rPr>
              <w:t xml:space="preserve"> </w:t>
            </w:r>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spacing w:before="100" w:beforeAutospacing="1"/>
              <w:rPr>
                <w:rStyle w:val="EndnoteReference"/>
                <w:rFonts w:cs="Tahoma"/>
                <w:b w:val="0"/>
                <w:color w:val="0000FF"/>
                <w:sz w:val="13"/>
                <w:szCs w:val="13"/>
                <w:u w:val="single"/>
              </w:rPr>
            </w:pPr>
            <w:hyperlink w:anchor="_100_Windows_EBS" w:history="1">
              <w:r w:rsidR="00ED091B" w:rsidRPr="00C83DF5">
                <w:rPr>
                  <w:rStyle w:val="Hyperlink"/>
                  <w:b/>
                  <w:sz w:val="13"/>
                  <w:szCs w:val="13"/>
                </w:rPr>
                <w:t>102</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287"/>
        </w:trPr>
        <w:tc>
          <w:tcPr>
            <w:tcW w:w="2546" w:type="dxa"/>
            <w:gridSpan w:val="2"/>
            <w:tcBorders>
              <w:bottom w:val="single" w:sz="4" w:space="0" w:color="auto"/>
            </w:tcBorders>
            <w:shd w:val="clear" w:color="auto" w:fill="FABF8F"/>
            <w:vAlign w:val="center"/>
          </w:tcPr>
          <w:p w:rsidR="00913A0A" w:rsidRPr="00C83DF5" w:rsidRDefault="00913A0A" w:rsidP="00DF50C5">
            <w:pPr>
              <w:pStyle w:val="Heading2"/>
              <w:keepNext/>
              <w:keepLines/>
              <w:spacing w:before="20" w:after="20"/>
              <w:ind w:left="0"/>
              <w:rPr>
                <w:rFonts w:ascii="Tahoma" w:hAnsi="Tahoma" w:cs="Tahoma"/>
                <w:b w:val="0"/>
                <w:sz w:val="14"/>
                <w:szCs w:val="14"/>
                <w:lang w:val="de-DE"/>
              </w:rPr>
            </w:pPr>
            <w:bookmarkStart w:id="492" w:name="_Toc336338125"/>
            <w:bookmarkStart w:id="493" w:name="_Toc370983238"/>
            <w:r w:rsidRPr="00C83DF5">
              <w:rPr>
                <w:rFonts w:ascii="Tahoma" w:hAnsi="Tahoma" w:cs="Tahoma"/>
                <w:b w:val="0"/>
                <w:sz w:val="14"/>
                <w:szCs w:val="14"/>
                <w:lang w:val="de-DE"/>
              </w:rPr>
              <w:t>CAL-Suite für Windows Essential Business Server 2008 für Premium-Nutzer oder -Geräte</w:t>
            </w:r>
            <w:bookmarkEnd w:id="492"/>
            <w:bookmarkEnd w:id="493"/>
            <w:r w:rsidRPr="00C83DF5">
              <w:rPr>
                <w:rFonts w:ascii="Tahoma" w:hAnsi="Tahoma" w:cs="Tahoma"/>
                <w:b w:val="0"/>
                <w:sz w:val="14"/>
                <w:szCs w:val="14"/>
                <w:lang w:val="de-DE"/>
              </w:rPr>
              <w:t xml:space="preserve"> </w:t>
            </w:r>
          </w:p>
        </w:tc>
        <w:tc>
          <w:tcPr>
            <w:tcW w:w="414" w:type="dxa"/>
            <w:tcBorders>
              <w:bottom w:val="single" w:sz="4" w:space="0" w:color="auto"/>
            </w:tcBorders>
            <w:shd w:val="clear" w:color="auto" w:fill="FABF8F"/>
            <w:vAlign w:val="center"/>
          </w:tcPr>
          <w:p w:rsidR="00913A0A" w:rsidRPr="00C83DF5" w:rsidRDefault="00913A0A" w:rsidP="00DF50C5">
            <w:pPr>
              <w:pStyle w:val="TableText"/>
              <w:keepNext/>
              <w:keepLines/>
              <w:widowControl w:val="0"/>
              <w:spacing w:before="100" w:beforeAutospacing="1"/>
              <w:rPr>
                <w:rStyle w:val="EndnoteReference"/>
                <w:rFonts w:ascii="Tahoma" w:hAnsi="Tahoma" w:cs="Tahoma"/>
                <w:sz w:val="13"/>
                <w:lang w:val="de-DE"/>
              </w:rPr>
            </w:pPr>
          </w:p>
        </w:tc>
        <w:tc>
          <w:tcPr>
            <w:tcW w:w="449" w:type="dxa"/>
            <w:tcBorders>
              <w:bottom w:val="single" w:sz="4" w:space="0" w:color="auto"/>
            </w:tcBorders>
            <w:shd w:val="clear" w:color="auto" w:fill="FABF8F"/>
            <w:vAlign w:val="center"/>
          </w:tcPr>
          <w:p w:rsidR="00913A0A" w:rsidRPr="00C83DF5" w:rsidRDefault="00913A0A" w:rsidP="00DF50C5">
            <w:pPr>
              <w:pStyle w:val="TableText"/>
              <w:keepNext/>
              <w:keepLines/>
              <w:widowControl w:val="0"/>
              <w:spacing w:before="80"/>
              <w:rPr>
                <w:rFonts w:ascii="Tahoma" w:hAnsi="Tahoma" w:cs="Tahoma"/>
                <w:sz w:val="13"/>
              </w:rPr>
            </w:pPr>
            <w:r w:rsidRPr="00C83DF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DF50C5">
            <w:pPr>
              <w:pStyle w:val="TableText"/>
              <w:keepNext/>
              <w:keepLines/>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DF50C5">
            <w:pPr>
              <w:pStyle w:val="TableText"/>
              <w:keepNext/>
              <w:keepLines/>
              <w:widowControl w:val="0"/>
              <w:rPr>
                <w:rFonts w:ascii="Tahoma" w:hAnsi="Tahoma" w:cs="Tahoma"/>
                <w:sz w:val="13"/>
              </w:rPr>
            </w:pPr>
          </w:p>
        </w:tc>
      </w:tr>
      <w:tr w:rsidR="00913A0A" w:rsidRPr="00C83DF5" w:rsidTr="004909D7">
        <w:trPr>
          <w:trHeight w:val="287"/>
        </w:trPr>
        <w:tc>
          <w:tcPr>
            <w:tcW w:w="2546" w:type="dxa"/>
            <w:gridSpan w:val="2"/>
            <w:tcBorders>
              <w:bottom w:val="single" w:sz="4" w:space="0" w:color="auto"/>
            </w:tcBorders>
            <w:shd w:val="clear" w:color="auto" w:fill="auto"/>
            <w:vAlign w:val="center"/>
          </w:tcPr>
          <w:p w:rsidR="00913A0A" w:rsidRPr="00B525B3" w:rsidRDefault="00913A0A" w:rsidP="001A63C6">
            <w:pPr>
              <w:pStyle w:val="Heading2"/>
              <w:spacing w:before="20" w:after="20"/>
              <w:ind w:left="0"/>
              <w:rPr>
                <w:rFonts w:ascii="Tahoma" w:hAnsi="Tahoma" w:cs="Tahoma"/>
                <w:b w:val="0"/>
                <w:sz w:val="14"/>
                <w:szCs w:val="14"/>
                <w:lang w:val="de-DE"/>
              </w:rPr>
            </w:pPr>
            <w:bookmarkStart w:id="494" w:name="_Toc336338126"/>
            <w:bookmarkStart w:id="495" w:name="_Toc370983239"/>
            <w:r w:rsidRPr="00B525B3">
              <w:rPr>
                <w:rFonts w:ascii="Tahoma" w:hAnsi="Tahoma" w:cs="Tahoma"/>
                <w:b w:val="0"/>
                <w:sz w:val="14"/>
                <w:szCs w:val="14"/>
                <w:lang w:val="de-DE"/>
              </w:rPr>
              <w:t>Windows Essential Business Server 2008 CAL Suite für Premium-Nutzer oder -Geräte (5 Clients)</w:t>
            </w:r>
            <w:bookmarkEnd w:id="494"/>
            <w:bookmarkEnd w:id="495"/>
          </w:p>
        </w:tc>
        <w:tc>
          <w:tcPr>
            <w:tcW w:w="414" w:type="dxa"/>
            <w:tcBorders>
              <w:bottom w:val="single" w:sz="4" w:space="0" w:color="auto"/>
            </w:tcBorders>
            <w:shd w:val="clear" w:color="auto" w:fill="auto"/>
            <w:vAlign w:val="center"/>
          </w:tcPr>
          <w:p w:rsidR="00913A0A" w:rsidRPr="00B525B3" w:rsidRDefault="00913A0A" w:rsidP="001A63C6">
            <w:pPr>
              <w:pStyle w:val="TableText"/>
              <w:widowControl w:val="0"/>
              <w:spacing w:before="100" w:beforeAutospacing="1"/>
              <w:rPr>
                <w:rStyle w:val="EndnoteReference"/>
                <w:rFonts w:ascii="Tahoma" w:hAnsi="Tahoma" w:cs="Tahoma"/>
                <w:sz w:val="13"/>
                <w:lang w:val="de-DE"/>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200"/>
              <w:rPr>
                <w:rFonts w:ascii="Tahoma" w:hAnsi="Tahoma" w:cs="Tahoma"/>
                <w:sz w:val="13"/>
              </w:rPr>
            </w:pPr>
            <w:r w:rsidRPr="00C83DF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287"/>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lang w:val="de-DE"/>
              </w:rPr>
            </w:pPr>
            <w:bookmarkStart w:id="496" w:name="_Toc336338127"/>
            <w:bookmarkStart w:id="497" w:name="_Toc370983240"/>
            <w:r w:rsidRPr="00C83DF5">
              <w:rPr>
                <w:rFonts w:ascii="Tahoma" w:hAnsi="Tahoma" w:cs="Tahoma"/>
                <w:b w:val="0"/>
                <w:sz w:val="14"/>
                <w:szCs w:val="14"/>
                <w:lang w:val="de-DE"/>
              </w:rPr>
              <w:lastRenderedPageBreak/>
              <w:t>CAL-Suite für Windows Essential Business Server 2008 für Premium-Nutzer oder -Geräte (20 Clients)</w:t>
            </w:r>
            <w:bookmarkEnd w:id="496"/>
            <w:bookmarkEnd w:id="497"/>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spacing w:before="100" w:beforeAutospacing="1"/>
              <w:rPr>
                <w:rStyle w:val="EndnoteReference"/>
                <w:rFonts w:ascii="Tahoma" w:hAnsi="Tahoma" w:cs="Tahoma"/>
                <w:sz w:val="13"/>
                <w:lang w:val="de-DE"/>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160"/>
              <w:rPr>
                <w:rFonts w:ascii="Tahoma" w:hAnsi="Tahoma" w:cs="Tahoma"/>
                <w:sz w:val="13"/>
              </w:rPr>
            </w:pPr>
            <w:r w:rsidRPr="00C83DF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r>
      <w:tr w:rsidR="00913A0A" w:rsidRPr="00C83DF5" w:rsidTr="004909D7">
        <w:trPr>
          <w:trHeight w:val="287"/>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lang w:val="de-DE"/>
              </w:rPr>
            </w:pPr>
            <w:bookmarkStart w:id="498" w:name="_Toc336338128"/>
            <w:bookmarkStart w:id="499" w:name="_Toc370983241"/>
            <w:r w:rsidRPr="00C83DF5">
              <w:rPr>
                <w:rFonts w:ascii="Tahoma" w:hAnsi="Tahoma" w:cs="Tahoma"/>
                <w:b w:val="0"/>
                <w:sz w:val="14"/>
                <w:szCs w:val="14"/>
                <w:lang w:val="de-DE"/>
              </w:rPr>
              <w:t>CAL-Suite für Windows Essential Business Server 2008 für Premium-Nutzer oder -Geräte (50 Clients)</w:t>
            </w:r>
            <w:bookmarkEnd w:id="498"/>
            <w:bookmarkEnd w:id="499"/>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spacing w:before="100" w:beforeAutospacing="1"/>
              <w:rPr>
                <w:rStyle w:val="EndnoteReference"/>
                <w:rFonts w:cs="Tahoma"/>
                <w:color w:val="0000FF"/>
                <w:sz w:val="13"/>
                <w:lang w:val="de-DE"/>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180"/>
              <w:rPr>
                <w:rFonts w:ascii="Tahoma" w:hAnsi="Tahoma" w:cs="Tahoma"/>
                <w:sz w:val="13"/>
              </w:rPr>
            </w:pPr>
            <w:r w:rsidRPr="00C83DF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OL</w:t>
            </w:r>
          </w:p>
        </w:tc>
        <w:tc>
          <w:tcPr>
            <w:tcW w:w="484" w:type="dxa"/>
            <w:tcBorders>
              <w:bottom w:val="single" w:sz="4" w:space="0" w:color="auto"/>
            </w:tcBorders>
          </w:tcPr>
          <w:p w:rsidR="00913A0A" w:rsidRPr="00C83DF5" w:rsidRDefault="00913A0A" w:rsidP="001A63C6">
            <w:pPr>
              <w:pStyle w:val="TableText"/>
              <w:widowControl w:val="0"/>
              <w:rPr>
                <w:rFonts w:ascii="Tahoma" w:hAnsi="Tahoma" w:cs="Tahoma"/>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44693F">
            <w:pPr>
              <w:pStyle w:val="Heading2"/>
              <w:keepNext/>
              <w:spacing w:before="20" w:after="20"/>
              <w:ind w:left="0"/>
              <w:rPr>
                <w:rFonts w:ascii="Tahoma" w:hAnsi="Tahoma" w:cs="Tahoma"/>
                <w:b w:val="0"/>
                <w:sz w:val="14"/>
                <w:szCs w:val="14"/>
              </w:rPr>
            </w:pPr>
            <w:bookmarkStart w:id="500" w:name="_Toc336338129"/>
            <w:bookmarkStart w:id="501" w:name="_Toc370983242"/>
            <w:r w:rsidRPr="00C83DF5">
              <w:rPr>
                <w:rFonts w:ascii="Tahoma" w:hAnsi="Tahoma" w:cs="Tahoma"/>
                <w:b w:val="0"/>
                <w:sz w:val="14"/>
                <w:szCs w:val="14"/>
              </w:rPr>
              <w:t>Windows HPC Server 2008 R2 Suite</w:t>
            </w:r>
            <w:bookmarkEnd w:id="500"/>
            <w:bookmarkEnd w:id="501"/>
            <w:r w:rsidRPr="00C83DF5">
              <w:rPr>
                <w:rFonts w:ascii="Tahoma" w:hAnsi="Tahoma" w:cs="Tahoma"/>
                <w:b w:val="0"/>
                <w:sz w:val="14"/>
                <w:szCs w:val="14"/>
              </w:rPr>
              <w:t xml:space="preserve"> </w:t>
            </w:r>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rPr>
                <w:b/>
                <w:sz w:val="13"/>
                <w:szCs w:val="13"/>
                <w:u w:val="single"/>
              </w:rPr>
            </w:pPr>
            <w:hyperlink w:anchor="_104_Windows_HPC" w:history="1">
              <w:r w:rsidR="00CF5A3E" w:rsidRPr="00C83DF5">
                <w:rPr>
                  <w:rStyle w:val="Hyperlink"/>
                  <w:b/>
                  <w:sz w:val="13"/>
                  <w:szCs w:val="13"/>
                </w:rPr>
                <w:t>103</w:t>
              </w:r>
            </w:hyperlink>
          </w:p>
        </w:tc>
        <w:tc>
          <w:tcPr>
            <w:tcW w:w="449" w:type="dxa"/>
            <w:tcBorders>
              <w:bottom w:val="single" w:sz="4" w:space="0" w:color="auto"/>
            </w:tcBorders>
            <w:shd w:val="clear" w:color="auto" w:fill="FABF8F"/>
            <w:vAlign w:val="center"/>
          </w:tcPr>
          <w:p w:rsidR="00913A0A" w:rsidRPr="00C83DF5" w:rsidRDefault="00913A0A" w:rsidP="007E466C">
            <w:pPr>
              <w:pStyle w:val="TableText"/>
              <w:widowControl w:val="0"/>
              <w:rPr>
                <w:rFonts w:ascii="Tahoma" w:hAnsi="Tahoma" w:cs="Tahoma"/>
                <w:color w:val="000000"/>
                <w:sz w:val="13"/>
              </w:rPr>
            </w:pPr>
            <w:r w:rsidRPr="00C83DF5">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DF50C5">
            <w:pPr>
              <w:pStyle w:val="Heading2"/>
              <w:spacing w:before="20" w:after="20"/>
              <w:ind w:left="0"/>
              <w:rPr>
                <w:rFonts w:ascii="Tahoma" w:hAnsi="Tahoma" w:cs="Tahoma"/>
                <w:b w:val="0"/>
                <w:sz w:val="14"/>
                <w:szCs w:val="14"/>
              </w:rPr>
            </w:pPr>
            <w:bookmarkStart w:id="502" w:name="_Toc370983243"/>
            <w:r w:rsidRPr="00C83DF5">
              <w:rPr>
                <w:rFonts w:ascii="Tahoma" w:hAnsi="Tahoma" w:cs="Tahoma"/>
                <w:b w:val="0"/>
                <w:sz w:val="14"/>
              </w:rPr>
              <w:t>Windows Intune Add-on für System Center Configuration Manager und System Center Endpoint Protection</w:t>
            </w:r>
            <w:r w:rsidR="00DF50C5">
              <w:rPr>
                <w:rFonts w:ascii="Tahoma" w:hAnsi="Tahoma" w:cs="Tahoma"/>
                <w:b w:val="0"/>
                <w:sz w:val="14"/>
              </w:rPr>
              <w:br/>
            </w:r>
            <w:r w:rsidRPr="00C83DF5">
              <w:rPr>
                <w:rFonts w:ascii="Tahoma" w:hAnsi="Tahoma" w:cs="Tahoma"/>
                <w:b w:val="0"/>
                <w:sz w:val="14"/>
              </w:rPr>
              <w:t>(pro Nutzer)</w:t>
            </w:r>
            <w:bookmarkEnd w:id="502"/>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b/>
                <w:sz w:val="13"/>
                <w:szCs w:val="13"/>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color w:val="000000"/>
                <w:sz w:val="13"/>
              </w:rPr>
            </w:pPr>
            <w:r w:rsidRPr="00C83DF5">
              <w:rPr>
                <w:rFonts w:ascii="Tahoma" w:hAnsi="Tahoma" w:cs="Tahoma"/>
                <w:color w:val="000000"/>
                <w:sz w:val="13"/>
              </w:rPr>
              <w:t>A</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503" w:name="_Toc370983244"/>
            <w:r w:rsidRPr="00C83DF5">
              <w:rPr>
                <w:rFonts w:ascii="Tahoma" w:hAnsi="Tahoma" w:cs="Tahoma"/>
                <w:b w:val="0"/>
                <w:sz w:val="14"/>
                <w:szCs w:val="14"/>
              </w:rPr>
              <w:t>Windows Intune (pro Nutzer)</w:t>
            </w:r>
            <w:bookmarkEnd w:id="503"/>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b/>
                <w:sz w:val="13"/>
                <w:szCs w:val="13"/>
              </w:rPr>
            </w:pPr>
          </w:p>
        </w:tc>
        <w:tc>
          <w:tcPr>
            <w:tcW w:w="449" w:type="dxa"/>
            <w:tcBorders>
              <w:bottom w:val="single" w:sz="4" w:space="0" w:color="auto"/>
            </w:tcBorders>
            <w:shd w:val="clear" w:color="auto" w:fill="FABF8F"/>
            <w:vAlign w:val="center"/>
          </w:tcPr>
          <w:p w:rsidR="00913A0A" w:rsidRPr="00C83DF5" w:rsidRDefault="00913A0A" w:rsidP="007E466C">
            <w:pPr>
              <w:pStyle w:val="TableText"/>
              <w:widowControl w:val="0"/>
              <w:rPr>
                <w:rFonts w:ascii="Tahoma" w:hAnsi="Tahoma" w:cs="Tahoma"/>
                <w:color w:val="000000"/>
                <w:sz w:val="13"/>
              </w:rPr>
            </w:pPr>
            <w:r w:rsidRPr="00C83DF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lang w:val="de-DE"/>
              </w:rPr>
            </w:pPr>
            <w:bookmarkStart w:id="504" w:name="_Toc336338132"/>
            <w:bookmarkStart w:id="505" w:name="_Toc341193035"/>
            <w:bookmarkStart w:id="506" w:name="_Toc370983245"/>
            <w:r w:rsidRPr="00D942DF">
              <w:rPr>
                <w:rFonts w:ascii="Tahoma" w:hAnsi="Tahoma" w:cs="Tahoma"/>
                <w:b w:val="0"/>
                <w:sz w:val="14"/>
                <w:szCs w:val="14"/>
                <w:lang w:val="de-DE"/>
              </w:rPr>
              <w:t xml:space="preserve">Nutzer-AL für Add-On für Windows </w:t>
            </w:r>
            <w:r w:rsidRPr="00C83DF5">
              <w:rPr>
                <w:rFonts w:ascii="Tahoma" w:hAnsi="Tahoma" w:cs="Tahoma"/>
                <w:b w:val="0"/>
                <w:sz w:val="14"/>
                <w:szCs w:val="14"/>
                <w:lang w:val="de-DE"/>
              </w:rPr>
              <w:t>Intune Extra Storage 1 GB</w:t>
            </w:r>
            <w:bookmarkEnd w:id="504"/>
            <w:bookmarkEnd w:id="505"/>
            <w:bookmarkEnd w:id="506"/>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b/>
                <w:sz w:val="13"/>
                <w:szCs w:val="13"/>
                <w:lang w:val="de-DE"/>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507" w:name="_Toc336338133"/>
            <w:bookmarkStart w:id="508" w:name="_Toc370983246"/>
            <w:r w:rsidRPr="00C83DF5">
              <w:rPr>
                <w:rFonts w:ascii="Tahoma" w:hAnsi="Tahoma" w:cs="Tahoma"/>
                <w:b w:val="0"/>
                <w:sz w:val="14"/>
                <w:szCs w:val="14"/>
              </w:rPr>
              <w:t>Windows MultiPoint Server 2012 Standard</w:t>
            </w:r>
            <w:bookmarkEnd w:id="507"/>
            <w:bookmarkEnd w:id="508"/>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rPr>
                <w:b/>
                <w:sz w:val="13"/>
                <w:szCs w:val="13"/>
                <w:u w:val="single"/>
              </w:rPr>
            </w:pPr>
            <w:hyperlink w:anchor="_105_Windows_Multipoint" w:history="1">
              <w:r w:rsidR="00CF5A3E" w:rsidRPr="00C83DF5">
                <w:rPr>
                  <w:rStyle w:val="Hyperlink"/>
                  <w:b/>
                  <w:sz w:val="13"/>
                  <w:szCs w:val="13"/>
                </w:rPr>
                <w:t>104</w:t>
              </w:r>
            </w:hyperlink>
            <w:hyperlink w:anchor="_98_Windows_Multipoint" w:history="1"/>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8</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8</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rPr>
            </w:pPr>
            <w:bookmarkStart w:id="509" w:name="_Toc336338134"/>
            <w:bookmarkStart w:id="510" w:name="_Toc370983247"/>
            <w:r w:rsidRPr="00C83DF5">
              <w:rPr>
                <w:rFonts w:ascii="Tahoma" w:hAnsi="Tahoma" w:cs="Tahoma"/>
                <w:b w:val="0"/>
                <w:sz w:val="14"/>
                <w:szCs w:val="14"/>
              </w:rPr>
              <w:t>Windows MultiPoint Server 2012 Premium</w:t>
            </w:r>
            <w:bookmarkEnd w:id="509"/>
            <w:bookmarkEnd w:id="510"/>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rPr>
                <w:b/>
                <w:sz w:val="13"/>
                <w:szCs w:val="13"/>
                <w:u w:val="single"/>
              </w:rPr>
            </w:pPr>
            <w:hyperlink w:anchor="_106_Windows_Multipoint" w:history="1">
              <w:hyperlink w:anchor="Srv_107WinMultipointSvr2011Premium" w:history="1">
                <w:r w:rsidR="00CF5A3E" w:rsidRPr="00F14E3B">
                  <w:rPr>
                    <w:rStyle w:val="Hyperlink"/>
                    <w:b/>
                    <w:sz w:val="13"/>
                    <w:szCs w:val="13"/>
                  </w:rPr>
                  <w:t>10</w:t>
                </w:r>
              </w:hyperlink>
              <w:r w:rsidR="00CF5A3E" w:rsidRPr="00F14E3B">
                <w:rPr>
                  <w:rStyle w:val="Hyperlink"/>
                  <w:b/>
                  <w:sz w:val="13"/>
                  <w:szCs w:val="13"/>
                </w:rPr>
                <w:t>5</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DF50C5">
            <w:pPr>
              <w:pStyle w:val="Heading2"/>
              <w:spacing w:before="20" w:after="20"/>
              <w:ind w:left="0"/>
              <w:rPr>
                <w:rFonts w:ascii="Tahoma" w:hAnsi="Tahoma" w:cs="Tahoma"/>
                <w:b w:val="0"/>
                <w:sz w:val="14"/>
                <w:szCs w:val="14"/>
              </w:rPr>
            </w:pPr>
            <w:bookmarkStart w:id="511" w:name="_Toc336338135"/>
            <w:bookmarkStart w:id="512" w:name="_Toc370983248"/>
            <w:r w:rsidRPr="00C83DF5">
              <w:rPr>
                <w:rFonts w:ascii="Tahoma" w:hAnsi="Tahoma" w:cs="Tahoma"/>
                <w:b w:val="0"/>
                <w:sz w:val="14"/>
                <w:szCs w:val="14"/>
              </w:rPr>
              <w:t>CAL für Windows MultiPoint Server</w:t>
            </w:r>
            <w:r w:rsidR="00DF50C5">
              <w:rPr>
                <w:rFonts w:ascii="Tahoma" w:hAnsi="Tahoma" w:cs="Tahoma"/>
                <w:b w:val="0"/>
                <w:sz w:val="14"/>
                <w:szCs w:val="14"/>
              </w:rPr>
              <w:t> </w:t>
            </w:r>
            <w:r w:rsidRPr="00C83DF5">
              <w:rPr>
                <w:rFonts w:ascii="Tahoma" w:hAnsi="Tahoma" w:cs="Tahoma"/>
                <w:b w:val="0"/>
                <w:sz w:val="14"/>
                <w:szCs w:val="14"/>
              </w:rPr>
              <w:t>2012</w:t>
            </w:r>
            <w:bookmarkEnd w:id="511"/>
            <w:bookmarkEnd w:id="512"/>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rPr>
                <w:b/>
                <w:sz w:val="13"/>
                <w:szCs w:val="13"/>
                <w:u w:val="single"/>
              </w:rPr>
            </w:pPr>
            <w:hyperlink w:anchor="_106_CAL_für" w:history="1">
              <w:r w:rsidR="00CF5A3E" w:rsidRPr="00C83DF5">
                <w:rPr>
                  <w:rStyle w:val="Hyperlink"/>
                  <w:b/>
                  <w:sz w:val="13"/>
                  <w:szCs w:val="13"/>
                </w:rPr>
                <w:t>106</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lang w:val="de-DE"/>
              </w:rPr>
            </w:pPr>
            <w:bookmarkStart w:id="513" w:name="_Toc336338136"/>
            <w:bookmarkStart w:id="514" w:name="_Toc370983249"/>
            <w:r w:rsidRPr="00C83DF5">
              <w:rPr>
                <w:rFonts w:ascii="Tahoma" w:hAnsi="Tahoma" w:cs="Tahoma"/>
                <w:b w:val="0"/>
                <w:sz w:val="14"/>
                <w:szCs w:val="14"/>
                <w:lang w:val="de-DE"/>
              </w:rPr>
              <w:t>CAL für Windows MultiPoint Server 2012 mit CAL für Windows Server 2012</w:t>
            </w:r>
            <w:bookmarkEnd w:id="513"/>
            <w:bookmarkEnd w:id="514"/>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b/>
                <w:sz w:val="13"/>
                <w:szCs w:val="13"/>
                <w:lang w:val="de-DE"/>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515" w:name="_Toc336338137"/>
            <w:bookmarkStart w:id="516" w:name="_Toc370983250"/>
            <w:r w:rsidRPr="00C83DF5">
              <w:rPr>
                <w:rFonts w:ascii="Tahoma" w:hAnsi="Tahoma" w:cs="Tahoma"/>
                <w:b w:val="0"/>
                <w:sz w:val="14"/>
                <w:szCs w:val="14"/>
              </w:rPr>
              <w:t xml:space="preserve">Windows MultiPoint Server 2012 Premium mit Windows MultiPoint </w:t>
            </w:r>
            <w:r w:rsidR="00DF50C5">
              <w:rPr>
                <w:rFonts w:ascii="Tahoma" w:hAnsi="Tahoma" w:cs="Tahoma"/>
                <w:b w:val="0"/>
                <w:sz w:val="14"/>
                <w:szCs w:val="14"/>
              </w:rPr>
              <w:br/>
            </w:r>
            <w:r w:rsidRPr="00C83DF5">
              <w:rPr>
                <w:rFonts w:ascii="Tahoma" w:hAnsi="Tahoma" w:cs="Tahoma"/>
                <w:b w:val="0"/>
                <w:sz w:val="14"/>
                <w:szCs w:val="14"/>
              </w:rPr>
              <w:t>Server 2012 (CAL) (5 Clients)</w:t>
            </w:r>
            <w:bookmarkEnd w:id="515"/>
            <w:bookmarkEnd w:id="516"/>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b/>
                <w:sz w:val="13"/>
                <w:szCs w:val="13"/>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63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OL/OV</w:t>
            </w: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rPr>
            </w:pPr>
            <w:bookmarkStart w:id="517" w:name="_Toc336338138"/>
            <w:bookmarkStart w:id="518" w:name="_Toc370983251"/>
            <w:r w:rsidRPr="00C83DF5">
              <w:rPr>
                <w:rFonts w:ascii="Tahoma" w:hAnsi="Tahoma" w:cs="Tahoma"/>
                <w:b w:val="0"/>
                <w:sz w:val="14"/>
                <w:szCs w:val="14"/>
              </w:rPr>
              <w:t>Windows MultiPoint Server 2012 Premium mit Windows MultiPoint Server 2012 (CAL) (5 Clients) mit CAL für Windows Server 2012 (5 Clients)</w:t>
            </w:r>
            <w:bookmarkEnd w:id="517"/>
            <w:bookmarkEnd w:id="518"/>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b/>
                <w:sz w:val="13"/>
                <w:szCs w:val="13"/>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63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OL/OV</w:t>
            </w: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519" w:name="_Toc370983252"/>
            <w:r w:rsidRPr="00C83DF5">
              <w:rPr>
                <w:rFonts w:ascii="Tahoma" w:hAnsi="Tahoma" w:cs="Tahoma"/>
                <w:b w:val="0"/>
                <w:sz w:val="14"/>
                <w:szCs w:val="14"/>
              </w:rPr>
              <w:t>Windows Server™ 2008 R2 HPC Edition</w:t>
            </w:r>
            <w:bookmarkEnd w:id="519"/>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pPr>
            <w:hyperlink w:anchor="_108_Windows_Server" w:history="1">
              <w:hyperlink w:anchor="Srv_110WinSvr08R2HPC" w:history="1">
                <w:r w:rsidR="00CF5A3E" w:rsidRPr="00F14E3B">
                  <w:rPr>
                    <w:rStyle w:val="Hyperlink"/>
                    <w:b/>
                    <w:sz w:val="13"/>
                    <w:szCs w:val="13"/>
                  </w:rPr>
                  <w:t>10</w:t>
                </w:r>
              </w:hyperlink>
              <w:r w:rsidR="00CF5A3E" w:rsidRPr="00F14E3B">
                <w:rPr>
                  <w:rStyle w:val="Hyperlink"/>
                  <w:b/>
                  <w:sz w:val="13"/>
                  <w:szCs w:val="13"/>
                </w:rPr>
                <w:t>7</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80"/>
              <w:rPr>
                <w:rFonts w:ascii="Tahoma" w:hAnsi="Tahoma" w:cs="Tahoma"/>
                <w:color w:val="000000"/>
                <w:sz w:val="13"/>
              </w:rPr>
            </w:pPr>
            <w:r w:rsidRPr="00C83DF5">
              <w:rPr>
                <w:sz w:val="13"/>
              </w:rPr>
              <w:t>09/10</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rPr>
            </w:pPr>
            <w:bookmarkStart w:id="520" w:name="_Toc336338140"/>
            <w:bookmarkStart w:id="521" w:name="_Toc370983253"/>
            <w:r w:rsidRPr="00C83DF5">
              <w:rPr>
                <w:rFonts w:ascii="Tahoma" w:hAnsi="Tahoma" w:cs="Tahoma"/>
                <w:b w:val="0"/>
                <w:sz w:val="14"/>
                <w:szCs w:val="14"/>
              </w:rPr>
              <w:t>Windows Server™ 2008 R2 Enterprise</w:t>
            </w:r>
            <w:bookmarkEnd w:id="520"/>
            <w:bookmarkEnd w:id="521"/>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rPr>
                <w:rStyle w:val="EndnoteReference"/>
                <w:rFonts w:cs="Tahoma"/>
                <w:b w:val="0"/>
                <w:color w:val="0000FF"/>
                <w:sz w:val="13"/>
                <w:szCs w:val="13"/>
                <w:u w:val="single"/>
              </w:rPr>
            </w:pPr>
            <w:hyperlink w:anchor="_109_Windows_Server" w:history="1">
              <w:r w:rsidR="00CF5A3E" w:rsidRPr="00C83DF5">
                <w:rPr>
                  <w:rStyle w:val="Hyperlink"/>
                  <w:b/>
                  <w:sz w:val="13"/>
                  <w:szCs w:val="13"/>
                </w:rPr>
                <w:t>108</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80"/>
              <w:rPr>
                <w:rFonts w:ascii="Tahoma" w:hAnsi="Tahoma" w:cs="Tahoma"/>
                <w:color w:val="000000"/>
                <w:sz w:val="13"/>
              </w:rPr>
            </w:pPr>
            <w:r w:rsidRPr="00C83DF5">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lang w:val="de-DE"/>
              </w:rPr>
            </w:pPr>
            <w:bookmarkStart w:id="522" w:name="_Toc336338141"/>
            <w:bookmarkStart w:id="523" w:name="_Toc370983254"/>
            <w:r w:rsidRPr="00C83DF5">
              <w:rPr>
                <w:rFonts w:ascii="Tahoma" w:hAnsi="Tahoma" w:cs="Tahoma"/>
                <w:b w:val="0"/>
                <w:sz w:val="14"/>
                <w:szCs w:val="14"/>
                <w:lang w:val="de-DE"/>
              </w:rPr>
              <w:t>Windows Server™ 2008 R2 für Itanium-basierte Systeme</w:t>
            </w:r>
            <w:bookmarkEnd w:id="522"/>
            <w:bookmarkEnd w:id="523"/>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rPr>
                <w:rStyle w:val="EndnoteReference"/>
                <w:b w:val="0"/>
                <w:sz w:val="13"/>
                <w:szCs w:val="13"/>
                <w:u w:val="single"/>
              </w:rPr>
            </w:pPr>
            <w:hyperlink w:anchor="_110_Windows_Server_1" w:history="1">
              <w:r w:rsidR="00CF5A3E" w:rsidRPr="00C83DF5">
                <w:rPr>
                  <w:rStyle w:val="Hyperlink"/>
                  <w:b/>
                  <w:sz w:val="13"/>
                  <w:szCs w:val="13"/>
                </w:rPr>
                <w:t>109</w:t>
              </w:r>
            </w:hyperlink>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color w:val="000000"/>
                <w:sz w:val="13"/>
              </w:rPr>
            </w:pP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5E7FA5" w:rsidRDefault="00913A0A" w:rsidP="001A63C6">
            <w:pPr>
              <w:pStyle w:val="Heading2"/>
              <w:spacing w:before="20" w:after="20"/>
              <w:ind w:left="0"/>
              <w:rPr>
                <w:rFonts w:ascii="Tahoma" w:hAnsi="Tahoma" w:cs="Tahoma"/>
                <w:b w:val="0"/>
                <w:sz w:val="14"/>
                <w:szCs w:val="14"/>
                <w:lang w:val="de-DE"/>
              </w:rPr>
            </w:pPr>
            <w:bookmarkStart w:id="524" w:name="_Toc336338142"/>
            <w:bookmarkStart w:id="525" w:name="_Toc370983255"/>
            <w:r w:rsidRPr="005E7FA5">
              <w:rPr>
                <w:rFonts w:ascii="Tahoma" w:hAnsi="Tahoma" w:cs="Tahoma"/>
                <w:b w:val="0"/>
                <w:sz w:val="14"/>
                <w:szCs w:val="14"/>
                <w:lang w:val="de-DE"/>
              </w:rPr>
              <w:t xml:space="preserve">CAL für Windows Server™ 2012 </w:t>
            </w:r>
            <w:r w:rsidR="00F14E3B" w:rsidRPr="005E7FA5">
              <w:rPr>
                <w:rFonts w:ascii="Tahoma" w:hAnsi="Tahoma" w:cs="Tahoma"/>
                <w:b w:val="0"/>
                <w:sz w:val="14"/>
                <w:szCs w:val="14"/>
                <w:lang w:val="de-DE"/>
              </w:rPr>
              <w:br/>
            </w:r>
            <w:r w:rsidRPr="005E7FA5">
              <w:rPr>
                <w:rFonts w:ascii="Tahoma" w:hAnsi="Tahoma" w:cs="Tahoma"/>
                <w:b w:val="0"/>
                <w:sz w:val="14"/>
                <w:szCs w:val="14"/>
                <w:lang w:val="de-DE"/>
              </w:rPr>
              <w:t>(Gerät &amp; Nutzer)</w:t>
            </w:r>
            <w:bookmarkEnd w:id="524"/>
            <w:bookmarkEnd w:id="525"/>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rPr>
                <w:b/>
                <w:sz w:val="13"/>
                <w:szCs w:val="13"/>
                <w:u w:val="single"/>
              </w:rPr>
            </w:pPr>
            <w:hyperlink w:anchor="_116_Windows_Server" w:history="1">
              <w:r w:rsidR="00CF5A3E" w:rsidRPr="00C83DF5">
                <w:rPr>
                  <w:rStyle w:val="Hyperlink"/>
                  <w:b/>
                  <w:sz w:val="13"/>
                  <w:szCs w:val="13"/>
                </w:rPr>
                <w:t>110</w:t>
              </w:r>
            </w:hyperlink>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120"/>
              <w:rPr>
                <w:rFonts w:ascii="Tahoma" w:hAnsi="Tahoma" w:cs="Tahoma"/>
                <w:color w:val="000000"/>
                <w:sz w:val="13"/>
              </w:rPr>
            </w:pPr>
            <w:r w:rsidRPr="00C83DF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1A63C6">
            <w:pPr>
              <w:pStyle w:val="TableText"/>
              <w:widowControl w:val="0"/>
              <w:rPr>
                <w:rFonts w:ascii="Tahoma" w:hAnsi="Tahoma" w:cs="Tahoma"/>
                <w:color w:val="000000"/>
                <w:sz w:val="13"/>
              </w:rPr>
            </w:pP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526" w:name="_Toc336338143"/>
            <w:bookmarkStart w:id="527" w:name="_Toc370983256"/>
            <w:r w:rsidRPr="00C83DF5">
              <w:rPr>
                <w:rFonts w:ascii="Tahoma" w:hAnsi="Tahoma" w:cs="Tahoma"/>
                <w:b w:val="0"/>
                <w:sz w:val="14"/>
                <w:szCs w:val="14"/>
              </w:rPr>
              <w:t>Windows Server™ 2012 R2 Datacenter</w:t>
            </w:r>
            <w:bookmarkEnd w:id="526"/>
            <w:bookmarkEnd w:id="527"/>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rPr>
                <w:rStyle w:val="EndnoteReference"/>
                <w:b w:val="0"/>
                <w:color w:val="0070C0"/>
                <w:sz w:val="13"/>
                <w:szCs w:val="13"/>
                <w:u w:val="single"/>
              </w:rPr>
            </w:pPr>
            <w:hyperlink w:anchor="_114_Windows_Server" w:history="1">
              <w:r w:rsidR="00CF5A3E" w:rsidRPr="00C83DF5">
                <w:rPr>
                  <w:rStyle w:val="Hyperlink"/>
                  <w:b/>
                  <w:sz w:val="13"/>
                  <w:szCs w:val="13"/>
                </w:rPr>
                <w:t>111</w:t>
              </w:r>
            </w:hyperlink>
          </w:p>
        </w:tc>
        <w:tc>
          <w:tcPr>
            <w:tcW w:w="449" w:type="dxa"/>
            <w:tcBorders>
              <w:bottom w:val="single" w:sz="4" w:space="0" w:color="auto"/>
            </w:tcBorders>
            <w:shd w:val="clear" w:color="auto" w:fill="FABF8F"/>
            <w:vAlign w:val="center"/>
          </w:tcPr>
          <w:p w:rsidR="00913A0A" w:rsidRPr="00C83DF5" w:rsidRDefault="00913A0A" w:rsidP="00200E1A">
            <w:pPr>
              <w:pStyle w:val="TableText"/>
              <w:widowControl w:val="0"/>
              <w:spacing w:before="120"/>
              <w:rPr>
                <w:rFonts w:ascii="Tahoma" w:hAnsi="Tahoma" w:cs="Tahoma"/>
                <w:color w:val="000000"/>
                <w:sz w:val="13"/>
              </w:rPr>
            </w:pPr>
            <w:r w:rsidRPr="00C83DF5">
              <w:rPr>
                <w:rFonts w:ascii="Tahoma" w:hAnsi="Tahoma" w:cs="Tahoma"/>
                <w:color w:val="000000"/>
                <w:sz w:val="13"/>
              </w:rPr>
              <w:t>11/13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OL/OV</w:t>
            </w: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color w:val="000000"/>
                <w:sz w:val="13"/>
              </w:rPr>
            </w:pPr>
            <w:r w:rsidRPr="00C83DF5">
              <w:rPr>
                <w:rFonts w:ascii="Tahoma" w:hAnsi="Tahoma" w:cs="Tahoma"/>
                <w:color w:val="000000"/>
                <w:sz w:val="13"/>
              </w:rPr>
              <w:t>C</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rPr>
            </w:pPr>
            <w:bookmarkStart w:id="528" w:name="_Toc336338144"/>
            <w:bookmarkStart w:id="529" w:name="_Toc370983257"/>
            <w:r w:rsidRPr="00C83DF5">
              <w:rPr>
                <w:rFonts w:ascii="Tahoma" w:hAnsi="Tahoma" w:cs="Tahoma"/>
                <w:b w:val="0"/>
                <w:sz w:val="14"/>
                <w:szCs w:val="14"/>
              </w:rPr>
              <w:t>Windows Server™ 2012 R2 Standard</w:t>
            </w:r>
            <w:bookmarkEnd w:id="528"/>
            <w:bookmarkEnd w:id="529"/>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rPr>
                <w:rStyle w:val="EndnoteReference"/>
                <w:b w:val="0"/>
                <w:color w:val="0070C0"/>
                <w:sz w:val="13"/>
                <w:szCs w:val="13"/>
                <w:u w:val="single"/>
                <w:vertAlign w:val="baseline"/>
              </w:rPr>
            </w:pPr>
            <w:hyperlink w:anchor="_118_Windows_Server" w:history="1">
              <w:r w:rsidR="00CF5A3E" w:rsidRPr="00C83DF5">
                <w:rPr>
                  <w:rStyle w:val="Hyperlink"/>
                  <w:b/>
                  <w:sz w:val="13"/>
                  <w:szCs w:val="13"/>
                </w:rPr>
                <w:t>112</w:t>
              </w:r>
            </w:hyperlink>
          </w:p>
        </w:tc>
        <w:tc>
          <w:tcPr>
            <w:tcW w:w="449" w:type="dxa"/>
            <w:tcBorders>
              <w:bottom w:val="single" w:sz="4" w:space="0" w:color="auto"/>
            </w:tcBorders>
            <w:shd w:val="clear" w:color="auto" w:fill="auto"/>
            <w:vAlign w:val="center"/>
          </w:tcPr>
          <w:p w:rsidR="00913A0A" w:rsidRPr="00C83DF5" w:rsidRDefault="00913A0A" w:rsidP="00200E1A">
            <w:pPr>
              <w:pStyle w:val="TableText"/>
              <w:widowControl w:val="0"/>
              <w:spacing w:before="120"/>
              <w:rPr>
                <w:rFonts w:ascii="Tahoma" w:hAnsi="Tahoma" w:cs="Tahoma"/>
                <w:color w:val="000000"/>
                <w:sz w:val="13"/>
              </w:rPr>
            </w:pPr>
            <w:r w:rsidRPr="00C83DF5">
              <w:rPr>
                <w:rFonts w:ascii="Tahoma" w:hAnsi="Tahoma" w:cs="Tahoma"/>
                <w:color w:val="000000"/>
                <w:sz w:val="13"/>
              </w:rPr>
              <w:t>11/13</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30</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23</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color w:val="000000"/>
                <w:sz w:val="13"/>
              </w:rPr>
            </w:pPr>
            <w:r w:rsidRPr="00C83DF5">
              <w:rPr>
                <w:rFonts w:ascii="Tahoma" w:hAnsi="Tahoma" w:cs="Tahoma"/>
                <w:color w:val="000000"/>
                <w:sz w:val="13"/>
              </w:rPr>
              <w:t>C</w:t>
            </w:r>
          </w:p>
        </w:tc>
      </w:tr>
      <w:tr w:rsidR="008A0F85" w:rsidRPr="00C83DF5" w:rsidTr="004909D7">
        <w:trPr>
          <w:trHeight w:val="145"/>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530" w:name="_Toc336338145"/>
            <w:bookmarkStart w:id="531" w:name="_Toc370983258"/>
            <w:r w:rsidRPr="00C83DF5">
              <w:rPr>
                <w:rFonts w:ascii="Tahoma" w:hAnsi="Tahoma" w:cs="Tahoma"/>
                <w:b w:val="0"/>
                <w:sz w:val="14"/>
                <w:szCs w:val="14"/>
              </w:rPr>
              <w:t>Externer Connector für Windows Server™</w:t>
            </w:r>
            <w:bookmarkEnd w:id="530"/>
            <w:bookmarkEnd w:id="531"/>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sz w:val="13"/>
                <w:szCs w:val="13"/>
                <w:u w:val="single"/>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160"/>
              <w:rPr>
                <w:rFonts w:ascii="Tahoma" w:hAnsi="Tahoma" w:cs="Tahoma"/>
                <w:color w:val="000000"/>
                <w:sz w:val="13"/>
              </w:rPr>
            </w:pPr>
            <w:r w:rsidRPr="00C83DF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63</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OL/OV</w:t>
            </w: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color w:val="000000"/>
                <w:sz w:val="13"/>
              </w:rPr>
            </w:pPr>
            <w:r w:rsidRPr="00C83DF5">
              <w:rPr>
                <w:rFonts w:ascii="Tahoma" w:hAnsi="Tahoma" w:cs="Tahoma"/>
                <w:color w:val="000000"/>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lang w:val="de-DE"/>
              </w:rPr>
            </w:pPr>
            <w:bookmarkStart w:id="532" w:name="_Toc336338146"/>
            <w:bookmarkStart w:id="533" w:name="_Toc370983259"/>
            <w:r w:rsidRPr="00C83DF5">
              <w:rPr>
                <w:rFonts w:ascii="Tahoma" w:hAnsi="Tahoma" w:cs="Tahoma"/>
                <w:b w:val="0"/>
                <w:sz w:val="14"/>
                <w:szCs w:val="14"/>
                <w:lang w:val="de-DE"/>
              </w:rPr>
              <w:t>CAL für Windows Server™ 2012-Remotedesktopdienste</w:t>
            </w:r>
            <w:bookmarkEnd w:id="532"/>
            <w:bookmarkEnd w:id="533"/>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160"/>
              <w:rPr>
                <w:rFonts w:ascii="Tahoma" w:hAnsi="Tahoma" w:cs="Tahoma"/>
                <w:color w:val="000000"/>
                <w:sz w:val="13"/>
              </w:rPr>
            </w:pPr>
            <w:r w:rsidRPr="00C83DF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Z,B</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color w:val="000000"/>
                <w:sz w:val="13"/>
              </w:rPr>
            </w:pPr>
            <w:r w:rsidRPr="00C83DF5">
              <w:rPr>
                <w:rFonts w:ascii="Tahoma" w:hAnsi="Tahoma" w:cs="Tahoma"/>
                <w:color w:val="000000"/>
                <w:sz w:val="13"/>
              </w:rPr>
              <w:t>A</w:t>
            </w:r>
          </w:p>
        </w:tc>
      </w:tr>
      <w:tr w:rsidR="008A0F85" w:rsidRPr="00C83DF5" w:rsidTr="004909D7">
        <w:trPr>
          <w:trHeight w:val="431"/>
        </w:trPr>
        <w:tc>
          <w:tcPr>
            <w:tcW w:w="2546" w:type="dxa"/>
            <w:gridSpan w:val="2"/>
            <w:tcBorders>
              <w:bottom w:val="single" w:sz="4" w:space="0" w:color="auto"/>
            </w:tcBorders>
            <w:shd w:val="clear" w:color="auto" w:fill="FABF8F"/>
            <w:vAlign w:val="center"/>
          </w:tcPr>
          <w:p w:rsidR="00913A0A" w:rsidRPr="00C83DF5" w:rsidRDefault="00913A0A" w:rsidP="001A63C6">
            <w:pPr>
              <w:pStyle w:val="Heading2"/>
              <w:spacing w:before="20" w:after="20"/>
              <w:ind w:left="0"/>
              <w:rPr>
                <w:rFonts w:ascii="Tahoma" w:hAnsi="Tahoma" w:cs="Tahoma"/>
                <w:b w:val="0"/>
                <w:sz w:val="14"/>
                <w:szCs w:val="14"/>
              </w:rPr>
            </w:pPr>
            <w:bookmarkStart w:id="534" w:name="_Toc336338147"/>
            <w:bookmarkStart w:id="535" w:name="_Toc370983260"/>
            <w:r w:rsidRPr="00C83DF5">
              <w:rPr>
                <w:rFonts w:ascii="Tahoma" w:hAnsi="Tahoma" w:cs="Tahoma"/>
                <w:b w:val="0"/>
                <w:sz w:val="14"/>
                <w:szCs w:val="14"/>
              </w:rPr>
              <w:t>Externer Connector für Windows Server™ 2012-Remotedesktopdienste</w:t>
            </w:r>
            <w:bookmarkEnd w:id="534"/>
            <w:bookmarkEnd w:id="535"/>
          </w:p>
        </w:tc>
        <w:tc>
          <w:tcPr>
            <w:tcW w:w="414" w:type="dxa"/>
            <w:tcBorders>
              <w:bottom w:val="single" w:sz="4" w:space="0" w:color="auto"/>
            </w:tcBorders>
            <w:shd w:val="clear" w:color="auto" w:fill="FABF8F"/>
            <w:vAlign w:val="center"/>
          </w:tcPr>
          <w:p w:rsidR="00913A0A" w:rsidRPr="00C83DF5" w:rsidRDefault="00913A0A" w:rsidP="001A63C6">
            <w:pPr>
              <w:pStyle w:val="TableText"/>
              <w:widowControl w:val="0"/>
              <w:rPr>
                <w:rStyle w:val="EndnoteReference"/>
                <w:sz w:val="13"/>
                <w:szCs w:val="13"/>
                <w:u w:val="single"/>
              </w:rPr>
            </w:pPr>
          </w:p>
        </w:tc>
        <w:tc>
          <w:tcPr>
            <w:tcW w:w="449" w:type="dxa"/>
            <w:tcBorders>
              <w:bottom w:val="single" w:sz="4" w:space="0" w:color="auto"/>
            </w:tcBorders>
            <w:shd w:val="clear" w:color="auto" w:fill="FABF8F"/>
            <w:vAlign w:val="center"/>
          </w:tcPr>
          <w:p w:rsidR="00913A0A" w:rsidRPr="00C83DF5" w:rsidRDefault="00913A0A" w:rsidP="001A63C6">
            <w:pPr>
              <w:pStyle w:val="TableText"/>
              <w:widowControl w:val="0"/>
              <w:spacing w:before="160"/>
              <w:rPr>
                <w:rFonts w:ascii="Tahoma" w:hAnsi="Tahoma" w:cs="Tahoma"/>
                <w:color w:val="000000"/>
                <w:sz w:val="13"/>
              </w:rPr>
            </w:pPr>
            <w:r w:rsidRPr="00C83DF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188</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150</w:t>
            </w:r>
          </w:p>
        </w:tc>
        <w:tc>
          <w:tcPr>
            <w:tcW w:w="450" w:type="dxa"/>
            <w:gridSpan w:val="3"/>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113</w:t>
            </w:r>
          </w:p>
        </w:tc>
        <w:tc>
          <w:tcPr>
            <w:tcW w:w="455" w:type="dxa"/>
            <w:gridSpan w:val="2"/>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OL/OV</w:t>
            </w:r>
          </w:p>
        </w:tc>
        <w:tc>
          <w:tcPr>
            <w:tcW w:w="484" w:type="dxa"/>
            <w:tcBorders>
              <w:bottom w:val="single" w:sz="4" w:space="0" w:color="auto"/>
            </w:tcBorders>
            <w:shd w:val="clear" w:color="auto" w:fill="FABF8F"/>
          </w:tcPr>
          <w:p w:rsidR="00913A0A" w:rsidRPr="00C83DF5" w:rsidRDefault="002C4BA9" w:rsidP="001A63C6">
            <w:pPr>
              <w:pStyle w:val="TableText"/>
              <w:widowControl w:val="0"/>
              <w:rPr>
                <w:rFonts w:ascii="Tahoma" w:hAnsi="Tahoma" w:cs="Tahoma"/>
                <w:color w:val="000000"/>
                <w:sz w:val="13"/>
              </w:rPr>
            </w:pPr>
            <w:r w:rsidRPr="00C83DF5">
              <w:rPr>
                <w:rFonts w:ascii="Tahoma" w:hAnsi="Tahoma" w:cs="Tahoma"/>
                <w:color w:val="000000"/>
                <w:sz w:val="13"/>
              </w:rPr>
              <w:t>A</w:t>
            </w:r>
          </w:p>
        </w:tc>
      </w:tr>
      <w:tr w:rsidR="00913A0A" w:rsidRPr="00C83DF5" w:rsidTr="004909D7">
        <w:trPr>
          <w:trHeight w:val="145"/>
        </w:trPr>
        <w:tc>
          <w:tcPr>
            <w:tcW w:w="2546" w:type="dxa"/>
            <w:gridSpan w:val="2"/>
            <w:tcBorders>
              <w:bottom w:val="single" w:sz="4" w:space="0" w:color="auto"/>
            </w:tcBorders>
            <w:shd w:val="clear" w:color="auto" w:fill="auto"/>
            <w:vAlign w:val="center"/>
          </w:tcPr>
          <w:p w:rsidR="00913A0A" w:rsidRPr="00C83DF5" w:rsidRDefault="00913A0A" w:rsidP="001A63C6">
            <w:pPr>
              <w:pStyle w:val="Heading2"/>
              <w:spacing w:before="20" w:after="20"/>
              <w:ind w:left="0"/>
              <w:rPr>
                <w:rFonts w:ascii="Tahoma" w:hAnsi="Tahoma" w:cs="Tahoma"/>
                <w:b w:val="0"/>
                <w:sz w:val="14"/>
                <w:szCs w:val="14"/>
                <w:lang w:val="de-DE"/>
              </w:rPr>
            </w:pPr>
            <w:bookmarkStart w:id="536" w:name="_Toc336338148"/>
            <w:bookmarkStart w:id="537" w:name="_Toc370983261"/>
            <w:r w:rsidRPr="00C83DF5">
              <w:rPr>
                <w:rFonts w:ascii="Tahoma" w:hAnsi="Tahoma" w:cs="Tahoma"/>
                <w:b w:val="0"/>
                <w:sz w:val="14"/>
                <w:szCs w:val="14"/>
                <w:lang w:val="de-DE"/>
              </w:rPr>
              <w:t>CAL für Windows Server™ 2012 Active Directory-Rechteverwaltungsdienste</w:t>
            </w:r>
            <w:bookmarkEnd w:id="536"/>
            <w:bookmarkEnd w:id="537"/>
          </w:p>
        </w:tc>
        <w:tc>
          <w:tcPr>
            <w:tcW w:w="414" w:type="dxa"/>
            <w:tcBorders>
              <w:bottom w:val="single" w:sz="4" w:space="0" w:color="auto"/>
            </w:tcBorders>
            <w:shd w:val="clear" w:color="auto" w:fill="auto"/>
            <w:vAlign w:val="center"/>
          </w:tcPr>
          <w:p w:rsidR="00913A0A" w:rsidRPr="00C83DF5" w:rsidRDefault="00913A0A" w:rsidP="001A63C6">
            <w:pPr>
              <w:pStyle w:val="TableText"/>
              <w:widowControl w:val="0"/>
              <w:rPr>
                <w:rStyle w:val="EndnoteReference"/>
                <w:sz w:val="13"/>
                <w:szCs w:val="13"/>
                <w:u w:val="single"/>
                <w:lang w:val="de-DE"/>
              </w:rPr>
            </w:pPr>
          </w:p>
        </w:tc>
        <w:tc>
          <w:tcPr>
            <w:tcW w:w="449" w:type="dxa"/>
            <w:tcBorders>
              <w:bottom w:val="single" w:sz="4" w:space="0" w:color="auto"/>
            </w:tcBorders>
            <w:shd w:val="clear" w:color="auto" w:fill="auto"/>
            <w:vAlign w:val="center"/>
          </w:tcPr>
          <w:p w:rsidR="00913A0A" w:rsidRPr="00C83DF5" w:rsidRDefault="00913A0A" w:rsidP="001A63C6">
            <w:pPr>
              <w:pStyle w:val="TableText"/>
              <w:widowControl w:val="0"/>
              <w:spacing w:before="160"/>
              <w:rPr>
                <w:rFonts w:ascii="Tahoma" w:hAnsi="Tahoma" w:cs="Tahoma"/>
                <w:color w:val="000000"/>
                <w:sz w:val="13"/>
              </w:rPr>
            </w:pPr>
            <w:r w:rsidRPr="00C83DF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3</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5" w:type="dxa"/>
            <w:gridSpan w:val="2"/>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366"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1A63C6">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913A0A" w:rsidRPr="00C83DF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2C4BA9" w:rsidP="001A63C6">
            <w:pPr>
              <w:pStyle w:val="TableText"/>
              <w:widowControl w:val="0"/>
              <w:rPr>
                <w:rFonts w:ascii="Tahoma" w:hAnsi="Tahoma" w:cs="Tahoma"/>
                <w:color w:val="000000"/>
                <w:sz w:val="13"/>
              </w:rPr>
            </w:pPr>
            <w:r w:rsidRPr="00C83DF5">
              <w:rPr>
                <w:rFonts w:ascii="Tahoma" w:hAnsi="Tahoma" w:cs="Tahoma"/>
                <w:color w:val="000000"/>
                <w:sz w:val="13"/>
              </w:rPr>
              <w:t>A</w:t>
            </w:r>
          </w:p>
        </w:tc>
      </w:tr>
      <w:tr w:rsidR="008A0F85" w:rsidRPr="00C83DF5" w:rsidTr="004909D7">
        <w:trPr>
          <w:trHeight w:val="467"/>
        </w:trPr>
        <w:tc>
          <w:tcPr>
            <w:tcW w:w="2546" w:type="dxa"/>
            <w:gridSpan w:val="2"/>
            <w:tcBorders>
              <w:bottom w:val="single" w:sz="4" w:space="0" w:color="auto"/>
            </w:tcBorders>
            <w:shd w:val="clear" w:color="auto" w:fill="FABF8F"/>
            <w:vAlign w:val="center"/>
          </w:tcPr>
          <w:p w:rsidR="00913A0A" w:rsidRPr="00C83DF5" w:rsidRDefault="00913A0A" w:rsidP="007E466C">
            <w:pPr>
              <w:pStyle w:val="Heading2"/>
              <w:keepNext/>
              <w:keepLines/>
              <w:spacing w:before="20" w:after="20"/>
              <w:ind w:left="0"/>
              <w:rPr>
                <w:rFonts w:ascii="Tahoma" w:hAnsi="Tahoma" w:cs="Tahoma"/>
                <w:b w:val="0"/>
                <w:sz w:val="14"/>
                <w:szCs w:val="14"/>
              </w:rPr>
            </w:pPr>
            <w:bookmarkStart w:id="538" w:name="_Toc336338149"/>
            <w:bookmarkStart w:id="539" w:name="_Toc370983262"/>
            <w:r w:rsidRPr="00C83DF5">
              <w:rPr>
                <w:rFonts w:ascii="Tahoma" w:hAnsi="Tahoma" w:cs="Tahoma"/>
                <w:b w:val="0"/>
                <w:sz w:val="14"/>
                <w:szCs w:val="14"/>
              </w:rPr>
              <w:t>Externer Connector für Windows Server™ Active Directory- Rechteverwaltungsdienste</w:t>
            </w:r>
            <w:bookmarkEnd w:id="538"/>
            <w:bookmarkEnd w:id="539"/>
          </w:p>
        </w:tc>
        <w:tc>
          <w:tcPr>
            <w:tcW w:w="414" w:type="dxa"/>
            <w:tcBorders>
              <w:bottom w:val="single" w:sz="4" w:space="0" w:color="auto"/>
            </w:tcBorders>
            <w:shd w:val="clear" w:color="auto" w:fill="FABF8F"/>
            <w:vAlign w:val="center"/>
          </w:tcPr>
          <w:p w:rsidR="00913A0A" w:rsidRPr="00C83DF5" w:rsidRDefault="00913A0A" w:rsidP="007E466C">
            <w:pPr>
              <w:pStyle w:val="TableText"/>
              <w:keepNext/>
              <w:keepLines/>
              <w:widowControl w:val="0"/>
              <w:rPr>
                <w:rStyle w:val="EndnoteReference"/>
                <w:sz w:val="13"/>
                <w:szCs w:val="13"/>
                <w:u w:val="single"/>
              </w:rPr>
            </w:pPr>
          </w:p>
        </w:tc>
        <w:tc>
          <w:tcPr>
            <w:tcW w:w="449" w:type="dxa"/>
            <w:tcBorders>
              <w:bottom w:val="single" w:sz="4" w:space="0" w:color="auto"/>
            </w:tcBorders>
            <w:shd w:val="clear" w:color="auto" w:fill="FABF8F"/>
            <w:vAlign w:val="center"/>
          </w:tcPr>
          <w:p w:rsidR="00913A0A" w:rsidRPr="00C83DF5" w:rsidRDefault="00913A0A" w:rsidP="007E466C">
            <w:pPr>
              <w:pStyle w:val="TableText"/>
              <w:keepNext/>
              <w:keepLines/>
              <w:widowControl w:val="0"/>
              <w:spacing w:before="160"/>
              <w:rPr>
                <w:rFonts w:ascii="Tahoma" w:hAnsi="Tahoma" w:cs="Tahoma"/>
                <w:color w:val="000000"/>
                <w:sz w:val="13"/>
              </w:rPr>
            </w:pPr>
            <w:r w:rsidRPr="00C83DF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125</w:t>
            </w:r>
          </w:p>
        </w:tc>
        <w:tc>
          <w:tcPr>
            <w:tcW w:w="450" w:type="dxa"/>
            <w:gridSpan w:val="3"/>
            <w:tcBorders>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313</w:t>
            </w:r>
          </w:p>
        </w:tc>
        <w:tc>
          <w:tcPr>
            <w:tcW w:w="450" w:type="dxa"/>
            <w:gridSpan w:val="3"/>
            <w:tcBorders>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250</w:t>
            </w:r>
          </w:p>
        </w:tc>
        <w:tc>
          <w:tcPr>
            <w:tcW w:w="450" w:type="dxa"/>
            <w:gridSpan w:val="3"/>
            <w:tcBorders>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188</w:t>
            </w:r>
          </w:p>
        </w:tc>
        <w:tc>
          <w:tcPr>
            <w:tcW w:w="455" w:type="dxa"/>
            <w:gridSpan w:val="2"/>
            <w:tcBorders>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125</w:t>
            </w:r>
          </w:p>
        </w:tc>
        <w:tc>
          <w:tcPr>
            <w:tcW w:w="366" w:type="dxa"/>
            <w:tcBorders>
              <w:bottom w:val="single" w:sz="4" w:space="0" w:color="auto"/>
              <w:right w:val="single" w:sz="18"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125</w:t>
            </w:r>
          </w:p>
        </w:tc>
        <w:tc>
          <w:tcPr>
            <w:tcW w:w="450" w:type="dxa"/>
            <w:tcBorders>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FABF8F"/>
            <w:vAlign w:val="center"/>
          </w:tcPr>
          <w:p w:rsidR="00913A0A" w:rsidRPr="00C83DF5" w:rsidRDefault="00913A0A" w:rsidP="007E466C">
            <w:pPr>
              <w:pStyle w:val="TableText"/>
              <w:keepNext/>
              <w:keepLines/>
              <w:widowControl w:val="0"/>
              <w:rPr>
                <w:rFonts w:ascii="Tahoma" w:hAnsi="Tahoma" w:cs="Tahoma"/>
                <w:color w:val="000000"/>
                <w:sz w:val="13"/>
              </w:rPr>
            </w:pPr>
            <w:r w:rsidRPr="00C83DF5">
              <w:rPr>
                <w:rFonts w:ascii="Tahoma" w:hAnsi="Tahoma" w:cs="Tahoma"/>
                <w:color w:val="000000"/>
                <w:sz w:val="13"/>
              </w:rPr>
              <w:t>OL/OV</w:t>
            </w:r>
          </w:p>
        </w:tc>
        <w:tc>
          <w:tcPr>
            <w:tcW w:w="484" w:type="dxa"/>
            <w:tcBorders>
              <w:bottom w:val="single" w:sz="4" w:space="0" w:color="auto"/>
            </w:tcBorders>
            <w:shd w:val="clear" w:color="auto" w:fill="FABF8F"/>
          </w:tcPr>
          <w:p w:rsidR="00913A0A" w:rsidRPr="00C83DF5" w:rsidRDefault="002C4BA9" w:rsidP="007E466C">
            <w:pPr>
              <w:pStyle w:val="TableText"/>
              <w:keepNext/>
              <w:keepLines/>
              <w:widowControl w:val="0"/>
              <w:rPr>
                <w:rFonts w:ascii="Tahoma" w:hAnsi="Tahoma" w:cs="Tahoma"/>
                <w:color w:val="000000"/>
                <w:sz w:val="13"/>
              </w:rPr>
            </w:pPr>
            <w:r w:rsidRPr="00C83DF5">
              <w:rPr>
                <w:rFonts w:ascii="Tahoma" w:hAnsi="Tahoma" w:cs="Tahoma"/>
                <w:color w:val="000000"/>
                <w:sz w:val="13"/>
              </w:rPr>
              <w:t>A</w:t>
            </w:r>
          </w:p>
        </w:tc>
      </w:tr>
      <w:tr w:rsidR="00913A0A" w:rsidRPr="00C83DF5" w:rsidTr="004909D7">
        <w:trPr>
          <w:gridBefore w:val="1"/>
          <w:wBefore w:w="17" w:type="dxa"/>
          <w:trHeight w:val="145"/>
        </w:trPr>
        <w:tc>
          <w:tcPr>
            <w:tcW w:w="2529" w:type="dxa"/>
            <w:tcBorders>
              <w:bottom w:val="single" w:sz="4" w:space="0" w:color="auto"/>
            </w:tcBorders>
            <w:shd w:val="clear" w:color="auto" w:fill="auto"/>
            <w:vAlign w:val="center"/>
          </w:tcPr>
          <w:p w:rsidR="00913A0A" w:rsidRPr="00C83DF5" w:rsidRDefault="00913A0A" w:rsidP="007E466C">
            <w:pPr>
              <w:pStyle w:val="Heading2"/>
              <w:keepNext/>
              <w:keepLines/>
              <w:spacing w:before="20" w:after="20"/>
              <w:ind w:left="0"/>
              <w:rPr>
                <w:rFonts w:ascii="Tahoma" w:hAnsi="Tahoma" w:cs="Tahoma"/>
                <w:b w:val="0"/>
                <w:sz w:val="14"/>
                <w:szCs w:val="14"/>
              </w:rPr>
            </w:pPr>
            <w:bookmarkStart w:id="540" w:name="_Toc370983263"/>
            <w:r w:rsidRPr="00C83DF5">
              <w:rPr>
                <w:rFonts w:ascii="Tahoma" w:hAnsi="Tahoma" w:cs="Tahoma"/>
                <w:b w:val="0"/>
                <w:sz w:val="14"/>
                <w:szCs w:val="14"/>
              </w:rPr>
              <w:t>Windows Small Business Server 2008 Premium</w:t>
            </w:r>
            <w:bookmarkEnd w:id="540"/>
            <w:r w:rsidRPr="00C83DF5">
              <w:rPr>
                <w:rFonts w:ascii="Tahoma" w:hAnsi="Tahoma" w:cs="Tahoma"/>
                <w:b w:val="0"/>
                <w:sz w:val="14"/>
                <w:szCs w:val="14"/>
              </w:rPr>
              <w:t xml:space="preserve"> </w:t>
            </w:r>
          </w:p>
        </w:tc>
        <w:tc>
          <w:tcPr>
            <w:tcW w:w="414" w:type="dxa"/>
            <w:tcBorders>
              <w:bottom w:val="single" w:sz="4" w:space="0" w:color="auto"/>
            </w:tcBorders>
            <w:shd w:val="clear" w:color="auto" w:fill="auto"/>
            <w:vAlign w:val="center"/>
          </w:tcPr>
          <w:p w:rsidR="00913A0A" w:rsidRPr="00C83DF5" w:rsidRDefault="005519A5" w:rsidP="00FC0808">
            <w:pPr>
              <w:pStyle w:val="TableText"/>
              <w:keepNext/>
              <w:keepLines/>
              <w:widowControl w:val="0"/>
              <w:rPr>
                <w:b/>
                <w:sz w:val="13"/>
                <w:szCs w:val="13"/>
                <w:u w:val="single"/>
              </w:rPr>
            </w:pPr>
            <w:hyperlink w:anchor="_112_Windows_Small_1" w:history="1">
              <w:r w:rsidR="00CF5A3E" w:rsidRPr="00C83DF5">
                <w:rPr>
                  <w:rStyle w:val="Hyperlink"/>
                  <w:b/>
                  <w:sz w:val="13"/>
                  <w:szCs w:val="13"/>
                </w:rPr>
                <w:t>113</w:t>
              </w:r>
            </w:hyperlink>
            <w:hyperlink w:anchor="_111_Windows_Web" w:history="1"/>
            <w:hyperlink w:anchor="Srv_116WinSmallBizSVR2011Addon" w:history="1"/>
          </w:p>
        </w:tc>
        <w:tc>
          <w:tcPr>
            <w:tcW w:w="449" w:type="dxa"/>
            <w:tcBorders>
              <w:bottom w:val="single" w:sz="4" w:space="0" w:color="auto"/>
            </w:tcBorders>
            <w:shd w:val="clear" w:color="auto" w:fill="auto"/>
            <w:vAlign w:val="center"/>
          </w:tcPr>
          <w:p w:rsidR="00913A0A" w:rsidRPr="00C83DF5" w:rsidRDefault="00913A0A" w:rsidP="007E466C">
            <w:pPr>
              <w:pStyle w:val="TableText"/>
              <w:keepNext/>
              <w:keepLines/>
              <w:widowControl w:val="0"/>
              <w:spacing w:before="120"/>
              <w:rPr>
                <w:rFonts w:ascii="Tahoma" w:hAnsi="Tahoma" w:cs="Tahoma"/>
                <w:sz w:val="13"/>
              </w:rPr>
            </w:pPr>
            <w:r w:rsidRPr="00C83DF5">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C83DF5" w:rsidRDefault="00913A0A" w:rsidP="007E466C">
            <w:pPr>
              <w:pStyle w:val="TableText"/>
              <w:keepNext/>
              <w:keepLines/>
              <w:widowControl w:val="0"/>
              <w:rPr>
                <w:rFonts w:ascii="Tahoma" w:hAnsi="Tahoma" w:cs="Tahoma"/>
                <w:sz w:val="13"/>
              </w:rPr>
            </w:pPr>
          </w:p>
        </w:tc>
        <w:tc>
          <w:tcPr>
            <w:tcW w:w="484" w:type="dxa"/>
            <w:tcBorders>
              <w:bottom w:val="single" w:sz="4" w:space="0" w:color="auto"/>
            </w:tcBorders>
          </w:tcPr>
          <w:p w:rsidR="00913A0A" w:rsidRPr="00C83DF5" w:rsidRDefault="00913A0A" w:rsidP="007E466C">
            <w:pPr>
              <w:pStyle w:val="TableText"/>
              <w:keepNext/>
              <w:keepLines/>
              <w:widowControl w:val="0"/>
              <w:rPr>
                <w:rFonts w:ascii="Tahoma" w:hAnsi="Tahoma" w:cs="Tahoma"/>
                <w:sz w:val="13"/>
              </w:rPr>
            </w:pPr>
          </w:p>
        </w:tc>
      </w:tr>
      <w:tr w:rsidR="008A0F85" w:rsidRPr="00C83DF5" w:rsidTr="004909D7">
        <w:trPr>
          <w:gridBefore w:val="1"/>
          <w:wBefore w:w="17" w:type="dxa"/>
          <w:trHeight w:val="145"/>
        </w:trPr>
        <w:tc>
          <w:tcPr>
            <w:tcW w:w="2529" w:type="dxa"/>
            <w:tcBorders>
              <w:bottom w:val="single" w:sz="4" w:space="0" w:color="auto"/>
            </w:tcBorders>
            <w:shd w:val="clear" w:color="auto" w:fill="FABF8F"/>
            <w:vAlign w:val="center"/>
          </w:tcPr>
          <w:p w:rsidR="00913A0A" w:rsidRPr="00C83DF5" w:rsidRDefault="00913A0A" w:rsidP="00DF50C5">
            <w:pPr>
              <w:pStyle w:val="Heading2"/>
              <w:keepNext/>
              <w:keepLines/>
              <w:spacing w:before="20" w:after="20"/>
              <w:ind w:left="0"/>
              <w:rPr>
                <w:rFonts w:ascii="Tahoma" w:hAnsi="Tahoma" w:cs="Tahoma"/>
                <w:b w:val="0"/>
                <w:sz w:val="14"/>
                <w:szCs w:val="14"/>
              </w:rPr>
            </w:pPr>
            <w:bookmarkStart w:id="541" w:name="_Toc370983264"/>
            <w:r w:rsidRPr="00C83DF5">
              <w:rPr>
                <w:rFonts w:ascii="Tahoma" w:hAnsi="Tahoma" w:cs="Tahoma"/>
                <w:b w:val="0"/>
                <w:sz w:val="14"/>
                <w:szCs w:val="14"/>
              </w:rPr>
              <w:t>Windows Small Business Server 2011 Standard</w:t>
            </w:r>
            <w:bookmarkEnd w:id="541"/>
          </w:p>
        </w:tc>
        <w:tc>
          <w:tcPr>
            <w:tcW w:w="414" w:type="dxa"/>
            <w:tcBorders>
              <w:bottom w:val="single" w:sz="4" w:space="0" w:color="auto"/>
            </w:tcBorders>
            <w:shd w:val="clear" w:color="auto" w:fill="FABF8F"/>
            <w:vAlign w:val="center"/>
          </w:tcPr>
          <w:p w:rsidR="00913A0A" w:rsidRPr="00C83DF5" w:rsidRDefault="005519A5" w:rsidP="00DF50C5">
            <w:pPr>
              <w:pStyle w:val="TableText"/>
              <w:keepNext/>
              <w:keepLines/>
              <w:widowControl w:val="0"/>
            </w:pPr>
            <w:hyperlink w:anchor="_114_Windows_Small_1" w:history="1">
              <w:r w:rsidR="00913A0A" w:rsidRPr="00F14E3B">
                <w:rPr>
                  <w:rStyle w:val="Hyperlink"/>
                  <w:b/>
                  <w:sz w:val="13"/>
                  <w:szCs w:val="13"/>
                </w:rPr>
                <w:t>11</w:t>
              </w:r>
              <w:r w:rsidR="00913A0A" w:rsidRPr="00F14E3B">
                <w:rPr>
                  <w:rStyle w:val="Hyperlink"/>
                </w:rPr>
                <w:t>4</w:t>
              </w:r>
            </w:hyperlink>
          </w:p>
        </w:tc>
        <w:tc>
          <w:tcPr>
            <w:tcW w:w="449" w:type="dxa"/>
            <w:tcBorders>
              <w:bottom w:val="single" w:sz="4" w:space="0" w:color="auto"/>
            </w:tcBorders>
            <w:shd w:val="clear" w:color="auto" w:fill="FABF8F"/>
            <w:vAlign w:val="center"/>
          </w:tcPr>
          <w:p w:rsidR="00913A0A" w:rsidRPr="00C83DF5" w:rsidRDefault="00913A0A" w:rsidP="00DF50C5">
            <w:pPr>
              <w:pStyle w:val="TableText"/>
              <w:keepNext/>
              <w:keepLines/>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rsidP="00DF50C5">
            <w:pPr>
              <w:pStyle w:val="TableText"/>
              <w:keepNext/>
              <w:keepLines/>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rsidP="00DF50C5">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rsidP="00DF50C5">
            <w:pPr>
              <w:pStyle w:val="TableText"/>
              <w:keepNext/>
              <w:keepLines/>
              <w:widowControl w:val="0"/>
              <w:rPr>
                <w:rFonts w:ascii="Tahoma" w:hAnsi="Tahoma" w:cs="Tahoma"/>
                <w:sz w:val="13"/>
              </w:rPr>
            </w:pPr>
          </w:p>
        </w:tc>
      </w:tr>
      <w:tr w:rsidR="00913A0A" w:rsidRPr="00C83DF5" w:rsidTr="004909D7">
        <w:trPr>
          <w:gridBefore w:val="1"/>
          <w:wBefore w:w="17" w:type="dxa"/>
          <w:trHeight w:val="145"/>
        </w:trPr>
        <w:tc>
          <w:tcPr>
            <w:tcW w:w="2529" w:type="dxa"/>
            <w:tcBorders>
              <w:bottom w:val="single" w:sz="4" w:space="0" w:color="auto"/>
            </w:tcBorders>
            <w:shd w:val="clear" w:color="auto" w:fill="auto"/>
            <w:vAlign w:val="center"/>
          </w:tcPr>
          <w:p w:rsidR="00913A0A" w:rsidRPr="00C83DF5" w:rsidRDefault="00913A0A" w:rsidP="00DF50C5">
            <w:pPr>
              <w:pStyle w:val="Heading2"/>
              <w:keepNext/>
              <w:keepLines/>
              <w:spacing w:before="20" w:after="20"/>
              <w:ind w:left="0"/>
              <w:rPr>
                <w:rFonts w:ascii="Tahoma" w:hAnsi="Tahoma" w:cs="Tahoma"/>
                <w:b w:val="0"/>
                <w:sz w:val="14"/>
                <w:szCs w:val="14"/>
              </w:rPr>
            </w:pPr>
            <w:bookmarkStart w:id="542" w:name="_Toc336338158"/>
            <w:bookmarkStart w:id="543" w:name="_Toc370983265"/>
            <w:r w:rsidRPr="00C83DF5">
              <w:rPr>
                <w:rFonts w:ascii="Tahoma" w:hAnsi="Tahoma" w:cs="Tahoma"/>
                <w:b w:val="0"/>
                <w:sz w:val="14"/>
                <w:szCs w:val="14"/>
              </w:rPr>
              <w:t>CAL-Suite für Windows Small Business Server 2011 (1 Client)</w:t>
            </w:r>
            <w:bookmarkEnd w:id="542"/>
            <w:bookmarkEnd w:id="543"/>
          </w:p>
        </w:tc>
        <w:tc>
          <w:tcPr>
            <w:tcW w:w="414" w:type="dxa"/>
            <w:tcBorders>
              <w:bottom w:val="single" w:sz="4" w:space="0" w:color="auto"/>
            </w:tcBorders>
            <w:shd w:val="clear" w:color="auto" w:fill="auto"/>
            <w:vAlign w:val="center"/>
          </w:tcPr>
          <w:p w:rsidR="00913A0A" w:rsidRPr="00C83DF5" w:rsidRDefault="005519A5" w:rsidP="00DF50C5">
            <w:pPr>
              <w:pStyle w:val="TableText"/>
              <w:keepNext/>
              <w:keepLines/>
              <w:widowControl w:val="0"/>
              <w:rPr>
                <w:rStyle w:val="EndnoteReference"/>
                <w:b w:val="0"/>
                <w:color w:val="0000FF"/>
                <w:sz w:val="13"/>
                <w:szCs w:val="13"/>
                <w:u w:val="single"/>
              </w:rPr>
            </w:pPr>
            <w:hyperlink w:anchor="_122_Windows_Small" w:history="1">
              <w:r w:rsidR="00CF5A3E" w:rsidRPr="00C83DF5">
                <w:rPr>
                  <w:rStyle w:val="Hyperlink"/>
                  <w:b/>
                  <w:sz w:val="13"/>
                  <w:szCs w:val="13"/>
                </w:rPr>
                <w:t>115</w:t>
              </w:r>
            </w:hyperlink>
          </w:p>
        </w:tc>
        <w:tc>
          <w:tcPr>
            <w:tcW w:w="449" w:type="dxa"/>
            <w:tcBorders>
              <w:bottom w:val="single" w:sz="4" w:space="0" w:color="auto"/>
            </w:tcBorders>
            <w:shd w:val="clear" w:color="auto" w:fill="auto"/>
            <w:vAlign w:val="center"/>
          </w:tcPr>
          <w:p w:rsidR="00913A0A" w:rsidRPr="00C83DF5" w:rsidRDefault="00913A0A" w:rsidP="00DF50C5">
            <w:pPr>
              <w:pStyle w:val="TableText"/>
              <w:keepNext/>
              <w:keepLines/>
              <w:widowControl w:val="0"/>
              <w:spacing w:before="120"/>
              <w:rPr>
                <w:rFonts w:ascii="Tahoma" w:hAnsi="Tahoma" w:cs="Tahoma"/>
                <w:sz w:val="13"/>
              </w:rPr>
            </w:pPr>
            <w:r w:rsidRPr="00C83DF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5" w:type="dxa"/>
            <w:gridSpan w:val="2"/>
            <w:tcBorders>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r w:rsidRPr="00C83DF5">
              <w:rPr>
                <w:rFonts w:ascii="Tahoma" w:hAnsi="Tahoma" w:cs="Tahoma"/>
                <w:sz w:val="13"/>
              </w:rPr>
              <w:t>E, P</w:t>
            </w:r>
          </w:p>
        </w:tc>
        <w:tc>
          <w:tcPr>
            <w:tcW w:w="450" w:type="dxa"/>
            <w:tcBorders>
              <w:bottom w:val="single" w:sz="4" w:space="0" w:color="auto"/>
            </w:tcBorders>
            <w:shd w:val="clear" w:color="auto" w:fill="auto"/>
          </w:tcPr>
          <w:p w:rsidR="00913A0A" w:rsidRPr="00C83DF5" w:rsidRDefault="00913A0A" w:rsidP="00DF50C5">
            <w:pPr>
              <w:pStyle w:val="TableText"/>
              <w:keepNext/>
              <w:keepLines/>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913A0A" w:rsidRPr="00C83DF5" w:rsidRDefault="00913A0A" w:rsidP="00DF50C5">
            <w:pPr>
              <w:pStyle w:val="TableText"/>
              <w:keepNext/>
              <w:keepLines/>
              <w:widowControl w:val="0"/>
              <w:rPr>
                <w:rFonts w:ascii="Tahoma" w:hAnsi="Tahoma" w:cs="Tahoma"/>
                <w:sz w:val="13"/>
              </w:rPr>
            </w:pPr>
          </w:p>
        </w:tc>
        <w:tc>
          <w:tcPr>
            <w:tcW w:w="484" w:type="dxa"/>
            <w:tcBorders>
              <w:bottom w:val="single" w:sz="4" w:space="0" w:color="auto"/>
            </w:tcBorders>
          </w:tcPr>
          <w:p w:rsidR="00913A0A" w:rsidRPr="00C83DF5" w:rsidRDefault="00913A0A" w:rsidP="00DF50C5">
            <w:pPr>
              <w:pStyle w:val="TableText"/>
              <w:keepNext/>
              <w:keepLines/>
              <w:widowControl w:val="0"/>
              <w:rPr>
                <w:rFonts w:ascii="Tahoma" w:hAnsi="Tahoma" w:cs="Tahoma"/>
                <w:sz w:val="13"/>
              </w:rPr>
            </w:pPr>
          </w:p>
        </w:tc>
      </w:tr>
      <w:tr w:rsidR="008A0F85" w:rsidRPr="00C83DF5" w:rsidTr="004909D7">
        <w:trPr>
          <w:gridBefore w:val="1"/>
          <w:wBefore w:w="17" w:type="dxa"/>
          <w:trHeight w:val="145"/>
        </w:trPr>
        <w:tc>
          <w:tcPr>
            <w:tcW w:w="2529" w:type="dxa"/>
            <w:tcBorders>
              <w:bottom w:val="single" w:sz="4" w:space="0" w:color="auto"/>
            </w:tcBorders>
            <w:shd w:val="clear" w:color="auto" w:fill="FABF8F"/>
            <w:vAlign w:val="center"/>
          </w:tcPr>
          <w:p w:rsidR="00913A0A" w:rsidRPr="00C83DF5" w:rsidRDefault="00913A0A" w:rsidP="002E5D03">
            <w:pPr>
              <w:pStyle w:val="Heading2"/>
              <w:spacing w:before="20" w:after="20"/>
              <w:ind w:left="0"/>
              <w:rPr>
                <w:rFonts w:ascii="Tahoma" w:hAnsi="Tahoma" w:cs="Tahoma"/>
                <w:b w:val="0"/>
                <w:color w:val="000000"/>
                <w:sz w:val="14"/>
                <w:szCs w:val="14"/>
              </w:rPr>
            </w:pPr>
            <w:bookmarkStart w:id="544" w:name="_Toc336338159"/>
            <w:bookmarkStart w:id="545" w:name="_Toc370983266"/>
            <w:r w:rsidRPr="00C83DF5">
              <w:rPr>
                <w:rFonts w:ascii="Tahoma" w:hAnsi="Tahoma" w:cs="Tahoma"/>
                <w:b w:val="0"/>
                <w:sz w:val="14"/>
                <w:szCs w:val="14"/>
              </w:rPr>
              <w:t>CAL-Suite für Windows Small Business Server 2011 (5 Clients)</w:t>
            </w:r>
            <w:bookmarkEnd w:id="544"/>
            <w:bookmarkEnd w:id="545"/>
          </w:p>
        </w:tc>
        <w:tc>
          <w:tcPr>
            <w:tcW w:w="414" w:type="dxa"/>
            <w:tcBorders>
              <w:bottom w:val="single" w:sz="4" w:space="0" w:color="auto"/>
            </w:tcBorders>
            <w:shd w:val="clear" w:color="auto" w:fill="FABF8F"/>
            <w:vAlign w:val="center"/>
          </w:tcPr>
          <w:p w:rsidR="00913A0A" w:rsidRPr="00C83DF5" w:rsidRDefault="005519A5" w:rsidP="00FC0808">
            <w:pPr>
              <w:pStyle w:val="TableText"/>
              <w:widowControl w:val="0"/>
              <w:rPr>
                <w:rStyle w:val="EndnoteReference"/>
                <w:b w:val="0"/>
                <w:sz w:val="13"/>
                <w:szCs w:val="13"/>
                <w:u w:val="single"/>
              </w:rPr>
            </w:pPr>
            <w:hyperlink w:anchor="_122_Windows_Small" w:history="1">
              <w:r w:rsidR="00333AC5" w:rsidRPr="00C83DF5">
                <w:rPr>
                  <w:rStyle w:val="Hyperlink"/>
                  <w:b/>
                  <w:sz w:val="13"/>
                  <w:szCs w:val="13"/>
                </w:rPr>
                <w:t>115</w:t>
              </w:r>
            </w:hyperlink>
          </w:p>
        </w:tc>
        <w:tc>
          <w:tcPr>
            <w:tcW w:w="449" w:type="dxa"/>
            <w:tcBorders>
              <w:bottom w:val="single" w:sz="4" w:space="0" w:color="auto"/>
            </w:tcBorders>
            <w:shd w:val="clear" w:color="auto" w:fill="FABF8F"/>
            <w:vAlign w:val="center"/>
          </w:tcPr>
          <w:p w:rsidR="00913A0A" w:rsidRPr="00C83DF5" w:rsidRDefault="00913A0A" w:rsidP="00886719">
            <w:pPr>
              <w:pStyle w:val="TableText"/>
              <w:widowControl w:val="0"/>
              <w:spacing w:before="120"/>
              <w:rPr>
                <w:rFonts w:ascii="Tahoma" w:hAnsi="Tahoma" w:cs="Tahoma"/>
                <w:sz w:val="13"/>
              </w:rPr>
            </w:pPr>
            <w:r w:rsidRPr="00C83DF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color w:val="000000"/>
                <w:sz w:val="13"/>
              </w:rPr>
              <w:t>OL/OV</w:t>
            </w:r>
          </w:p>
        </w:tc>
        <w:tc>
          <w:tcPr>
            <w:tcW w:w="484" w:type="dxa"/>
            <w:tcBorders>
              <w:bottom w:val="single" w:sz="4" w:space="0" w:color="auto"/>
            </w:tcBorders>
            <w:shd w:val="clear" w:color="auto" w:fill="FABF8F"/>
          </w:tcPr>
          <w:p w:rsidR="00913A0A" w:rsidRPr="00C83DF5" w:rsidRDefault="00913A0A" w:rsidP="00886719">
            <w:pPr>
              <w:pStyle w:val="TableText"/>
              <w:widowControl w:val="0"/>
              <w:rPr>
                <w:rFonts w:ascii="Tahoma" w:hAnsi="Tahoma" w:cs="Tahoma"/>
                <w:color w:val="000000"/>
                <w:sz w:val="13"/>
              </w:rPr>
            </w:pPr>
          </w:p>
        </w:tc>
      </w:tr>
      <w:tr w:rsidR="00913A0A" w:rsidRPr="00C83DF5" w:rsidTr="004909D7">
        <w:trPr>
          <w:gridBefore w:val="1"/>
          <w:wBefore w:w="17" w:type="dxa"/>
          <w:trHeight w:val="145"/>
        </w:trPr>
        <w:tc>
          <w:tcPr>
            <w:tcW w:w="2529" w:type="dxa"/>
            <w:tcBorders>
              <w:bottom w:val="single" w:sz="4" w:space="0" w:color="auto"/>
            </w:tcBorders>
            <w:shd w:val="clear" w:color="auto" w:fill="auto"/>
          </w:tcPr>
          <w:p w:rsidR="00913A0A" w:rsidRPr="00C83DF5" w:rsidRDefault="00913A0A" w:rsidP="002E5D03">
            <w:pPr>
              <w:pStyle w:val="Heading2"/>
              <w:spacing w:before="20" w:after="20"/>
              <w:ind w:left="0"/>
              <w:rPr>
                <w:rFonts w:ascii="Tahoma" w:hAnsi="Tahoma" w:cs="Tahoma"/>
                <w:b w:val="0"/>
                <w:color w:val="000000"/>
                <w:sz w:val="14"/>
                <w:szCs w:val="14"/>
              </w:rPr>
            </w:pPr>
            <w:bookmarkStart w:id="546" w:name="_Toc336338160"/>
            <w:bookmarkStart w:id="547" w:name="_Toc370983267"/>
            <w:r w:rsidRPr="00C83DF5">
              <w:rPr>
                <w:rFonts w:ascii="Tahoma" w:hAnsi="Tahoma" w:cs="Tahoma"/>
                <w:b w:val="0"/>
                <w:sz w:val="14"/>
                <w:szCs w:val="14"/>
              </w:rPr>
              <w:t>CAL-Suite für Windows Small Business Server 2011 (20 Clients)</w:t>
            </w:r>
            <w:bookmarkEnd w:id="546"/>
            <w:bookmarkEnd w:id="547"/>
            <w:r w:rsidRPr="00C83DF5">
              <w:rPr>
                <w:rFonts w:ascii="Tahoma" w:eastAsia="Times New Roman" w:hAnsi="Tahoma" w:cs="Tahoma"/>
                <w:b w:val="0"/>
                <w:sz w:val="14"/>
                <w:szCs w:val="14"/>
              </w:rPr>
              <w:t xml:space="preserve"> </w:t>
            </w:r>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rPr>
                <w:rStyle w:val="EndnoteReference"/>
                <w:b w:val="0"/>
                <w:sz w:val="13"/>
                <w:szCs w:val="13"/>
                <w:u w:val="single"/>
              </w:rPr>
            </w:pPr>
            <w:hyperlink w:anchor="_122_Windows_Small" w:history="1">
              <w:r w:rsidR="00333AC5" w:rsidRPr="00C83DF5">
                <w:rPr>
                  <w:rStyle w:val="Hyperlink"/>
                  <w:b/>
                  <w:sz w:val="13"/>
                  <w:szCs w:val="13"/>
                </w:rPr>
                <w:t>115</w:t>
              </w:r>
            </w:hyperlink>
          </w:p>
        </w:tc>
        <w:tc>
          <w:tcPr>
            <w:tcW w:w="449" w:type="dxa"/>
            <w:tcBorders>
              <w:bottom w:val="single" w:sz="4" w:space="0" w:color="auto"/>
            </w:tcBorders>
            <w:shd w:val="clear" w:color="auto" w:fill="auto"/>
            <w:vAlign w:val="center"/>
          </w:tcPr>
          <w:p w:rsidR="00913A0A" w:rsidRPr="00C83DF5" w:rsidRDefault="00913A0A" w:rsidP="00886719">
            <w:pPr>
              <w:pStyle w:val="TableText"/>
              <w:widowControl w:val="0"/>
              <w:spacing w:before="120"/>
              <w:rPr>
                <w:rFonts w:ascii="Tahoma" w:hAnsi="Tahoma" w:cs="Tahoma"/>
                <w:sz w:val="13"/>
              </w:rPr>
            </w:pPr>
            <w:r w:rsidRPr="00C83DF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C83DF5"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886719">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886719">
            <w:pPr>
              <w:pStyle w:val="TableText"/>
              <w:widowControl w:val="0"/>
              <w:rPr>
                <w:rFonts w:ascii="Tahoma" w:hAnsi="Tahoma" w:cs="Tahoma"/>
                <w:sz w:val="13"/>
              </w:rPr>
            </w:pPr>
            <w:r w:rsidRPr="00C83DF5">
              <w:rPr>
                <w:rFonts w:ascii="Tahoma" w:hAnsi="Tahoma" w:cs="Tahoma"/>
                <w:color w:val="000000"/>
                <w:sz w:val="13"/>
              </w:rPr>
              <w:t>OL/OV</w:t>
            </w:r>
          </w:p>
        </w:tc>
        <w:tc>
          <w:tcPr>
            <w:tcW w:w="484" w:type="dxa"/>
            <w:tcBorders>
              <w:bottom w:val="single" w:sz="4" w:space="0" w:color="auto"/>
            </w:tcBorders>
          </w:tcPr>
          <w:p w:rsidR="00913A0A" w:rsidRPr="00C83DF5" w:rsidRDefault="00913A0A" w:rsidP="00886719">
            <w:pPr>
              <w:pStyle w:val="TableText"/>
              <w:widowControl w:val="0"/>
              <w:rPr>
                <w:rFonts w:ascii="Tahoma" w:hAnsi="Tahoma" w:cs="Tahoma"/>
                <w:color w:val="000000"/>
                <w:sz w:val="13"/>
              </w:rPr>
            </w:pPr>
          </w:p>
        </w:tc>
      </w:tr>
      <w:tr w:rsidR="008A0F85" w:rsidRPr="00C83DF5" w:rsidTr="004909D7">
        <w:trPr>
          <w:gridBefore w:val="1"/>
          <w:wBefore w:w="17" w:type="dxa"/>
          <w:trHeight w:val="145"/>
        </w:trPr>
        <w:tc>
          <w:tcPr>
            <w:tcW w:w="2529" w:type="dxa"/>
            <w:tcBorders>
              <w:bottom w:val="single" w:sz="4" w:space="0" w:color="auto"/>
            </w:tcBorders>
            <w:shd w:val="clear" w:color="auto" w:fill="FABF8F"/>
            <w:vAlign w:val="center"/>
          </w:tcPr>
          <w:p w:rsidR="00913A0A" w:rsidRPr="00C83DF5" w:rsidRDefault="00913A0A" w:rsidP="002E5D03">
            <w:pPr>
              <w:pStyle w:val="Heading2"/>
              <w:spacing w:before="20" w:after="20"/>
              <w:ind w:left="0"/>
              <w:rPr>
                <w:rFonts w:ascii="Tahoma" w:hAnsi="Tahoma" w:cs="Tahoma"/>
                <w:b w:val="0"/>
                <w:sz w:val="14"/>
                <w:szCs w:val="14"/>
              </w:rPr>
            </w:pPr>
            <w:bookmarkStart w:id="548" w:name="_Toc370983268"/>
            <w:r w:rsidRPr="00C83DF5">
              <w:rPr>
                <w:rFonts w:ascii="Tahoma" w:hAnsi="Tahoma" w:cs="Tahoma"/>
                <w:b w:val="0"/>
                <w:sz w:val="14"/>
                <w:szCs w:val="14"/>
              </w:rPr>
              <w:lastRenderedPageBreak/>
              <w:t>Windows Small Business Server 2011 Premium Add-On</w:t>
            </w:r>
            <w:bookmarkEnd w:id="548"/>
          </w:p>
        </w:tc>
        <w:tc>
          <w:tcPr>
            <w:tcW w:w="414" w:type="dxa"/>
            <w:tcBorders>
              <w:bottom w:val="single" w:sz="4" w:space="0" w:color="auto"/>
            </w:tcBorders>
            <w:shd w:val="clear" w:color="auto" w:fill="FABF8F"/>
            <w:vAlign w:val="center"/>
          </w:tcPr>
          <w:p w:rsidR="00913A0A" w:rsidRPr="00C83DF5" w:rsidRDefault="005519A5" w:rsidP="0091195E">
            <w:pPr>
              <w:pStyle w:val="TableText"/>
              <w:widowControl w:val="0"/>
            </w:pPr>
            <w:hyperlink w:anchor="_116_Windows_Small_1" w:history="1">
              <w:r w:rsidR="00CF5A3E" w:rsidRPr="00C83DF5">
                <w:rPr>
                  <w:rStyle w:val="Hyperlink"/>
                  <w:b/>
                  <w:sz w:val="13"/>
                  <w:szCs w:val="13"/>
                </w:rPr>
                <w:t>116</w:t>
              </w:r>
            </w:hyperlink>
          </w:p>
        </w:tc>
        <w:tc>
          <w:tcPr>
            <w:tcW w:w="449" w:type="dxa"/>
            <w:tcBorders>
              <w:bottom w:val="single" w:sz="4" w:space="0" w:color="auto"/>
            </w:tcBorders>
            <w:shd w:val="clear" w:color="auto" w:fill="FABF8F"/>
          </w:tcPr>
          <w:p w:rsidR="00913A0A" w:rsidRPr="00C83DF5"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C83DF5"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913A0A" w:rsidRPr="00C83DF5"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C83DF5"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C83DF5"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C83DF5" w:rsidRDefault="00913A0A">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ABF8F"/>
            <w:vAlign w:val="center"/>
          </w:tcPr>
          <w:p w:rsidR="00913A0A" w:rsidRPr="00C83DF5" w:rsidRDefault="00913A0A">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C83DF5" w:rsidRDefault="00913A0A">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C83DF5"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C83DF5" w:rsidRDefault="00913A0A">
            <w:pPr>
              <w:pStyle w:val="TableText"/>
              <w:widowControl w:val="0"/>
              <w:rPr>
                <w:rFonts w:ascii="Tahoma" w:hAnsi="Tahoma" w:cs="Tahoma"/>
                <w:sz w:val="13"/>
              </w:rPr>
            </w:pPr>
          </w:p>
        </w:tc>
      </w:tr>
      <w:tr w:rsidR="00913A0A" w:rsidRPr="00C83DF5" w:rsidTr="004909D7">
        <w:trPr>
          <w:gridBefore w:val="1"/>
          <w:wBefore w:w="17" w:type="dxa"/>
          <w:trHeight w:val="145"/>
        </w:trPr>
        <w:tc>
          <w:tcPr>
            <w:tcW w:w="2529" w:type="dxa"/>
            <w:tcBorders>
              <w:bottom w:val="single" w:sz="4" w:space="0" w:color="auto"/>
            </w:tcBorders>
            <w:shd w:val="clear" w:color="auto" w:fill="auto"/>
            <w:vAlign w:val="center"/>
          </w:tcPr>
          <w:p w:rsidR="00913A0A" w:rsidRPr="00C83DF5" w:rsidRDefault="00913A0A" w:rsidP="002E5D03">
            <w:pPr>
              <w:pStyle w:val="Heading2"/>
              <w:spacing w:before="20" w:after="20"/>
              <w:ind w:left="0"/>
              <w:rPr>
                <w:rFonts w:ascii="Tahoma" w:hAnsi="Tahoma" w:cs="Tahoma"/>
                <w:b w:val="0"/>
                <w:sz w:val="14"/>
                <w:szCs w:val="14"/>
              </w:rPr>
            </w:pPr>
            <w:bookmarkStart w:id="549" w:name="_Toc336338162"/>
            <w:bookmarkStart w:id="550" w:name="_Toc370983269"/>
            <w:r w:rsidRPr="00C83DF5">
              <w:rPr>
                <w:rFonts w:ascii="Tahoma" w:hAnsi="Tahoma" w:cs="Tahoma"/>
                <w:b w:val="0"/>
                <w:sz w:val="14"/>
                <w:szCs w:val="14"/>
              </w:rPr>
              <w:t>Add-On CAL Suite für Windows Small Business Server 2011 Premium</w:t>
            </w:r>
            <w:bookmarkEnd w:id="549"/>
            <w:bookmarkEnd w:id="550"/>
            <w:r w:rsidRPr="00C83DF5">
              <w:rPr>
                <w:rFonts w:ascii="Tahoma" w:hAnsi="Tahoma" w:cs="Tahoma"/>
                <w:b w:val="0"/>
                <w:sz w:val="14"/>
                <w:szCs w:val="14"/>
              </w:rPr>
              <w:t xml:space="preserve"> </w:t>
            </w:r>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rPr>
                <w:b/>
                <w:sz w:val="13"/>
                <w:szCs w:val="13"/>
                <w:u w:val="single"/>
              </w:rPr>
            </w:pPr>
            <w:hyperlink w:anchor="_124_Windows_Small" w:history="1">
              <w:r w:rsidR="00CF5A3E" w:rsidRPr="00C83DF5">
                <w:rPr>
                  <w:rStyle w:val="Hyperlink"/>
                  <w:b/>
                  <w:sz w:val="13"/>
                  <w:szCs w:val="13"/>
                </w:rPr>
                <w:t>117</w:t>
              </w:r>
            </w:hyperlink>
          </w:p>
        </w:tc>
        <w:tc>
          <w:tcPr>
            <w:tcW w:w="449" w:type="dxa"/>
            <w:tcBorders>
              <w:bottom w:val="single" w:sz="4" w:space="0" w:color="auto"/>
            </w:tcBorders>
            <w:shd w:val="clear" w:color="auto" w:fill="auto"/>
          </w:tcPr>
          <w:p w:rsidR="00913A0A" w:rsidRPr="00C83DF5" w:rsidRDefault="00913A0A">
            <w:pPr>
              <w:pStyle w:val="TableText"/>
              <w:widowControl w:val="0"/>
              <w:spacing w:before="120"/>
              <w:rPr>
                <w:rFonts w:ascii="Tahoma" w:hAnsi="Tahoma" w:cs="Tahoma"/>
                <w:sz w:val="13"/>
              </w:rPr>
            </w:pPr>
            <w:r w:rsidRPr="00C83DF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C83DF5" w:rsidRDefault="00913A0A">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913A0A" w:rsidRPr="00C83DF5"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C83DF5"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C83DF5"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C83DF5" w:rsidRDefault="00913A0A">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auto"/>
            <w:vAlign w:val="center"/>
          </w:tcPr>
          <w:p w:rsidR="00913A0A" w:rsidRPr="00C83DF5" w:rsidRDefault="00913A0A">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tcBorders>
            <w:shd w:val="clear" w:color="auto" w:fill="auto"/>
            <w:vAlign w:val="center"/>
          </w:tcPr>
          <w:p w:rsidR="00913A0A" w:rsidRPr="00C83DF5" w:rsidRDefault="00913A0A">
            <w:pPr>
              <w:pStyle w:val="TableText"/>
              <w:widowControl w:val="0"/>
              <w:rPr>
                <w:rFonts w:ascii="Tahoma" w:hAnsi="Tahoma" w:cs="Tahoma"/>
                <w:sz w:val="13"/>
              </w:rPr>
            </w:pPr>
            <w:r w:rsidRPr="00C83D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C83DF5" w:rsidRDefault="00913A0A">
            <w:pPr>
              <w:pStyle w:val="TableText"/>
              <w:widowControl w:val="0"/>
              <w:rPr>
                <w:rFonts w:ascii="Tahoma" w:hAnsi="Tahoma" w:cs="Tahoma"/>
                <w:sz w:val="13"/>
              </w:rPr>
            </w:pPr>
            <w:r w:rsidRPr="00C83D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C83DF5" w:rsidRDefault="00913A0A">
            <w:pPr>
              <w:pStyle w:val="TableText"/>
              <w:widowControl w:val="0"/>
              <w:rPr>
                <w:rFonts w:ascii="Tahoma" w:hAnsi="Tahoma" w:cs="Tahoma"/>
                <w:sz w:val="13"/>
              </w:rPr>
            </w:pPr>
            <w:r w:rsidRPr="00C83D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C83DF5"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pPr>
              <w:pStyle w:val="TableText"/>
              <w:widowControl w:val="0"/>
              <w:rPr>
                <w:rFonts w:ascii="Tahoma" w:hAnsi="Tahoma" w:cs="Tahoma"/>
                <w:sz w:val="13"/>
              </w:rPr>
            </w:pPr>
            <w:r w:rsidRPr="00C83DF5">
              <w:rPr>
                <w:rFonts w:ascii="Tahoma" w:hAnsi="Tahoma" w:cs="Tahoma"/>
                <w:sz w:val="13"/>
              </w:rPr>
              <w:t>E, P</w:t>
            </w:r>
          </w:p>
        </w:tc>
        <w:tc>
          <w:tcPr>
            <w:tcW w:w="450" w:type="dxa"/>
            <w:tcBorders>
              <w:bottom w:val="single" w:sz="4" w:space="0" w:color="auto"/>
            </w:tcBorders>
            <w:shd w:val="clear" w:color="auto" w:fill="auto"/>
          </w:tcPr>
          <w:p w:rsidR="00913A0A" w:rsidRPr="00C83DF5" w:rsidRDefault="00913A0A">
            <w:pPr>
              <w:pStyle w:val="TableText"/>
              <w:widowControl w:val="0"/>
              <w:rPr>
                <w:rFonts w:ascii="Tahoma" w:hAnsi="Tahoma" w:cs="Tahoma"/>
                <w:sz w:val="13"/>
              </w:rPr>
            </w:pPr>
            <w:r w:rsidRPr="00C83DF5">
              <w:rPr>
                <w:rFonts w:ascii="Tahoma" w:hAnsi="Tahoma" w:cs="Tahoma"/>
                <w:sz w:val="13"/>
              </w:rPr>
              <w:t>A, ST</w:t>
            </w:r>
          </w:p>
        </w:tc>
        <w:tc>
          <w:tcPr>
            <w:tcW w:w="506" w:type="dxa"/>
            <w:tcBorders>
              <w:bottom w:val="single" w:sz="4" w:space="0" w:color="auto"/>
            </w:tcBorders>
            <w:shd w:val="clear" w:color="auto" w:fill="auto"/>
            <w:vAlign w:val="center"/>
          </w:tcPr>
          <w:p w:rsidR="00913A0A" w:rsidRPr="00C83DF5" w:rsidRDefault="00913A0A">
            <w:pPr>
              <w:pStyle w:val="TableText"/>
              <w:widowControl w:val="0"/>
              <w:rPr>
                <w:rFonts w:ascii="Tahoma" w:hAnsi="Tahoma" w:cs="Tahoma"/>
                <w:sz w:val="13"/>
              </w:rPr>
            </w:pPr>
          </w:p>
        </w:tc>
        <w:tc>
          <w:tcPr>
            <w:tcW w:w="484" w:type="dxa"/>
            <w:tcBorders>
              <w:bottom w:val="single" w:sz="4" w:space="0" w:color="auto"/>
            </w:tcBorders>
          </w:tcPr>
          <w:p w:rsidR="00913A0A" w:rsidRPr="00C83DF5" w:rsidRDefault="00913A0A">
            <w:pPr>
              <w:pStyle w:val="TableText"/>
              <w:widowControl w:val="0"/>
              <w:rPr>
                <w:rFonts w:ascii="Tahoma" w:hAnsi="Tahoma" w:cs="Tahoma"/>
                <w:sz w:val="13"/>
              </w:rPr>
            </w:pPr>
          </w:p>
        </w:tc>
      </w:tr>
      <w:tr w:rsidR="008A0F85" w:rsidRPr="00C83DF5" w:rsidTr="004909D7">
        <w:trPr>
          <w:gridBefore w:val="1"/>
          <w:wBefore w:w="17" w:type="dxa"/>
          <w:trHeight w:val="145"/>
        </w:trPr>
        <w:tc>
          <w:tcPr>
            <w:tcW w:w="2529" w:type="dxa"/>
            <w:tcBorders>
              <w:bottom w:val="single" w:sz="4" w:space="0" w:color="auto"/>
            </w:tcBorders>
            <w:shd w:val="clear" w:color="auto" w:fill="FABF8F"/>
            <w:vAlign w:val="center"/>
          </w:tcPr>
          <w:p w:rsidR="00913A0A" w:rsidRPr="00C83DF5" w:rsidRDefault="00913A0A" w:rsidP="002E5D03">
            <w:pPr>
              <w:pStyle w:val="Heading2"/>
              <w:spacing w:before="20" w:after="20"/>
              <w:ind w:left="0"/>
              <w:rPr>
                <w:rFonts w:ascii="Tahoma" w:hAnsi="Tahoma" w:cs="Tahoma"/>
                <w:b w:val="0"/>
                <w:sz w:val="14"/>
                <w:szCs w:val="14"/>
              </w:rPr>
            </w:pPr>
            <w:bookmarkStart w:id="551" w:name="_Toc336338163"/>
            <w:bookmarkStart w:id="552" w:name="_Toc370983270"/>
            <w:r w:rsidRPr="00C83DF5">
              <w:rPr>
                <w:rFonts w:ascii="Tahoma" w:hAnsi="Tahoma" w:cs="Tahoma"/>
                <w:b w:val="0"/>
                <w:sz w:val="14"/>
                <w:szCs w:val="14"/>
              </w:rPr>
              <w:t xml:space="preserve">Add-On CAL Suite für Windows Small Business Server 2011 Premium </w:t>
            </w:r>
            <w:r w:rsidR="00F14E3B">
              <w:rPr>
                <w:rFonts w:ascii="Tahoma" w:hAnsi="Tahoma" w:cs="Tahoma"/>
                <w:b w:val="0"/>
                <w:sz w:val="14"/>
                <w:szCs w:val="14"/>
              </w:rPr>
              <w:br/>
            </w:r>
            <w:r w:rsidRPr="00C83DF5">
              <w:rPr>
                <w:rFonts w:ascii="Tahoma" w:hAnsi="Tahoma" w:cs="Tahoma"/>
                <w:b w:val="0"/>
                <w:sz w:val="14"/>
                <w:szCs w:val="14"/>
              </w:rPr>
              <w:t>(5 Clients)</w:t>
            </w:r>
            <w:bookmarkEnd w:id="551"/>
            <w:bookmarkEnd w:id="552"/>
          </w:p>
        </w:tc>
        <w:tc>
          <w:tcPr>
            <w:tcW w:w="414" w:type="dxa"/>
            <w:tcBorders>
              <w:bottom w:val="single" w:sz="4" w:space="0" w:color="auto"/>
            </w:tcBorders>
            <w:shd w:val="clear" w:color="auto" w:fill="FABF8F"/>
            <w:vAlign w:val="center"/>
          </w:tcPr>
          <w:p w:rsidR="00913A0A" w:rsidRPr="00C83DF5" w:rsidRDefault="005519A5" w:rsidP="0091195E">
            <w:pPr>
              <w:pStyle w:val="TableText"/>
              <w:widowControl w:val="0"/>
              <w:rPr>
                <w:b/>
                <w:sz w:val="13"/>
                <w:szCs w:val="13"/>
                <w:u w:val="single"/>
              </w:rPr>
            </w:pPr>
            <w:hyperlink w:anchor="_124_Windows_Small" w:history="1">
              <w:r w:rsidR="00333AC5" w:rsidRPr="00C83DF5">
                <w:rPr>
                  <w:rStyle w:val="Hyperlink"/>
                  <w:b/>
                  <w:sz w:val="13"/>
                  <w:szCs w:val="13"/>
                </w:rPr>
                <w:t>117</w:t>
              </w:r>
            </w:hyperlink>
          </w:p>
        </w:tc>
        <w:tc>
          <w:tcPr>
            <w:tcW w:w="449" w:type="dxa"/>
            <w:tcBorders>
              <w:bottom w:val="single" w:sz="4" w:space="0" w:color="auto"/>
            </w:tcBorders>
            <w:shd w:val="clear" w:color="auto" w:fill="FABF8F"/>
          </w:tcPr>
          <w:p w:rsidR="00913A0A" w:rsidRPr="00C83DF5" w:rsidRDefault="00913A0A" w:rsidP="00F97D54">
            <w:pPr>
              <w:pStyle w:val="TableText"/>
              <w:widowControl w:val="0"/>
              <w:spacing w:before="120"/>
              <w:rPr>
                <w:rFonts w:ascii="Tahoma" w:hAnsi="Tahoma" w:cs="Tahoma"/>
                <w:sz w:val="13"/>
              </w:rPr>
            </w:pPr>
            <w:r w:rsidRPr="00C83DF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OL/OV</w:t>
            </w:r>
          </w:p>
        </w:tc>
        <w:tc>
          <w:tcPr>
            <w:tcW w:w="484" w:type="dxa"/>
            <w:tcBorders>
              <w:bottom w:val="single" w:sz="4" w:space="0" w:color="auto"/>
            </w:tcBorders>
            <w:shd w:val="clear" w:color="auto" w:fill="FABF8F"/>
          </w:tcPr>
          <w:p w:rsidR="00913A0A" w:rsidRPr="00C83DF5" w:rsidRDefault="00913A0A" w:rsidP="00F97D54">
            <w:pPr>
              <w:pStyle w:val="TableText"/>
              <w:widowControl w:val="0"/>
              <w:rPr>
                <w:rFonts w:ascii="Tahoma" w:hAnsi="Tahoma" w:cs="Tahoma"/>
                <w:sz w:val="13"/>
              </w:rPr>
            </w:pPr>
          </w:p>
        </w:tc>
      </w:tr>
      <w:tr w:rsidR="00913A0A" w:rsidRPr="00C83DF5" w:rsidTr="004909D7">
        <w:trPr>
          <w:gridBefore w:val="1"/>
          <w:wBefore w:w="17" w:type="dxa"/>
          <w:trHeight w:val="440"/>
        </w:trPr>
        <w:tc>
          <w:tcPr>
            <w:tcW w:w="2529" w:type="dxa"/>
            <w:tcBorders>
              <w:bottom w:val="single" w:sz="4" w:space="0" w:color="auto"/>
            </w:tcBorders>
            <w:shd w:val="clear" w:color="auto" w:fill="auto"/>
            <w:vAlign w:val="center"/>
          </w:tcPr>
          <w:p w:rsidR="00913A0A" w:rsidRPr="00C83DF5" w:rsidRDefault="00913A0A" w:rsidP="002E5D03">
            <w:pPr>
              <w:pStyle w:val="Heading2"/>
              <w:spacing w:before="20" w:after="20"/>
              <w:ind w:left="0"/>
              <w:rPr>
                <w:rFonts w:ascii="Tahoma" w:hAnsi="Tahoma" w:cs="Tahoma"/>
                <w:b w:val="0"/>
                <w:sz w:val="14"/>
                <w:szCs w:val="14"/>
              </w:rPr>
            </w:pPr>
            <w:bookmarkStart w:id="553" w:name="_Toc336338164"/>
            <w:bookmarkStart w:id="554" w:name="_Toc370983271"/>
            <w:r w:rsidRPr="00C83DF5">
              <w:rPr>
                <w:rFonts w:ascii="Tahoma" w:hAnsi="Tahoma" w:cs="Tahoma"/>
                <w:b w:val="0"/>
                <w:sz w:val="14"/>
                <w:szCs w:val="14"/>
              </w:rPr>
              <w:t xml:space="preserve">Add-On CAL Suite für Windows Small Business Server 2011 Premium </w:t>
            </w:r>
            <w:r w:rsidR="00F14E3B">
              <w:rPr>
                <w:rFonts w:ascii="Tahoma" w:hAnsi="Tahoma" w:cs="Tahoma"/>
                <w:b w:val="0"/>
                <w:sz w:val="14"/>
                <w:szCs w:val="14"/>
              </w:rPr>
              <w:br/>
            </w:r>
            <w:r w:rsidRPr="00C83DF5">
              <w:rPr>
                <w:rFonts w:ascii="Tahoma" w:hAnsi="Tahoma" w:cs="Tahoma"/>
                <w:b w:val="0"/>
                <w:sz w:val="14"/>
                <w:szCs w:val="14"/>
              </w:rPr>
              <w:t>(20 Clients)</w:t>
            </w:r>
            <w:bookmarkEnd w:id="553"/>
            <w:bookmarkEnd w:id="554"/>
          </w:p>
        </w:tc>
        <w:tc>
          <w:tcPr>
            <w:tcW w:w="414" w:type="dxa"/>
            <w:tcBorders>
              <w:bottom w:val="single" w:sz="4" w:space="0" w:color="auto"/>
            </w:tcBorders>
            <w:shd w:val="clear" w:color="auto" w:fill="auto"/>
            <w:vAlign w:val="center"/>
          </w:tcPr>
          <w:p w:rsidR="00913A0A" w:rsidRPr="00C83DF5" w:rsidRDefault="005519A5" w:rsidP="00FC0808">
            <w:pPr>
              <w:pStyle w:val="TableText"/>
              <w:widowControl w:val="0"/>
              <w:rPr>
                <w:b/>
                <w:sz w:val="13"/>
                <w:szCs w:val="13"/>
                <w:u w:val="single"/>
              </w:rPr>
            </w:pPr>
            <w:hyperlink w:anchor="_124_Windows_Small" w:history="1">
              <w:r w:rsidR="00333AC5" w:rsidRPr="00C83DF5">
                <w:rPr>
                  <w:rStyle w:val="Hyperlink"/>
                  <w:b/>
                  <w:sz w:val="13"/>
                  <w:szCs w:val="13"/>
                </w:rPr>
                <w:t>117</w:t>
              </w:r>
            </w:hyperlink>
          </w:p>
        </w:tc>
        <w:tc>
          <w:tcPr>
            <w:tcW w:w="449" w:type="dxa"/>
            <w:tcBorders>
              <w:bottom w:val="single" w:sz="4" w:space="0" w:color="auto"/>
            </w:tcBorders>
            <w:shd w:val="clear" w:color="auto" w:fill="auto"/>
          </w:tcPr>
          <w:p w:rsidR="00913A0A" w:rsidRPr="00C83DF5" w:rsidRDefault="00913A0A" w:rsidP="00F97D54">
            <w:pPr>
              <w:pStyle w:val="TableText"/>
              <w:widowControl w:val="0"/>
              <w:spacing w:before="120"/>
              <w:rPr>
                <w:rFonts w:ascii="Tahoma" w:hAnsi="Tahoma" w:cs="Tahoma"/>
                <w:sz w:val="13"/>
              </w:rPr>
            </w:pPr>
            <w:r w:rsidRPr="00C83DF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auto"/>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color w:val="000000"/>
                <w:sz w:val="13"/>
              </w:rPr>
              <w:t>OL/OV</w:t>
            </w:r>
          </w:p>
        </w:tc>
        <w:tc>
          <w:tcPr>
            <w:tcW w:w="484" w:type="dxa"/>
            <w:tcBorders>
              <w:bottom w:val="single" w:sz="4" w:space="0" w:color="auto"/>
            </w:tcBorders>
          </w:tcPr>
          <w:p w:rsidR="00913A0A" w:rsidRPr="00C83DF5" w:rsidRDefault="00913A0A" w:rsidP="00F97D54">
            <w:pPr>
              <w:pStyle w:val="TableText"/>
              <w:widowControl w:val="0"/>
              <w:rPr>
                <w:rFonts w:ascii="Tahoma" w:hAnsi="Tahoma" w:cs="Tahoma"/>
                <w:color w:val="000000"/>
                <w:sz w:val="13"/>
              </w:rPr>
            </w:pPr>
          </w:p>
        </w:tc>
      </w:tr>
      <w:tr w:rsidR="008A0F85" w:rsidRPr="00C83DF5" w:rsidTr="004909D7">
        <w:trPr>
          <w:gridBefore w:val="1"/>
          <w:wBefore w:w="17" w:type="dxa"/>
          <w:trHeight w:val="233"/>
        </w:trPr>
        <w:tc>
          <w:tcPr>
            <w:tcW w:w="2529" w:type="dxa"/>
            <w:tcBorders>
              <w:bottom w:val="single" w:sz="4" w:space="0" w:color="auto"/>
            </w:tcBorders>
            <w:shd w:val="clear" w:color="auto" w:fill="FABF8F"/>
            <w:vAlign w:val="center"/>
          </w:tcPr>
          <w:p w:rsidR="00913A0A" w:rsidRPr="00C83DF5" w:rsidRDefault="00913A0A" w:rsidP="002E5D03">
            <w:pPr>
              <w:pStyle w:val="Heading2"/>
              <w:spacing w:before="20" w:after="20"/>
              <w:ind w:left="0"/>
              <w:rPr>
                <w:rFonts w:ascii="Tahoma" w:hAnsi="Tahoma" w:cs="Tahoma"/>
                <w:b w:val="0"/>
                <w:sz w:val="14"/>
                <w:szCs w:val="14"/>
              </w:rPr>
            </w:pPr>
            <w:bookmarkStart w:id="555" w:name="_Toc336338165"/>
            <w:bookmarkStart w:id="556" w:name="_Toc370983272"/>
            <w:r w:rsidRPr="00C83DF5">
              <w:rPr>
                <w:rFonts w:ascii="Tahoma" w:hAnsi="Tahoma" w:cs="Tahoma"/>
                <w:b w:val="0"/>
                <w:sz w:val="14"/>
                <w:szCs w:val="14"/>
              </w:rPr>
              <w:t>Windows Server 2012 R2 Essentials</w:t>
            </w:r>
            <w:bookmarkEnd w:id="555"/>
            <w:bookmarkEnd w:id="556"/>
          </w:p>
        </w:tc>
        <w:tc>
          <w:tcPr>
            <w:tcW w:w="414" w:type="dxa"/>
            <w:tcBorders>
              <w:bottom w:val="single" w:sz="4" w:space="0" w:color="auto"/>
            </w:tcBorders>
            <w:shd w:val="clear" w:color="auto" w:fill="FABF8F"/>
            <w:vAlign w:val="center"/>
          </w:tcPr>
          <w:p w:rsidR="00913A0A" w:rsidRPr="00C83DF5" w:rsidRDefault="00913A0A" w:rsidP="0059600B">
            <w:pPr>
              <w:pStyle w:val="TableText"/>
              <w:widowControl w:val="0"/>
              <w:rPr>
                <w:b/>
                <w:sz w:val="13"/>
                <w:szCs w:val="13"/>
                <w:u w:val="single"/>
              </w:rPr>
            </w:pPr>
          </w:p>
        </w:tc>
        <w:tc>
          <w:tcPr>
            <w:tcW w:w="449" w:type="dxa"/>
            <w:tcBorders>
              <w:bottom w:val="single" w:sz="4" w:space="0" w:color="auto"/>
            </w:tcBorders>
            <w:shd w:val="clear" w:color="auto" w:fill="FABF8F"/>
          </w:tcPr>
          <w:p w:rsidR="00913A0A" w:rsidRPr="00C83DF5" w:rsidRDefault="00913A0A" w:rsidP="00200E1A">
            <w:pPr>
              <w:pStyle w:val="TableText"/>
              <w:widowControl w:val="0"/>
              <w:spacing w:before="120"/>
              <w:rPr>
                <w:rFonts w:ascii="Tahoma" w:hAnsi="Tahoma" w:cs="Tahoma"/>
                <w:sz w:val="13"/>
              </w:rPr>
            </w:pPr>
            <w:r w:rsidRPr="00C83DF5">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00FF"/>
                <w:sz w:val="13"/>
              </w:rPr>
            </w:pPr>
          </w:p>
        </w:tc>
        <w:tc>
          <w:tcPr>
            <w:tcW w:w="455" w:type="dxa"/>
            <w:gridSpan w:val="2"/>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b/>
                <w:color w:val="0000FF"/>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P</w:t>
            </w:r>
          </w:p>
        </w:tc>
        <w:tc>
          <w:tcPr>
            <w:tcW w:w="450" w:type="dxa"/>
            <w:tcBorders>
              <w:bottom w:val="single" w:sz="4" w:space="0" w:color="auto"/>
            </w:tcBorders>
            <w:shd w:val="clear" w:color="auto" w:fill="FABF8F"/>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FABF8F"/>
            <w:vAlign w:val="center"/>
          </w:tcPr>
          <w:p w:rsidR="00913A0A" w:rsidRPr="00C83DF5"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F97D54">
            <w:pPr>
              <w:pStyle w:val="TableText"/>
              <w:widowControl w:val="0"/>
              <w:rPr>
                <w:rFonts w:ascii="Tahoma" w:hAnsi="Tahoma" w:cs="Tahoma"/>
                <w:color w:val="000000"/>
                <w:sz w:val="13"/>
              </w:rPr>
            </w:pPr>
          </w:p>
        </w:tc>
      </w:tr>
      <w:tr w:rsidR="00913A0A" w:rsidRPr="00C83DF5" w:rsidTr="004909D7">
        <w:trPr>
          <w:gridBefore w:val="1"/>
          <w:wBefore w:w="17" w:type="dxa"/>
          <w:trHeight w:val="145"/>
        </w:trPr>
        <w:tc>
          <w:tcPr>
            <w:tcW w:w="2529" w:type="dxa"/>
            <w:shd w:val="clear" w:color="auto" w:fill="auto"/>
            <w:vAlign w:val="center"/>
          </w:tcPr>
          <w:p w:rsidR="00913A0A" w:rsidRPr="00C83DF5" w:rsidRDefault="00913A0A" w:rsidP="002E5D03">
            <w:pPr>
              <w:pStyle w:val="Heading2"/>
              <w:spacing w:before="20" w:after="20"/>
              <w:ind w:left="0"/>
              <w:rPr>
                <w:rFonts w:ascii="Tahoma" w:hAnsi="Tahoma" w:cs="Tahoma"/>
                <w:b w:val="0"/>
                <w:sz w:val="14"/>
                <w:szCs w:val="14"/>
              </w:rPr>
            </w:pPr>
            <w:bookmarkStart w:id="557" w:name="_Toc336338166"/>
            <w:bookmarkStart w:id="558" w:name="_Toc370983273"/>
            <w:r w:rsidRPr="00C83DF5">
              <w:rPr>
                <w:rFonts w:ascii="Tahoma" w:hAnsi="Tahoma" w:cs="Tahoma"/>
                <w:b w:val="0"/>
                <w:sz w:val="14"/>
                <w:szCs w:val="14"/>
              </w:rPr>
              <w:t>Windows Small Business Server 2011 Essentials</w:t>
            </w:r>
            <w:bookmarkEnd w:id="557"/>
            <w:bookmarkEnd w:id="558"/>
          </w:p>
        </w:tc>
        <w:tc>
          <w:tcPr>
            <w:tcW w:w="414" w:type="dxa"/>
            <w:shd w:val="clear" w:color="auto" w:fill="auto"/>
            <w:vAlign w:val="center"/>
          </w:tcPr>
          <w:p w:rsidR="00913A0A" w:rsidRPr="00C83DF5" w:rsidRDefault="005519A5" w:rsidP="00FC0808">
            <w:pPr>
              <w:pStyle w:val="TableText"/>
              <w:widowControl w:val="0"/>
              <w:rPr>
                <w:b/>
                <w:sz w:val="13"/>
                <w:szCs w:val="13"/>
                <w:u w:val="single"/>
              </w:rPr>
            </w:pPr>
            <w:hyperlink w:anchor="_124_Windows_Small_1" w:history="1">
              <w:r w:rsidR="00CF5A3E" w:rsidRPr="00C83DF5">
                <w:rPr>
                  <w:rStyle w:val="Hyperlink"/>
                  <w:b/>
                  <w:sz w:val="13"/>
                  <w:szCs w:val="13"/>
                </w:rPr>
                <w:t>118</w:t>
              </w:r>
            </w:hyperlink>
          </w:p>
        </w:tc>
        <w:tc>
          <w:tcPr>
            <w:tcW w:w="449" w:type="dxa"/>
            <w:shd w:val="clear" w:color="auto" w:fill="auto"/>
          </w:tcPr>
          <w:p w:rsidR="00913A0A" w:rsidRPr="00C83DF5" w:rsidRDefault="00913A0A" w:rsidP="00F97D54">
            <w:pPr>
              <w:pStyle w:val="TableText"/>
              <w:widowControl w:val="0"/>
              <w:spacing w:before="120"/>
              <w:rPr>
                <w:rFonts w:ascii="Tahoma" w:hAnsi="Tahoma" w:cs="Tahoma"/>
                <w:sz w:val="13"/>
              </w:rPr>
            </w:pPr>
            <w:r w:rsidRPr="00C83DF5">
              <w:rPr>
                <w:rFonts w:ascii="Tahoma" w:hAnsi="Tahoma" w:cs="Tahoma"/>
                <w:sz w:val="13"/>
              </w:rPr>
              <w:t>05/11</w:t>
            </w:r>
          </w:p>
        </w:tc>
        <w:tc>
          <w:tcPr>
            <w:tcW w:w="360" w:type="dxa"/>
            <w:tcBorders>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5" w:type="dxa"/>
            <w:gridSpan w:val="2"/>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366" w:type="dxa"/>
            <w:tcBorders>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shd w:val="clear" w:color="auto" w:fill="auto"/>
          </w:tcPr>
          <w:p w:rsidR="00913A0A" w:rsidRPr="00C83DF5" w:rsidRDefault="00913A0A" w:rsidP="00E27A85">
            <w:pPr>
              <w:pStyle w:val="TableText"/>
              <w:widowControl w:val="0"/>
              <w:spacing w:before="60"/>
              <w:rPr>
                <w:rFonts w:ascii="Tahoma" w:hAnsi="Tahoma" w:cs="Tahoma"/>
                <w:sz w:val="13"/>
              </w:rPr>
            </w:pPr>
          </w:p>
        </w:tc>
        <w:tc>
          <w:tcPr>
            <w:tcW w:w="506" w:type="dxa"/>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84" w:type="dxa"/>
          </w:tcPr>
          <w:p w:rsidR="00913A0A" w:rsidRPr="00C83DF5" w:rsidRDefault="00913A0A" w:rsidP="00F97D54">
            <w:pPr>
              <w:pStyle w:val="TableText"/>
              <w:widowControl w:val="0"/>
              <w:rPr>
                <w:rFonts w:ascii="Tahoma" w:hAnsi="Tahoma" w:cs="Tahoma"/>
                <w:color w:val="000000"/>
                <w:sz w:val="13"/>
              </w:rPr>
            </w:pPr>
          </w:p>
        </w:tc>
      </w:tr>
      <w:tr w:rsidR="008A0F85" w:rsidRPr="00C83DF5" w:rsidTr="004909D7">
        <w:trPr>
          <w:gridBefore w:val="1"/>
          <w:wBefore w:w="17" w:type="dxa"/>
          <w:trHeight w:val="278"/>
        </w:trPr>
        <w:tc>
          <w:tcPr>
            <w:tcW w:w="2529" w:type="dxa"/>
            <w:tcBorders>
              <w:bottom w:val="single" w:sz="4" w:space="0" w:color="auto"/>
            </w:tcBorders>
            <w:shd w:val="clear" w:color="auto" w:fill="FABF8F"/>
            <w:vAlign w:val="center"/>
          </w:tcPr>
          <w:p w:rsidR="00913A0A" w:rsidRPr="00C83DF5" w:rsidRDefault="00913A0A" w:rsidP="00E13599">
            <w:pPr>
              <w:pStyle w:val="Heading2"/>
              <w:keepNext/>
              <w:spacing w:before="20" w:after="20"/>
              <w:ind w:left="0"/>
              <w:rPr>
                <w:rFonts w:ascii="Tahoma" w:hAnsi="Tahoma" w:cs="Tahoma"/>
                <w:b w:val="0"/>
                <w:sz w:val="14"/>
                <w:szCs w:val="14"/>
              </w:rPr>
            </w:pPr>
            <w:bookmarkStart w:id="559" w:name="_Toc370983274"/>
            <w:r w:rsidRPr="00C83DF5">
              <w:rPr>
                <w:rFonts w:ascii="Tahoma" w:hAnsi="Tahoma" w:cs="Tahoma"/>
                <w:b w:val="0"/>
                <w:sz w:val="14"/>
                <w:szCs w:val="14"/>
              </w:rPr>
              <w:t>Windows Web Server 2008 R2</w:t>
            </w:r>
            <w:bookmarkEnd w:id="559"/>
          </w:p>
        </w:tc>
        <w:tc>
          <w:tcPr>
            <w:tcW w:w="414" w:type="dxa"/>
            <w:tcBorders>
              <w:bottom w:val="single" w:sz="4" w:space="0" w:color="auto"/>
            </w:tcBorders>
            <w:shd w:val="clear" w:color="auto" w:fill="FABF8F"/>
            <w:vAlign w:val="center"/>
          </w:tcPr>
          <w:p w:rsidR="00913A0A" w:rsidRPr="00C83DF5" w:rsidRDefault="005519A5" w:rsidP="00FC0808">
            <w:pPr>
              <w:pStyle w:val="TableText"/>
              <w:keepNext/>
              <w:widowControl w:val="0"/>
              <w:rPr>
                <w:rStyle w:val="EndnoteReference"/>
                <w:b w:val="0"/>
                <w:sz w:val="13"/>
                <w:szCs w:val="13"/>
                <w:u w:val="single"/>
              </w:rPr>
            </w:pPr>
            <w:hyperlink w:anchor="_119_Windows_Web_1" w:history="1">
              <w:hyperlink w:anchor="_114_Windows_Small" w:history="1">
                <w:r w:rsidR="00CF5A3E" w:rsidRPr="00F14E3B">
                  <w:rPr>
                    <w:rStyle w:val="Hyperlink"/>
                    <w:b/>
                    <w:sz w:val="13"/>
                    <w:szCs w:val="13"/>
                  </w:rPr>
                  <w:t>11</w:t>
                </w:r>
              </w:hyperlink>
              <w:r w:rsidR="00CF5A3E" w:rsidRPr="00F14E3B">
                <w:rPr>
                  <w:rStyle w:val="Hyperlink"/>
                  <w:b/>
                  <w:sz w:val="13"/>
                  <w:szCs w:val="13"/>
                </w:rPr>
                <w:t>9</w:t>
              </w:r>
            </w:hyperlink>
          </w:p>
        </w:tc>
        <w:tc>
          <w:tcPr>
            <w:tcW w:w="449" w:type="dxa"/>
            <w:tcBorders>
              <w:bottom w:val="single" w:sz="4" w:space="0" w:color="auto"/>
            </w:tcBorders>
            <w:shd w:val="clear" w:color="auto" w:fill="FABF8F"/>
            <w:vAlign w:val="center"/>
          </w:tcPr>
          <w:p w:rsidR="00913A0A" w:rsidRPr="00C83DF5" w:rsidRDefault="00913A0A" w:rsidP="00E13599">
            <w:pPr>
              <w:pStyle w:val="TableText"/>
              <w:keepNext/>
              <w:widowControl w:val="0"/>
              <w:spacing w:before="120"/>
              <w:rPr>
                <w:rFonts w:ascii="Tahoma" w:hAnsi="Tahoma" w:cs="Tahoma"/>
                <w:color w:val="000000"/>
                <w:sz w:val="13"/>
              </w:rPr>
            </w:pPr>
            <w:r w:rsidRPr="00C83DF5">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C83DF5" w:rsidRDefault="00913A0A" w:rsidP="00E13599">
            <w:pPr>
              <w:pStyle w:val="TableText"/>
              <w:keepNext/>
              <w:widowControl w:val="0"/>
              <w:rPr>
                <w:rFonts w:ascii="Tahoma" w:hAnsi="Tahoma" w:cs="Tahoma"/>
                <w:color w:val="000000"/>
                <w:sz w:val="13"/>
              </w:rPr>
            </w:pPr>
            <w:r w:rsidRPr="00C83DF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5" w:type="dxa"/>
            <w:gridSpan w:val="2"/>
            <w:tcBorders>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366" w:type="dxa"/>
            <w:tcBorders>
              <w:bottom w:val="single" w:sz="4" w:space="0" w:color="auto"/>
              <w:right w:val="single" w:sz="18"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C83DF5"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C83DF5"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C83DF5" w:rsidRDefault="00913A0A" w:rsidP="00E13599">
            <w:pPr>
              <w:pStyle w:val="TableText"/>
              <w:keepNext/>
              <w:widowControl w:val="0"/>
              <w:rPr>
                <w:rFonts w:ascii="Tahoma" w:hAnsi="Tahoma" w:cs="Tahoma"/>
                <w:color w:val="000000"/>
                <w:sz w:val="13"/>
              </w:rPr>
            </w:pPr>
          </w:p>
        </w:tc>
      </w:tr>
      <w:tr w:rsidR="00913A0A" w:rsidRPr="00C83DF5" w:rsidTr="004909D7">
        <w:trPr>
          <w:gridBefore w:val="1"/>
          <w:wBefore w:w="17" w:type="dxa"/>
          <w:trHeight w:val="145"/>
        </w:trPr>
        <w:tc>
          <w:tcPr>
            <w:tcW w:w="2529" w:type="dxa"/>
            <w:tcBorders>
              <w:bottom w:val="single" w:sz="4" w:space="0" w:color="auto"/>
            </w:tcBorders>
            <w:shd w:val="clear" w:color="auto" w:fill="auto"/>
            <w:vAlign w:val="center"/>
          </w:tcPr>
          <w:p w:rsidR="00913A0A" w:rsidRPr="00C83DF5" w:rsidRDefault="00913A0A" w:rsidP="002E5D03">
            <w:pPr>
              <w:pStyle w:val="Heading2"/>
              <w:spacing w:before="20" w:after="20"/>
              <w:ind w:left="0"/>
              <w:rPr>
                <w:rFonts w:ascii="Tahoma" w:hAnsi="Tahoma" w:cs="Tahoma"/>
                <w:b w:val="0"/>
                <w:sz w:val="14"/>
                <w:szCs w:val="14"/>
              </w:rPr>
            </w:pPr>
            <w:bookmarkStart w:id="560" w:name="_Toc370983275"/>
            <w:r w:rsidRPr="00C83DF5">
              <w:rPr>
                <w:rFonts w:ascii="Tahoma" w:hAnsi="Tahoma" w:cs="Tahoma"/>
                <w:b w:val="0"/>
                <w:sz w:val="14"/>
                <w:szCs w:val="14"/>
              </w:rPr>
              <w:t>Yammer Enterprise</w:t>
            </w:r>
            <w:bookmarkEnd w:id="560"/>
          </w:p>
        </w:tc>
        <w:tc>
          <w:tcPr>
            <w:tcW w:w="414" w:type="dxa"/>
            <w:tcBorders>
              <w:bottom w:val="single" w:sz="4" w:space="0" w:color="auto"/>
            </w:tcBorders>
            <w:shd w:val="clear" w:color="auto" w:fill="auto"/>
            <w:vAlign w:val="center"/>
          </w:tcPr>
          <w:p w:rsidR="00913A0A" w:rsidRPr="00C83DF5" w:rsidRDefault="00913A0A" w:rsidP="00370049">
            <w:pPr>
              <w:pStyle w:val="TableText"/>
              <w:widowControl w:val="0"/>
              <w:rPr>
                <w:b/>
                <w:sz w:val="13"/>
                <w:szCs w:val="13"/>
              </w:rPr>
            </w:pPr>
          </w:p>
        </w:tc>
        <w:tc>
          <w:tcPr>
            <w:tcW w:w="449" w:type="dxa"/>
            <w:tcBorders>
              <w:bottom w:val="single" w:sz="4" w:space="0" w:color="auto"/>
            </w:tcBorders>
            <w:shd w:val="clear" w:color="auto" w:fill="auto"/>
          </w:tcPr>
          <w:p w:rsidR="00913A0A" w:rsidRPr="00C83DF5" w:rsidRDefault="00913A0A" w:rsidP="00F97D54">
            <w:pPr>
              <w:pStyle w:val="TableText"/>
              <w:widowControl w:val="0"/>
              <w:spacing w:before="120"/>
              <w:rPr>
                <w:rFonts w:ascii="Tahoma" w:hAnsi="Tahoma" w:cs="Tahoma"/>
                <w:sz w:val="13"/>
              </w:rPr>
            </w:pPr>
            <w:r w:rsidRPr="00C83DF5">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r w:rsidRPr="00C83DF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5" w:type="dxa"/>
            <w:gridSpan w:val="2"/>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366" w:type="dxa"/>
            <w:tcBorders>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C83DF5"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C83DF5" w:rsidRDefault="00913A0A" w:rsidP="00E27A85">
            <w:pPr>
              <w:pStyle w:val="TableText"/>
              <w:widowControl w:val="0"/>
              <w:spacing w:before="60"/>
              <w:rPr>
                <w:rFonts w:ascii="Tahoma" w:hAnsi="Tahoma" w:cs="Tahoma"/>
                <w:sz w:val="13"/>
              </w:rPr>
            </w:pPr>
            <w:r w:rsidRPr="00C83DF5">
              <w:rPr>
                <w:rFonts w:ascii="Tahoma" w:hAnsi="Tahoma" w:cs="Tahoma"/>
                <w:sz w:val="13"/>
              </w:rPr>
              <w:t>A</w:t>
            </w:r>
          </w:p>
        </w:tc>
        <w:tc>
          <w:tcPr>
            <w:tcW w:w="506" w:type="dxa"/>
            <w:tcBorders>
              <w:bottom w:val="single" w:sz="4" w:space="0" w:color="auto"/>
            </w:tcBorders>
            <w:shd w:val="clear" w:color="auto" w:fill="auto"/>
            <w:vAlign w:val="center"/>
          </w:tcPr>
          <w:p w:rsidR="00913A0A" w:rsidRPr="00C83DF5" w:rsidRDefault="00913A0A" w:rsidP="00F97D54">
            <w:pPr>
              <w:pStyle w:val="TableText"/>
              <w:widowControl w:val="0"/>
              <w:rPr>
                <w:rFonts w:ascii="Tahoma" w:hAnsi="Tahoma" w:cs="Tahoma"/>
                <w:color w:val="000000"/>
                <w:sz w:val="13"/>
              </w:rPr>
            </w:pPr>
          </w:p>
        </w:tc>
        <w:tc>
          <w:tcPr>
            <w:tcW w:w="484" w:type="dxa"/>
            <w:tcBorders>
              <w:bottom w:val="single" w:sz="4" w:space="0" w:color="auto"/>
            </w:tcBorders>
          </w:tcPr>
          <w:p w:rsidR="00913A0A" w:rsidRPr="00C83DF5" w:rsidRDefault="00913A0A" w:rsidP="00F97D54">
            <w:pPr>
              <w:pStyle w:val="TableText"/>
              <w:widowControl w:val="0"/>
              <w:rPr>
                <w:rFonts w:ascii="Tahoma" w:hAnsi="Tahoma" w:cs="Tahoma"/>
                <w:color w:val="000000"/>
                <w:sz w:val="13"/>
              </w:rPr>
            </w:pPr>
          </w:p>
        </w:tc>
      </w:tr>
    </w:tbl>
    <w:p w:rsidR="00612FCC" w:rsidRPr="00C83DF5" w:rsidRDefault="00B525B3" w:rsidP="00652B91">
      <w:bookmarkStart w:id="561" w:name="_Toc349586123"/>
      <w:bookmarkStart w:id="562" w:name="_Toc349586654"/>
      <w:bookmarkStart w:id="563" w:name="_Toc354459730"/>
      <w:bookmarkStart w:id="564" w:name="_Toc336338167"/>
      <w:r>
        <w:rPr>
          <w:noProof/>
          <w:sz w:val="14"/>
        </w:rPr>
        <mc:AlternateContent>
          <mc:Choice Requires="wps">
            <w:drawing>
              <wp:anchor distT="0" distB="0" distL="114300" distR="114300" simplePos="0" relativeHeight="251654656" behindDoc="0" locked="0" layoutInCell="1" allowOverlap="1" wp14:anchorId="009619E6" wp14:editId="196C36D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B91" w:rsidRPr="00E71F46" w:rsidRDefault="00973B91" w:rsidP="00C8780F">
                            <w:pPr>
                              <w:rPr>
                                <w:rFonts w:cs="Tahoma"/>
                                <w:i/>
                                <w:color w:val="000000"/>
                                <w:sz w:val="14"/>
                                <w:szCs w:val="14"/>
                                <w:lang w:val="de-DE"/>
                              </w:rPr>
                            </w:pPr>
                            <w:r w:rsidRPr="00E71F46">
                              <w:rPr>
                                <w:rFonts w:cs="Tahoma"/>
                                <w:i/>
                                <w:color w:val="000000"/>
                                <w:sz w:val="14"/>
                                <w:szCs w:val="14"/>
                                <w:lang w:val="de-DE"/>
                              </w:rPr>
                              <w:t>Anmerkung: Wenn die Zelle für das Produkt leer ist, wird das Produkt derzeit nicht im Rahmen des Programms angeboten.</w:t>
                            </w:r>
                          </w:p>
                          <w:p w:rsidR="00973B91" w:rsidRPr="00E71F46" w:rsidRDefault="00973B91" w:rsidP="00C8780F">
                            <w:pPr>
                              <w:rPr>
                                <w:rFonts w:cs="Tahoma"/>
                                <w:i/>
                                <w:color w:val="000000"/>
                                <w:sz w:val="14"/>
                                <w:szCs w:val="14"/>
                                <w:lang w:val="de-DE"/>
                              </w:rPr>
                            </w:pPr>
                            <w:r w:rsidRPr="00E71F46">
                              <w:rPr>
                                <w:rFonts w:cs="Tahoma"/>
                                <w:i/>
                                <w:color w:val="000000"/>
                                <w:sz w:val="14"/>
                                <w:szCs w:val="14"/>
                                <w:lang w:val="de-DE"/>
                              </w:rPr>
                              <w:t>*Bei Select Plus werden nur die Werte „L“ und die Dreijahreswerte für „L&amp;SA“/„SA“ verwendet.</w:t>
                            </w:r>
                          </w:p>
                          <w:p w:rsidR="00973B91" w:rsidRPr="00E71F46" w:rsidRDefault="00973B91"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9619E6" id="Text Box 59" o:spid="_x0000_s1029" type="#_x0000_t202" style="position:absolute;margin-left:-26.1pt;margin-top:9.25pt;width:515.55pt;height:39.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973B91" w:rsidRPr="00E71F46" w:rsidRDefault="00973B91" w:rsidP="00C8780F">
                      <w:pPr>
                        <w:rPr>
                          <w:rFonts w:cs="Tahoma"/>
                          <w:i/>
                          <w:color w:val="000000"/>
                          <w:sz w:val="14"/>
                          <w:szCs w:val="14"/>
                          <w:lang w:val="de-DE"/>
                        </w:rPr>
                      </w:pPr>
                      <w:r w:rsidRPr="00E71F46">
                        <w:rPr>
                          <w:rFonts w:cs="Tahoma"/>
                          <w:i/>
                          <w:color w:val="000000"/>
                          <w:sz w:val="14"/>
                          <w:szCs w:val="14"/>
                          <w:lang w:val="de-DE"/>
                        </w:rPr>
                        <w:t>Anmerkung: Wenn die Zelle für das Produkt leer ist, wird das Produkt derzeit nicht im Rahmen des Programms angeboten.</w:t>
                      </w:r>
                    </w:p>
                    <w:p w:rsidR="00973B91" w:rsidRPr="00E71F46" w:rsidRDefault="00973B91" w:rsidP="00C8780F">
                      <w:pPr>
                        <w:rPr>
                          <w:rFonts w:cs="Tahoma"/>
                          <w:i/>
                          <w:color w:val="000000"/>
                          <w:sz w:val="14"/>
                          <w:szCs w:val="14"/>
                          <w:lang w:val="de-DE"/>
                        </w:rPr>
                      </w:pPr>
                      <w:r w:rsidRPr="00E71F46">
                        <w:rPr>
                          <w:rFonts w:cs="Tahoma"/>
                          <w:i/>
                          <w:color w:val="000000"/>
                          <w:sz w:val="14"/>
                          <w:szCs w:val="14"/>
                          <w:lang w:val="de-DE"/>
                        </w:rPr>
                        <w:t>*Bei Select Plus werden nur die Werte „L“ und die Dreijahreswerte für „L&amp;SA“/„SA“ verwendet.</w:t>
                      </w:r>
                    </w:p>
                    <w:p w:rsidR="00973B91" w:rsidRPr="00E71F46" w:rsidRDefault="00973B91" w:rsidP="00C8780F">
                      <w:pPr>
                        <w:rPr>
                          <w:lang w:val="de-DE"/>
                        </w:rPr>
                      </w:pPr>
                    </w:p>
                  </w:txbxContent>
                </v:textbox>
                <w10:wrap type="topAndBottom"/>
              </v:shape>
            </w:pict>
          </mc:Fallback>
        </mc:AlternateContent>
      </w:r>
      <w:bookmarkEnd w:id="561"/>
      <w:bookmarkEnd w:id="562"/>
      <w:bookmarkEnd w:id="563"/>
      <w:r w:rsidR="00CF5A3E" w:rsidRPr="00C83DF5">
        <w:br w:type="page"/>
      </w:r>
    </w:p>
    <w:p w:rsidR="00023FE7" w:rsidRPr="00F037D5" w:rsidRDefault="00A33112" w:rsidP="006A7812">
      <w:pPr>
        <w:pStyle w:val="Heading1"/>
        <w:rPr>
          <w:lang w:val="de-DE"/>
        </w:rPr>
      </w:pPr>
      <w:bookmarkStart w:id="565" w:name="_Toc349586124"/>
      <w:bookmarkStart w:id="566" w:name="_Toc370983276"/>
      <w:r w:rsidRPr="00F037D5">
        <w:rPr>
          <w:lang w:val="de-DE"/>
        </w:rPr>
        <w:lastRenderedPageBreak/>
        <w:t>ABSCHNITT 1 – ÄNDERUNGEN AN DER PRODUKTLISTE WÄHREND DER</w:t>
      </w:r>
      <w:bookmarkEnd w:id="565"/>
      <w:r w:rsidRPr="00F037D5">
        <w:rPr>
          <w:lang w:val="de-DE"/>
        </w:rPr>
        <w:t xml:space="preserve"> LETZTEN 12</w:t>
      </w:r>
      <w:r w:rsidR="006A7812">
        <w:rPr>
          <w:lang w:val="de-DE"/>
        </w:rPr>
        <w:t> </w:t>
      </w:r>
      <w:r w:rsidRPr="00F037D5">
        <w:rPr>
          <w:lang w:val="de-DE"/>
        </w:rPr>
        <w:t>MONATE</w:t>
      </w:r>
      <w:bookmarkEnd w:id="564"/>
      <w:bookmarkEnd w:id="566"/>
    </w:p>
    <w:p w:rsidR="009252D9" w:rsidRPr="00F037D5" w:rsidRDefault="009252D9" w:rsidP="009252D9">
      <w:pPr>
        <w:pStyle w:val="Heading2"/>
        <w:ind w:left="0"/>
        <w:jc w:val="both"/>
        <w:rPr>
          <w:rFonts w:ascii="Tahoma" w:hAnsi="Tahoma" w:cs="Tahoma"/>
          <w:color w:val="FF6600"/>
          <w:lang w:val="de-DE"/>
        </w:rPr>
      </w:pPr>
      <w:bookmarkStart w:id="567" w:name="_Toc336338168"/>
    </w:p>
    <w:p w:rsidR="009252D9" w:rsidRPr="00F037D5" w:rsidRDefault="009252D9" w:rsidP="009252D9">
      <w:pPr>
        <w:pStyle w:val="Heading2"/>
        <w:ind w:left="0"/>
        <w:jc w:val="both"/>
        <w:rPr>
          <w:rFonts w:ascii="Tahoma" w:hAnsi="Tahoma" w:cs="Tahoma"/>
          <w:color w:val="FF6600"/>
          <w:lang w:val="de-DE"/>
        </w:rPr>
      </w:pPr>
      <w:bookmarkStart w:id="568" w:name="_Toc370983277"/>
      <w:r w:rsidRPr="00F037D5">
        <w:rPr>
          <w:rFonts w:ascii="Tahoma" w:hAnsi="Tahoma" w:cs="Tahoma"/>
          <w:color w:val="FF6600"/>
          <w:lang w:val="de-DE"/>
        </w:rPr>
        <w:t>ÄNDERUNGEN IM NOVEMBER 2013</w:t>
      </w:r>
      <w:bookmarkEnd w:id="568"/>
    </w:p>
    <w:p w:rsidR="009252D9" w:rsidRPr="00F037D5" w:rsidRDefault="009252D9" w:rsidP="009252D9">
      <w:pPr>
        <w:spacing w:after="60"/>
        <w:rPr>
          <w:b/>
          <w:lang w:val="de-DE"/>
        </w:rPr>
      </w:pPr>
    </w:p>
    <w:p w:rsidR="009252D9" w:rsidRPr="00F037D5" w:rsidRDefault="009252D9" w:rsidP="009252D9">
      <w:pPr>
        <w:spacing w:after="60"/>
        <w:rPr>
          <w:b/>
          <w:lang w:val="de-DE"/>
        </w:rPr>
      </w:pPr>
      <w:r w:rsidRPr="00F037D5">
        <w:rPr>
          <w:b/>
          <w:lang w:val="de-DE"/>
        </w:rPr>
        <w:t>Hinzufügungen</w:t>
      </w:r>
    </w:p>
    <w:p w:rsidR="00756566" w:rsidRPr="00C83DF5" w:rsidRDefault="00756566" w:rsidP="000347DA">
      <w:pPr>
        <w:rPr>
          <w:lang w:val="de-DE"/>
        </w:rPr>
      </w:pPr>
      <w:r w:rsidRPr="00C83DF5">
        <w:rPr>
          <w:lang w:val="de-DE"/>
        </w:rPr>
        <w:t>Windows Server™ 2012 R2 Datacenter</w:t>
      </w:r>
    </w:p>
    <w:p w:rsidR="00756566" w:rsidRPr="00C83DF5" w:rsidRDefault="00756566" w:rsidP="000347DA">
      <w:r w:rsidRPr="00C83DF5">
        <w:t>Windows Server™ 2012 R2 Standard</w:t>
      </w:r>
    </w:p>
    <w:p w:rsidR="00756566" w:rsidRPr="00C83DF5" w:rsidRDefault="00756566" w:rsidP="000347DA">
      <w:r w:rsidRPr="00C83DF5">
        <w:t>Windows Server Essentials 2012 R2</w:t>
      </w:r>
    </w:p>
    <w:p w:rsidR="00756566" w:rsidRPr="00C83DF5" w:rsidRDefault="00756566" w:rsidP="000347DA">
      <w:r w:rsidRPr="00C83DF5">
        <w:t>Windows</w:t>
      </w:r>
      <w:r w:rsidRPr="00C83DF5">
        <w:rPr>
          <w:vertAlign w:val="superscript"/>
        </w:rPr>
        <w:t>®</w:t>
      </w:r>
      <w:r w:rsidRPr="00C83DF5">
        <w:t xml:space="preserve"> Embedded 8.1 Industry Pro</w:t>
      </w:r>
    </w:p>
    <w:p w:rsidR="00756566" w:rsidRPr="00C83DF5" w:rsidRDefault="00756566" w:rsidP="000347DA">
      <w:r w:rsidRPr="00C83DF5">
        <w:t>Windows</w:t>
      </w:r>
      <w:r w:rsidRPr="00C83DF5">
        <w:rPr>
          <w:vertAlign w:val="superscript"/>
        </w:rPr>
        <w:t>®</w:t>
      </w:r>
      <w:r w:rsidRPr="00C83DF5">
        <w:t xml:space="preserve"> Embedded 8.1 Industry Pro Sideloading</w:t>
      </w:r>
    </w:p>
    <w:p w:rsidR="00756566" w:rsidRPr="00C83DF5" w:rsidRDefault="00756566" w:rsidP="000347DA">
      <w:r w:rsidRPr="00C83DF5">
        <w:t>Visual Studio</w:t>
      </w:r>
      <w:r w:rsidRPr="00C83DF5">
        <w:rPr>
          <w:vertAlign w:val="superscript"/>
        </w:rPr>
        <w:t>®</w:t>
      </w:r>
      <w:r w:rsidRPr="00C83DF5">
        <w:t xml:space="preserve"> Professional 2013</w:t>
      </w:r>
    </w:p>
    <w:p w:rsidR="00756566" w:rsidRPr="00C83DF5" w:rsidRDefault="00756566" w:rsidP="000347DA">
      <w:r w:rsidRPr="00C83DF5">
        <w:t>Visual Studio</w:t>
      </w:r>
      <w:r w:rsidRPr="00C83DF5">
        <w:rPr>
          <w:vertAlign w:val="superscript"/>
        </w:rPr>
        <w:t>®</w:t>
      </w:r>
      <w:r w:rsidRPr="00C83DF5">
        <w:t xml:space="preserve"> Professional 2013 mit MSDN </w:t>
      </w:r>
    </w:p>
    <w:p w:rsidR="00756566" w:rsidRPr="00C83DF5" w:rsidRDefault="00756566" w:rsidP="000347DA">
      <w:r w:rsidRPr="00C83DF5">
        <w:t>Visual Studio</w:t>
      </w:r>
      <w:r w:rsidRPr="00C83DF5">
        <w:rPr>
          <w:vertAlign w:val="superscript"/>
        </w:rPr>
        <w:t>®</w:t>
      </w:r>
      <w:r w:rsidRPr="00C83DF5">
        <w:t xml:space="preserve"> Premium 2013 mit MSDN</w:t>
      </w:r>
    </w:p>
    <w:p w:rsidR="00756566" w:rsidRPr="00C83DF5" w:rsidRDefault="00756566" w:rsidP="000347DA">
      <w:r w:rsidRPr="00C83DF5">
        <w:t>Visual Studio</w:t>
      </w:r>
      <w:r w:rsidRPr="00C83DF5">
        <w:rPr>
          <w:vertAlign w:val="superscript"/>
        </w:rPr>
        <w:t>®</w:t>
      </w:r>
      <w:r w:rsidRPr="00C83DF5">
        <w:t xml:space="preserve"> Ultimate 2013 mit MSDN</w:t>
      </w:r>
    </w:p>
    <w:p w:rsidR="00756566" w:rsidRPr="00C83DF5" w:rsidRDefault="00756566" w:rsidP="000347DA">
      <w:r w:rsidRPr="00C83DF5">
        <w:t>Visual Studio</w:t>
      </w:r>
      <w:r w:rsidRPr="00C83DF5">
        <w:rPr>
          <w:vertAlign w:val="superscript"/>
        </w:rPr>
        <w:t>®</w:t>
      </w:r>
      <w:r w:rsidRPr="00C83DF5">
        <w:t xml:space="preserve"> Test Professional 2013 mit MSDN</w:t>
      </w:r>
    </w:p>
    <w:p w:rsidR="00756566" w:rsidRPr="00C83DF5" w:rsidRDefault="00756566" w:rsidP="000347DA">
      <w:r w:rsidRPr="00C83DF5">
        <w:t>Visual Studio</w:t>
      </w:r>
      <w:r w:rsidRPr="00C83DF5">
        <w:rPr>
          <w:vertAlign w:val="superscript"/>
        </w:rPr>
        <w:t>®</w:t>
      </w:r>
      <w:r w:rsidRPr="00C83DF5">
        <w:t xml:space="preserve"> Team Foundation Server 2013 mit SQL Server 2012-Technologie</w:t>
      </w:r>
    </w:p>
    <w:p w:rsidR="00756566" w:rsidRPr="00C83DF5" w:rsidRDefault="00756566" w:rsidP="000347DA">
      <w:r w:rsidRPr="00C83DF5">
        <w:t>Geräte-CAL für Visual Studio</w:t>
      </w:r>
      <w:r w:rsidRPr="00C83DF5">
        <w:rPr>
          <w:vertAlign w:val="superscript"/>
        </w:rPr>
        <w:t>®</w:t>
      </w:r>
      <w:r w:rsidRPr="00C83DF5">
        <w:t xml:space="preserve"> Team Foundation Server 2013</w:t>
      </w:r>
    </w:p>
    <w:p w:rsidR="00756566" w:rsidRPr="00C83DF5" w:rsidRDefault="00756566" w:rsidP="000347DA">
      <w:r w:rsidRPr="00C83DF5">
        <w:t>Nutzer-CAL für Visual Studio</w:t>
      </w:r>
      <w:r w:rsidRPr="00C83DF5">
        <w:rPr>
          <w:vertAlign w:val="superscript"/>
        </w:rPr>
        <w:t>®</w:t>
      </w:r>
      <w:r w:rsidRPr="00C83DF5">
        <w:t xml:space="preserve"> Team Foundation Server 2013</w:t>
      </w:r>
    </w:p>
    <w:p w:rsidR="00756566" w:rsidRPr="00C83DF5" w:rsidRDefault="00756566" w:rsidP="000347DA">
      <w:r w:rsidRPr="00C83DF5">
        <w:t>Windows 8.1 Enterprise Sideloading (100 Pack)</w:t>
      </w:r>
    </w:p>
    <w:p w:rsidR="00756566" w:rsidRPr="00C83DF5" w:rsidRDefault="00756566" w:rsidP="000347DA">
      <w:r w:rsidRPr="00C83DF5">
        <w:t>Windows</w:t>
      </w:r>
      <w:r w:rsidRPr="00C83DF5">
        <w:rPr>
          <w:vertAlign w:val="superscript"/>
        </w:rPr>
        <w:t>®</w:t>
      </w:r>
      <w:r w:rsidRPr="00C83DF5">
        <w:t xml:space="preserve"> 8.1 Pro </w:t>
      </w:r>
    </w:p>
    <w:p w:rsidR="00756566" w:rsidRPr="00C83DF5" w:rsidRDefault="00756566" w:rsidP="000347DA">
      <w:pPr>
        <w:rPr>
          <w:lang w:val="de-DE"/>
        </w:rPr>
      </w:pPr>
      <w:r w:rsidRPr="00C83DF5">
        <w:rPr>
          <w:lang w:val="de-DE"/>
        </w:rPr>
        <w:t>Windows</w:t>
      </w:r>
      <w:r w:rsidRPr="00C83DF5">
        <w:rPr>
          <w:vertAlign w:val="superscript"/>
          <w:lang w:val="de-DE"/>
        </w:rPr>
        <w:t>®</w:t>
      </w:r>
      <w:r w:rsidRPr="00C83DF5">
        <w:rPr>
          <w:lang w:val="de-DE"/>
        </w:rPr>
        <w:t xml:space="preserve"> 8.1 Pro mit MDOP </w:t>
      </w:r>
    </w:p>
    <w:p w:rsidR="00756566" w:rsidRPr="00C83DF5" w:rsidRDefault="00756566" w:rsidP="000347DA">
      <w:pPr>
        <w:rPr>
          <w:lang w:val="de-DE"/>
        </w:rPr>
      </w:pPr>
      <w:r w:rsidRPr="00C83DF5">
        <w:rPr>
          <w:lang w:val="de-DE"/>
        </w:rPr>
        <w:t>Windows Azure Active Directory-Rechteverwaltung für Forschung &amp; Lehre (Nutzer-AL)</w:t>
      </w:r>
    </w:p>
    <w:p w:rsidR="00756566" w:rsidRPr="00C83DF5" w:rsidRDefault="00756566" w:rsidP="000347DA">
      <w:pPr>
        <w:rPr>
          <w:lang w:val="de-DE"/>
        </w:rPr>
      </w:pPr>
      <w:r w:rsidRPr="00C83DF5">
        <w:rPr>
          <w:lang w:val="de-DE"/>
        </w:rPr>
        <w:t>BizTalk</w:t>
      </w:r>
      <w:r w:rsidRPr="00C83DF5">
        <w:rPr>
          <w:vertAlign w:val="superscript"/>
          <w:lang w:val="de-DE"/>
        </w:rPr>
        <w:t>®</w:t>
      </w:r>
      <w:r w:rsidRPr="00C83DF5">
        <w:rPr>
          <w:lang w:val="de-DE"/>
        </w:rPr>
        <w:t xml:space="preserve"> Server 2013 Enterprise Edition</w:t>
      </w:r>
    </w:p>
    <w:p w:rsidR="00756566" w:rsidRPr="00C83DF5" w:rsidRDefault="00756566" w:rsidP="000347DA">
      <w:pPr>
        <w:rPr>
          <w:lang w:val="de-DE"/>
        </w:rPr>
      </w:pPr>
      <w:r w:rsidRPr="00C83DF5">
        <w:rPr>
          <w:lang w:val="de-DE"/>
        </w:rPr>
        <w:t>System Center 2012 R2 Endpoint Protection</w:t>
      </w:r>
    </w:p>
    <w:p w:rsidR="00756566" w:rsidRPr="00C83DF5" w:rsidRDefault="00756566" w:rsidP="000347DA">
      <w:pPr>
        <w:rPr>
          <w:lang w:val="de-DE"/>
        </w:rPr>
      </w:pPr>
      <w:r w:rsidRPr="00C83DF5">
        <w:rPr>
          <w:lang w:val="de-DE"/>
        </w:rPr>
        <w:t>Client-Management-Lizenz für System Center 2012 R2 Configuration Manager pro Betriebssystemumgebung</w:t>
      </w:r>
    </w:p>
    <w:p w:rsidR="00756566" w:rsidRPr="00C83DF5" w:rsidRDefault="00756566" w:rsidP="000347DA">
      <w:pPr>
        <w:rPr>
          <w:lang w:val="de-DE"/>
        </w:rPr>
      </w:pPr>
      <w:r w:rsidRPr="00C83DF5">
        <w:rPr>
          <w:lang w:val="de-DE"/>
        </w:rPr>
        <w:t>Client-Management-Lizenz für System Center 2012 R2 Configuration Manager pro Nutzer</w:t>
      </w:r>
    </w:p>
    <w:p w:rsidR="00756566" w:rsidRPr="00C83DF5" w:rsidRDefault="00756566" w:rsidP="000347DA">
      <w:pPr>
        <w:rPr>
          <w:lang w:val="de-DE"/>
        </w:rPr>
      </w:pPr>
      <w:r w:rsidRPr="00C83DF5">
        <w:rPr>
          <w:lang w:val="de-DE"/>
        </w:rPr>
        <w:t>Client-Management-Lizenz (Client-ML) für System Center 2012 R2 Configuration Manager (nur Studenten)</w:t>
      </w:r>
    </w:p>
    <w:p w:rsidR="00756566" w:rsidRPr="00C83DF5" w:rsidRDefault="00756566" w:rsidP="000347DA">
      <w:pPr>
        <w:rPr>
          <w:lang w:val="de-DE"/>
        </w:rPr>
      </w:pPr>
      <w:r w:rsidRPr="00C83DF5">
        <w:rPr>
          <w:lang w:val="de-DE"/>
        </w:rPr>
        <w:t>Server-Management-Lizenz für System Center 2012 R2 Datacenter (2 Prozessoren)</w:t>
      </w:r>
    </w:p>
    <w:p w:rsidR="00756566" w:rsidRPr="00C83DF5" w:rsidRDefault="00756566" w:rsidP="000347DA">
      <w:pPr>
        <w:rPr>
          <w:lang w:val="de-DE"/>
        </w:rPr>
      </w:pPr>
      <w:r w:rsidRPr="00C83DF5">
        <w:rPr>
          <w:lang w:val="de-DE"/>
        </w:rPr>
        <w:t>Standard-Server-Management-Lizenz für System Center 2012 R2 (2 Prozessoren)</w:t>
      </w:r>
    </w:p>
    <w:p w:rsidR="00756566" w:rsidRPr="00C83DF5" w:rsidRDefault="00756566" w:rsidP="000347DA">
      <w:pPr>
        <w:rPr>
          <w:lang w:val="de-DE"/>
        </w:rPr>
      </w:pPr>
      <w:r w:rsidRPr="00C83DF5">
        <w:rPr>
          <w:lang w:val="de-DE"/>
        </w:rPr>
        <w:t>System Center 2012 R2 Client Management Suite (Client-ML) pro Betriebssystemumgebung</w:t>
      </w:r>
    </w:p>
    <w:p w:rsidR="009252D9" w:rsidRPr="00C83DF5" w:rsidRDefault="00756566" w:rsidP="000347DA">
      <w:pPr>
        <w:rPr>
          <w:lang w:val="fr-FR"/>
        </w:rPr>
      </w:pPr>
      <w:r w:rsidRPr="00C83DF5">
        <w:rPr>
          <w:lang w:val="fr-FR"/>
        </w:rPr>
        <w:t>System Center 2012 R2 Client Management Suite (Client-ML) pro Nutzer</w:t>
      </w:r>
    </w:p>
    <w:p w:rsidR="009252D9" w:rsidRPr="00F037D5" w:rsidRDefault="009252D9" w:rsidP="009252D9">
      <w:pPr>
        <w:spacing w:after="60"/>
        <w:rPr>
          <w:b/>
          <w:lang w:val="fr-FR"/>
        </w:rPr>
      </w:pPr>
    </w:p>
    <w:p w:rsidR="009252D9" w:rsidRPr="00F037D5" w:rsidRDefault="009252D9" w:rsidP="009252D9">
      <w:pPr>
        <w:spacing w:after="60"/>
        <w:rPr>
          <w:b/>
          <w:lang w:val="de-DE"/>
        </w:rPr>
      </w:pPr>
      <w:r w:rsidRPr="00F037D5">
        <w:rPr>
          <w:b/>
          <w:lang w:val="de-DE"/>
        </w:rPr>
        <w:t>Streichungen</w:t>
      </w:r>
    </w:p>
    <w:p w:rsidR="00756566" w:rsidRPr="00C83DF5" w:rsidRDefault="00756566" w:rsidP="000347DA">
      <w:pPr>
        <w:rPr>
          <w:lang w:val="de-DE"/>
        </w:rPr>
      </w:pPr>
      <w:r w:rsidRPr="00C83DF5">
        <w:rPr>
          <w:lang w:val="de-DE"/>
        </w:rPr>
        <w:t>Windows Server™ 2012 Datacenter</w:t>
      </w:r>
    </w:p>
    <w:p w:rsidR="00756566" w:rsidRPr="00C83DF5" w:rsidRDefault="00756566" w:rsidP="000347DA">
      <w:pPr>
        <w:rPr>
          <w:lang w:val="de-DE"/>
        </w:rPr>
      </w:pPr>
      <w:r w:rsidRPr="00C83DF5">
        <w:rPr>
          <w:lang w:val="de-DE"/>
        </w:rPr>
        <w:t>Windows Server™ 2012 Standard</w:t>
      </w:r>
    </w:p>
    <w:p w:rsidR="00756566" w:rsidRPr="00C83DF5" w:rsidRDefault="00756566" w:rsidP="000347DA">
      <w:r w:rsidRPr="00C83DF5">
        <w:t>Windows Server Essentials 2012</w:t>
      </w:r>
    </w:p>
    <w:p w:rsidR="00756566" w:rsidRPr="00C83DF5" w:rsidRDefault="00756566" w:rsidP="000347DA">
      <w:r w:rsidRPr="00C83DF5">
        <w:t>Windows</w:t>
      </w:r>
      <w:r w:rsidRPr="00C83DF5">
        <w:rPr>
          <w:vertAlign w:val="superscript"/>
        </w:rPr>
        <w:t>®</w:t>
      </w:r>
      <w:r w:rsidRPr="00C83DF5">
        <w:t xml:space="preserve"> Embedded 8 Industry Pro</w:t>
      </w:r>
    </w:p>
    <w:p w:rsidR="00756566" w:rsidRPr="00C83DF5" w:rsidRDefault="00756566" w:rsidP="000347DA">
      <w:r w:rsidRPr="00C83DF5">
        <w:t>Windows</w:t>
      </w:r>
      <w:r w:rsidRPr="00C83DF5">
        <w:rPr>
          <w:vertAlign w:val="superscript"/>
        </w:rPr>
        <w:t>®</w:t>
      </w:r>
      <w:r w:rsidRPr="00C83DF5">
        <w:t xml:space="preserve"> Embedded 8 Industry Pro Sideloading</w:t>
      </w:r>
    </w:p>
    <w:p w:rsidR="00756566" w:rsidRPr="00C83DF5" w:rsidRDefault="00756566" w:rsidP="000347DA">
      <w:r w:rsidRPr="00C83DF5">
        <w:t>Visual Studio</w:t>
      </w:r>
      <w:r w:rsidRPr="00C83DF5">
        <w:rPr>
          <w:vertAlign w:val="superscript"/>
        </w:rPr>
        <w:t>®</w:t>
      </w:r>
      <w:r w:rsidRPr="00C83DF5">
        <w:t xml:space="preserve"> Professional 2012</w:t>
      </w:r>
    </w:p>
    <w:p w:rsidR="00756566" w:rsidRPr="00C83DF5" w:rsidRDefault="00756566" w:rsidP="000347DA">
      <w:r w:rsidRPr="00C83DF5">
        <w:t>Visual Studio</w:t>
      </w:r>
      <w:r w:rsidRPr="00C83DF5">
        <w:rPr>
          <w:vertAlign w:val="superscript"/>
        </w:rPr>
        <w:t>®</w:t>
      </w:r>
      <w:r w:rsidRPr="00C83DF5">
        <w:t xml:space="preserve"> Professional 2012 mit MSDN </w:t>
      </w:r>
    </w:p>
    <w:p w:rsidR="00756566" w:rsidRPr="00C83DF5" w:rsidRDefault="00756566" w:rsidP="000347DA">
      <w:r w:rsidRPr="00C83DF5">
        <w:t>Visual Studio</w:t>
      </w:r>
      <w:r w:rsidRPr="00C83DF5">
        <w:rPr>
          <w:vertAlign w:val="superscript"/>
        </w:rPr>
        <w:t>®</w:t>
      </w:r>
      <w:r w:rsidRPr="00C83DF5">
        <w:t xml:space="preserve"> Premium 2012 mit MSDN</w:t>
      </w:r>
    </w:p>
    <w:p w:rsidR="00756566" w:rsidRPr="00C83DF5" w:rsidRDefault="00756566" w:rsidP="000347DA">
      <w:r w:rsidRPr="00C83DF5">
        <w:t>Visual Studio</w:t>
      </w:r>
      <w:r w:rsidRPr="00C83DF5">
        <w:rPr>
          <w:vertAlign w:val="superscript"/>
        </w:rPr>
        <w:t>®</w:t>
      </w:r>
      <w:r w:rsidRPr="00C83DF5">
        <w:t xml:space="preserve"> Ultimate 2012 mit MSDN</w:t>
      </w:r>
    </w:p>
    <w:p w:rsidR="00756566" w:rsidRPr="00C83DF5" w:rsidRDefault="00756566" w:rsidP="000347DA">
      <w:r w:rsidRPr="00C83DF5">
        <w:t>Visual Studio</w:t>
      </w:r>
      <w:r w:rsidRPr="00C83DF5">
        <w:rPr>
          <w:vertAlign w:val="superscript"/>
        </w:rPr>
        <w:t>®</w:t>
      </w:r>
      <w:r w:rsidRPr="00C83DF5">
        <w:t xml:space="preserve"> Test Professional 2012 mit MSDN</w:t>
      </w:r>
    </w:p>
    <w:p w:rsidR="00756566" w:rsidRPr="00C83DF5" w:rsidRDefault="00756566" w:rsidP="000347DA">
      <w:r w:rsidRPr="00C83DF5">
        <w:t>Visual Studio</w:t>
      </w:r>
      <w:r w:rsidRPr="00C83DF5">
        <w:rPr>
          <w:vertAlign w:val="superscript"/>
        </w:rPr>
        <w:t>®</w:t>
      </w:r>
      <w:r w:rsidRPr="00C83DF5">
        <w:t xml:space="preserve"> Team Foundation Server 2012 mit SQL Server 2012-Technologie</w:t>
      </w:r>
    </w:p>
    <w:p w:rsidR="00756566" w:rsidRPr="00C83DF5" w:rsidRDefault="00756566" w:rsidP="000347DA">
      <w:r w:rsidRPr="00C83DF5">
        <w:t>Geräte-CAL für Visual Studio</w:t>
      </w:r>
      <w:r w:rsidRPr="00C83DF5">
        <w:rPr>
          <w:vertAlign w:val="superscript"/>
        </w:rPr>
        <w:t>®</w:t>
      </w:r>
      <w:r w:rsidRPr="00C83DF5">
        <w:t xml:space="preserve"> Team Foundation Server 2012</w:t>
      </w:r>
    </w:p>
    <w:p w:rsidR="00756566" w:rsidRPr="00C83DF5" w:rsidRDefault="00756566" w:rsidP="000347DA">
      <w:r w:rsidRPr="00C83DF5">
        <w:t>Nutzer-CAL für Visual Studio</w:t>
      </w:r>
      <w:r w:rsidRPr="00C83DF5">
        <w:rPr>
          <w:vertAlign w:val="superscript"/>
        </w:rPr>
        <w:t>®</w:t>
      </w:r>
      <w:r w:rsidRPr="00C83DF5">
        <w:t xml:space="preserve"> Team Foundation Server 2012</w:t>
      </w:r>
    </w:p>
    <w:p w:rsidR="00756566" w:rsidRPr="00C83DF5" w:rsidRDefault="00756566" w:rsidP="000347DA">
      <w:r w:rsidRPr="00C83DF5">
        <w:t>Windows 8 Enterprise Sideloading (100 Pack)</w:t>
      </w:r>
    </w:p>
    <w:p w:rsidR="00756566" w:rsidRPr="00C83DF5" w:rsidRDefault="00756566" w:rsidP="000347DA">
      <w:r w:rsidRPr="00C83DF5">
        <w:t>Windows</w:t>
      </w:r>
      <w:r w:rsidRPr="00C83DF5">
        <w:rPr>
          <w:vertAlign w:val="superscript"/>
        </w:rPr>
        <w:t>®</w:t>
      </w:r>
      <w:r w:rsidRPr="00C83DF5">
        <w:t xml:space="preserve"> 8 Pro </w:t>
      </w:r>
    </w:p>
    <w:p w:rsidR="00756566" w:rsidRPr="00C83DF5" w:rsidRDefault="00756566" w:rsidP="000347DA">
      <w:r w:rsidRPr="00C83DF5">
        <w:t>Windows</w:t>
      </w:r>
      <w:r w:rsidRPr="00C83DF5">
        <w:rPr>
          <w:vertAlign w:val="superscript"/>
        </w:rPr>
        <w:t>®</w:t>
      </w:r>
      <w:r w:rsidRPr="00C83DF5">
        <w:t xml:space="preserve"> 8 Pro mit MDOP </w:t>
      </w:r>
    </w:p>
    <w:p w:rsidR="00756566" w:rsidRPr="00C83DF5" w:rsidRDefault="00756566" w:rsidP="000347DA">
      <w:r w:rsidRPr="00C83DF5">
        <w:t>System Center 2012 Endpoint Protection</w:t>
      </w:r>
    </w:p>
    <w:p w:rsidR="00756566" w:rsidRPr="00C83DF5" w:rsidRDefault="00756566" w:rsidP="000347DA">
      <w:pPr>
        <w:rPr>
          <w:lang w:val="de-DE"/>
        </w:rPr>
      </w:pPr>
      <w:r w:rsidRPr="00C83DF5">
        <w:rPr>
          <w:lang w:val="de-DE"/>
        </w:rPr>
        <w:t>Client-Management-Lizenz pro Betriebssystemumgebung für System Center 2012 Configuration Manager</w:t>
      </w:r>
    </w:p>
    <w:p w:rsidR="00756566" w:rsidRPr="00C83DF5" w:rsidRDefault="00756566" w:rsidP="000347DA">
      <w:pPr>
        <w:rPr>
          <w:lang w:val="de-DE"/>
        </w:rPr>
      </w:pPr>
      <w:r w:rsidRPr="00C83DF5">
        <w:rPr>
          <w:lang w:val="de-DE"/>
        </w:rPr>
        <w:t>Client-Management-Lizenz für System Center 2012 Configuration Manager pro Nutzer</w:t>
      </w:r>
    </w:p>
    <w:p w:rsidR="00756566" w:rsidRPr="00C83DF5" w:rsidRDefault="00756566" w:rsidP="000347DA">
      <w:pPr>
        <w:rPr>
          <w:lang w:val="de-DE"/>
        </w:rPr>
      </w:pPr>
      <w:r w:rsidRPr="00C83DF5">
        <w:rPr>
          <w:lang w:val="de-DE"/>
        </w:rPr>
        <w:lastRenderedPageBreak/>
        <w:t>Client-Management-Lizenz (Client-ML) für System Center 2012 Configuration Manager (nur Studenten)</w:t>
      </w:r>
    </w:p>
    <w:p w:rsidR="00756566" w:rsidRPr="00C83DF5" w:rsidRDefault="00756566" w:rsidP="000347DA">
      <w:pPr>
        <w:rPr>
          <w:lang w:val="de-DE"/>
        </w:rPr>
      </w:pPr>
      <w:r w:rsidRPr="00C83DF5">
        <w:rPr>
          <w:lang w:val="de-DE"/>
        </w:rPr>
        <w:t>Server-Management-Lizenz für System Center 2012 Datacenter (2 Prozessoren)</w:t>
      </w:r>
    </w:p>
    <w:p w:rsidR="00756566" w:rsidRPr="00C83DF5" w:rsidRDefault="00756566" w:rsidP="000347DA">
      <w:pPr>
        <w:rPr>
          <w:lang w:val="de-DE"/>
        </w:rPr>
      </w:pPr>
      <w:r w:rsidRPr="00C83DF5">
        <w:rPr>
          <w:lang w:val="de-DE"/>
        </w:rPr>
        <w:t>Standard-Server-Management-Lizenz für System Center 2012 (2 Prozessoren)</w:t>
      </w:r>
    </w:p>
    <w:p w:rsidR="00756566" w:rsidRPr="00C83DF5" w:rsidRDefault="00756566" w:rsidP="000347DA">
      <w:pPr>
        <w:rPr>
          <w:lang w:val="de-DE"/>
        </w:rPr>
      </w:pPr>
      <w:r w:rsidRPr="00C83DF5">
        <w:rPr>
          <w:lang w:val="de-DE"/>
        </w:rPr>
        <w:t>System Center 2012 Client Management Suite (Client-ML) pro Betriebssystemumgebung</w:t>
      </w:r>
    </w:p>
    <w:p w:rsidR="009252D9" w:rsidRPr="00C83DF5" w:rsidRDefault="00756566" w:rsidP="000347DA">
      <w:pPr>
        <w:rPr>
          <w:lang w:val="de-DE"/>
        </w:rPr>
      </w:pPr>
      <w:r w:rsidRPr="00C83DF5">
        <w:rPr>
          <w:lang w:val="de-DE"/>
        </w:rPr>
        <w:t>System Center 2012 Client Management Suite (Client-ML) pro Nutzer</w:t>
      </w:r>
    </w:p>
    <w:p w:rsidR="009252D9" w:rsidRPr="00F037D5" w:rsidRDefault="009252D9" w:rsidP="009252D9">
      <w:pPr>
        <w:spacing w:after="60"/>
        <w:rPr>
          <w:b/>
          <w:lang w:val="de-DE"/>
        </w:rPr>
      </w:pPr>
    </w:p>
    <w:p w:rsidR="00BE51ED" w:rsidRPr="00F037D5" w:rsidRDefault="00BE51ED" w:rsidP="00BE51ED">
      <w:pPr>
        <w:spacing w:after="60"/>
        <w:rPr>
          <w:b/>
          <w:lang w:val="de-DE"/>
        </w:rPr>
      </w:pPr>
      <w:r w:rsidRPr="00F037D5">
        <w:rPr>
          <w:b/>
          <w:lang w:val="de-DE"/>
        </w:rPr>
        <w:t>Promotions</w:t>
      </w:r>
    </w:p>
    <w:p w:rsidR="00BE51ED" w:rsidRPr="00C83DF5" w:rsidRDefault="00BE51ED" w:rsidP="00BE51ED">
      <w:pPr>
        <w:rPr>
          <w:lang w:val="de-DE"/>
        </w:rPr>
      </w:pPr>
      <w:r w:rsidRPr="00C83DF5">
        <w:rPr>
          <w:rFonts w:cs="Tahoma"/>
          <w:szCs w:val="18"/>
          <w:lang w:val="de-DE"/>
        </w:rPr>
        <w:t>Die folgenden Promotions wurden gelöscht:</w:t>
      </w:r>
    </w:p>
    <w:p w:rsidR="00BE51ED" w:rsidRPr="00BE51ED" w:rsidRDefault="00BE51ED" w:rsidP="00BE51ED">
      <w:pPr>
        <w:rPr>
          <w:lang w:val="de-DE"/>
        </w:rPr>
      </w:pPr>
      <w:r w:rsidRPr="00BE51ED">
        <w:rPr>
          <w:lang w:val="de-DE"/>
        </w:rPr>
        <w:t>Starthilfe für Server- und Cloud-Beitritt GJ 2014</w:t>
      </w:r>
    </w:p>
    <w:p w:rsidR="00BE51ED" w:rsidRPr="00BE51ED" w:rsidRDefault="00BE51ED" w:rsidP="00BE51ED">
      <w:pPr>
        <w:rPr>
          <w:lang w:val="de-DE"/>
        </w:rPr>
      </w:pPr>
      <w:r w:rsidRPr="00BE51ED">
        <w:rPr>
          <w:lang w:val="de-DE"/>
        </w:rPr>
        <w:t>Projekt- und Portfoliomanagement im Rahmen der Cloud-Promotion</w:t>
      </w:r>
    </w:p>
    <w:p w:rsidR="00BE51ED" w:rsidRPr="00BE51ED" w:rsidRDefault="00BE51ED" w:rsidP="00BE51ED">
      <w:pPr>
        <w:rPr>
          <w:lang w:val="de-DE"/>
        </w:rPr>
      </w:pPr>
      <w:r w:rsidRPr="00BE51ED">
        <w:rPr>
          <w:lang w:val="de-DE"/>
        </w:rPr>
        <w:t>Promotion für Visual Studio Test Pro mit MSDN</w:t>
      </w:r>
    </w:p>
    <w:p w:rsidR="00BE51ED" w:rsidRPr="00BE51ED" w:rsidRDefault="00BE51ED" w:rsidP="00BE51ED">
      <w:pPr>
        <w:rPr>
          <w:lang w:val="de-DE"/>
        </w:rPr>
      </w:pPr>
      <w:r w:rsidRPr="00BE51ED">
        <w:rPr>
          <w:lang w:val="de-DE"/>
        </w:rPr>
        <w:t>Schnellere Einführung von Windows Azure</w:t>
      </w:r>
    </w:p>
    <w:p w:rsidR="009252D9" w:rsidRPr="00F037D5" w:rsidRDefault="009252D9" w:rsidP="009252D9">
      <w:pPr>
        <w:rPr>
          <w:lang w:val="de-DE"/>
        </w:rPr>
      </w:pPr>
    </w:p>
    <w:p w:rsidR="00D94BF5" w:rsidRPr="00F037D5" w:rsidRDefault="00D94BF5" w:rsidP="00D94BF5">
      <w:pPr>
        <w:pStyle w:val="Heading2"/>
        <w:ind w:left="0"/>
        <w:jc w:val="both"/>
        <w:rPr>
          <w:rFonts w:ascii="Tahoma" w:hAnsi="Tahoma" w:cs="Tahoma"/>
          <w:color w:val="FF6600"/>
          <w:lang w:val="de-DE"/>
        </w:rPr>
      </w:pPr>
    </w:p>
    <w:p w:rsidR="00C87808" w:rsidRPr="00F037D5" w:rsidRDefault="00C87808" w:rsidP="00D94BF5">
      <w:pPr>
        <w:pStyle w:val="Heading2"/>
        <w:ind w:left="0"/>
        <w:jc w:val="both"/>
        <w:rPr>
          <w:rFonts w:ascii="Tahoma" w:hAnsi="Tahoma" w:cs="Tahoma"/>
          <w:color w:val="FF6600"/>
          <w:lang w:val="de-DE"/>
        </w:rPr>
      </w:pPr>
      <w:bookmarkStart w:id="569" w:name="_Toc370983278"/>
      <w:r w:rsidRPr="00F037D5">
        <w:rPr>
          <w:rFonts w:ascii="Tahoma" w:hAnsi="Tahoma" w:cs="Tahoma"/>
          <w:color w:val="FF6600"/>
          <w:lang w:val="de-DE"/>
        </w:rPr>
        <w:t>ÄNDERUNGEN IM OKTOBER 2013</w:t>
      </w:r>
      <w:bookmarkEnd w:id="569"/>
    </w:p>
    <w:p w:rsidR="00C87808" w:rsidRPr="00F037D5" w:rsidRDefault="00C87808" w:rsidP="00C87808">
      <w:pPr>
        <w:spacing w:after="60"/>
        <w:rPr>
          <w:b/>
          <w:lang w:val="de-DE"/>
        </w:rPr>
      </w:pPr>
    </w:p>
    <w:p w:rsidR="00C87808" w:rsidRPr="00C83DF5" w:rsidRDefault="00C87808" w:rsidP="00C87808">
      <w:pPr>
        <w:spacing w:after="60"/>
        <w:rPr>
          <w:lang w:val="de-DE"/>
        </w:rPr>
      </w:pPr>
      <w:r w:rsidRPr="00C83DF5">
        <w:rPr>
          <w:b/>
          <w:lang w:val="de-DE"/>
        </w:rPr>
        <w:t>Hinzufügungen</w:t>
      </w:r>
    </w:p>
    <w:p w:rsidR="004D5959" w:rsidRPr="00C83DF5" w:rsidRDefault="004D5959" w:rsidP="00383917">
      <w:pPr>
        <w:rPr>
          <w:lang w:val="de-DE"/>
        </w:rPr>
      </w:pPr>
      <w:r w:rsidRPr="00C83DF5">
        <w:rPr>
          <w:lang w:val="de-DE"/>
        </w:rPr>
        <w:t>CAL für Microsoft Dynamics CRM 2013 Basic</w:t>
      </w:r>
    </w:p>
    <w:p w:rsidR="004D5959" w:rsidRPr="00C83DF5" w:rsidRDefault="004D5959" w:rsidP="00383917">
      <w:pPr>
        <w:rPr>
          <w:lang w:val="de-DE"/>
        </w:rPr>
      </w:pPr>
      <w:r w:rsidRPr="00C83DF5">
        <w:rPr>
          <w:lang w:val="de-DE"/>
        </w:rPr>
        <w:t>Zusätzliche CAL zur Grundlegenden Verwendung von Microsoft Dynamics CRM 2013</w:t>
      </w:r>
    </w:p>
    <w:p w:rsidR="004D5959" w:rsidRPr="00C83DF5" w:rsidRDefault="004D5959" w:rsidP="00383917">
      <w:pPr>
        <w:rPr>
          <w:lang w:val="de-DE"/>
        </w:rPr>
      </w:pPr>
      <w:r w:rsidRPr="00C83DF5">
        <w:rPr>
          <w:lang w:val="de-DE"/>
        </w:rPr>
        <w:t>CAL für Microsoft Dynamics CRM 2013 Essential</w:t>
      </w:r>
    </w:p>
    <w:p w:rsidR="004D5959" w:rsidRPr="00C83DF5" w:rsidRDefault="004D5959" w:rsidP="00383917">
      <w:pPr>
        <w:rPr>
          <w:lang w:val="de-DE"/>
        </w:rPr>
      </w:pPr>
      <w:r w:rsidRPr="00C83DF5">
        <w:rPr>
          <w:lang w:val="de-DE"/>
        </w:rPr>
        <w:t>CAL für Microsoft Dynamics CRM 2013 Professional</w:t>
      </w:r>
    </w:p>
    <w:p w:rsidR="004D5959" w:rsidRPr="00C83DF5" w:rsidRDefault="004D5959" w:rsidP="00383917">
      <w:pPr>
        <w:rPr>
          <w:lang w:val="de-DE"/>
        </w:rPr>
      </w:pPr>
      <w:r w:rsidRPr="00C83DF5">
        <w:rPr>
          <w:lang w:val="de-DE"/>
        </w:rPr>
        <w:t>Zusätzliche CAL zur Professionellen Verwendung von Microsoft Dynamics CRM 2013</w:t>
      </w:r>
    </w:p>
    <w:p w:rsidR="00453E57" w:rsidRPr="00C83DF5" w:rsidRDefault="00453E57" w:rsidP="00383917">
      <w:pPr>
        <w:rPr>
          <w:lang w:val="de-DE"/>
        </w:rPr>
      </w:pPr>
      <w:r w:rsidRPr="00C83DF5">
        <w:rPr>
          <w:lang w:val="de-DE"/>
        </w:rPr>
        <w:t>Microsoft Dynamics CRM 2013 Server</w:t>
      </w:r>
    </w:p>
    <w:p w:rsidR="00453E57" w:rsidRPr="00C83DF5" w:rsidRDefault="00453E57" w:rsidP="00383917">
      <w:pPr>
        <w:rPr>
          <w:lang w:val="de-DE"/>
        </w:rPr>
      </w:pPr>
      <w:r w:rsidRPr="00C83DF5">
        <w:rPr>
          <w:lang w:val="de-DE"/>
        </w:rPr>
        <w:t>Microsoft Dynamics CRM Workgroup Server 2013</w:t>
      </w:r>
    </w:p>
    <w:p w:rsidR="00CB4307" w:rsidRPr="00C83DF5" w:rsidRDefault="00CB4307" w:rsidP="00383917">
      <w:pPr>
        <w:rPr>
          <w:lang w:val="de-DE"/>
        </w:rPr>
      </w:pPr>
      <w:r w:rsidRPr="00C83DF5">
        <w:rPr>
          <w:lang w:val="de-DE"/>
        </w:rPr>
        <w:t>Microsoft Dynamics CRM Online Basic</w:t>
      </w:r>
    </w:p>
    <w:p w:rsidR="00CB4307" w:rsidRPr="00B525B3" w:rsidRDefault="00CB4307" w:rsidP="00383917">
      <w:r w:rsidRPr="00B525B3">
        <w:t>Microsoft Dynamics CRM Online Enhanced Support</w:t>
      </w:r>
    </w:p>
    <w:p w:rsidR="00CB4307" w:rsidRPr="00B525B3" w:rsidRDefault="00CB4307" w:rsidP="00383917">
      <w:r w:rsidRPr="00B525B3">
        <w:t>Microsoft Dynamics CRM Online Essential</w:t>
      </w:r>
    </w:p>
    <w:p w:rsidR="004D5959" w:rsidRPr="00B525B3" w:rsidRDefault="004D5959" w:rsidP="00383917">
      <w:r w:rsidRPr="00B525B3">
        <w:t>Microsoft Dynamics CRM Produktionsinstanz</w:t>
      </w:r>
    </w:p>
    <w:p w:rsidR="004D5959" w:rsidRPr="00B525B3" w:rsidRDefault="004D5959" w:rsidP="00383917">
      <w:r w:rsidRPr="00B525B3">
        <w:t>Microsoft Dynamics CRM Nichtproduktionsinstanz</w:t>
      </w:r>
    </w:p>
    <w:p w:rsidR="00CB4307" w:rsidRPr="00B525B3" w:rsidRDefault="00CB4307" w:rsidP="00383917">
      <w:r w:rsidRPr="00B525B3">
        <w:t>Microsoft Dynamics CRM Online Professional</w:t>
      </w:r>
    </w:p>
    <w:p w:rsidR="00CB4307" w:rsidRPr="00B525B3" w:rsidRDefault="00CB4307" w:rsidP="00383917">
      <w:r w:rsidRPr="00B525B3">
        <w:t>Microsoft Dynamics CRM Online Professional Direct Support</w:t>
      </w:r>
    </w:p>
    <w:p w:rsidR="00CB4307" w:rsidRPr="00B525B3" w:rsidRDefault="00CB4307" w:rsidP="00383917">
      <w:r w:rsidRPr="00B525B3">
        <w:t>Microsoft Dynamics CRM Online-SpeicherWindows Azure Active Directory-Rechteverwaltungs-Add-On (Nutzer-AL)</w:t>
      </w:r>
    </w:p>
    <w:p w:rsidR="00C87808" w:rsidRPr="00B525B3" w:rsidRDefault="00C87808" w:rsidP="00C87808">
      <w:pPr>
        <w:spacing w:after="60"/>
        <w:rPr>
          <w:b/>
        </w:rPr>
      </w:pPr>
    </w:p>
    <w:p w:rsidR="00C87808" w:rsidRPr="00F037D5" w:rsidRDefault="00C87808" w:rsidP="00C87808">
      <w:pPr>
        <w:spacing w:after="60"/>
        <w:rPr>
          <w:b/>
          <w:lang w:val="de-DE"/>
        </w:rPr>
      </w:pPr>
      <w:r w:rsidRPr="00F037D5">
        <w:rPr>
          <w:b/>
          <w:lang w:val="de-DE"/>
        </w:rPr>
        <w:t>Streichungen</w:t>
      </w:r>
    </w:p>
    <w:p w:rsidR="00383917" w:rsidRPr="00C83DF5" w:rsidRDefault="00383917" w:rsidP="00383917">
      <w:pPr>
        <w:rPr>
          <w:lang w:val="de-DE"/>
        </w:rPr>
      </w:pPr>
      <w:r w:rsidRPr="00C83DF5">
        <w:rPr>
          <w:lang w:val="de-DE"/>
        </w:rPr>
        <w:t>Microsoft Dynamics CRM Online-Zusatzspeicher</w:t>
      </w:r>
    </w:p>
    <w:p w:rsidR="00383917" w:rsidRPr="00C83DF5" w:rsidRDefault="00383917" w:rsidP="00383917">
      <w:pPr>
        <w:rPr>
          <w:lang w:val="de-DE"/>
        </w:rPr>
      </w:pPr>
      <w:r w:rsidRPr="00C83DF5">
        <w:rPr>
          <w:lang w:val="de-DE"/>
        </w:rPr>
        <w:t>Microsoft Dynamics CRM Online pro Nutzer</w:t>
      </w:r>
    </w:p>
    <w:p w:rsidR="00383917" w:rsidRPr="00C83DF5" w:rsidRDefault="00383917" w:rsidP="00383917">
      <w:pPr>
        <w:rPr>
          <w:lang w:val="de-DE"/>
        </w:rPr>
      </w:pPr>
      <w:r w:rsidRPr="00C83DF5">
        <w:rPr>
          <w:lang w:val="de-DE"/>
        </w:rPr>
        <w:t>Microsoft Dynamics CRM Online für Software Assurance</w:t>
      </w:r>
    </w:p>
    <w:p w:rsidR="00383917" w:rsidRPr="00C83DF5" w:rsidRDefault="00383917" w:rsidP="00383917">
      <w:pPr>
        <w:rPr>
          <w:lang w:val="de-DE"/>
        </w:rPr>
      </w:pPr>
      <w:r w:rsidRPr="00C83DF5">
        <w:rPr>
          <w:lang w:val="de-DE"/>
        </w:rPr>
        <w:t>CAL für Microsoft Dynamics CRM 2011 (Nutzer &amp; Gerät)</w:t>
      </w:r>
    </w:p>
    <w:p w:rsidR="00383917" w:rsidRPr="00C83DF5" w:rsidRDefault="00383917" w:rsidP="00383917">
      <w:r w:rsidRPr="00C83DF5">
        <w:t>Microsoft Dynamics CRM 2011 Employee Self Service (Nutzer &amp; Gerät)</w:t>
      </w:r>
    </w:p>
    <w:p w:rsidR="00383917" w:rsidRPr="00C83DF5" w:rsidRDefault="00383917" w:rsidP="00383917">
      <w:pPr>
        <w:rPr>
          <w:lang w:val="de-DE"/>
        </w:rPr>
      </w:pPr>
      <w:r w:rsidRPr="00C83DF5">
        <w:rPr>
          <w:lang w:val="de-DE"/>
        </w:rPr>
        <w:t>Externer Connector für Microsoft Dynamics CRM 2011</w:t>
      </w:r>
    </w:p>
    <w:p w:rsidR="00383917" w:rsidRPr="00C83DF5" w:rsidRDefault="00383917" w:rsidP="00383917">
      <w:pPr>
        <w:rPr>
          <w:lang w:val="de-DE"/>
        </w:rPr>
      </w:pPr>
      <w:r w:rsidRPr="00C83DF5">
        <w:rPr>
          <w:lang w:val="de-DE"/>
        </w:rPr>
        <w:t>Zusätzliche CAL zur vollständigen Verwendung von Microsoft Dynamics CRM 2011 (Nutzer &amp; Gerät)</w:t>
      </w:r>
    </w:p>
    <w:p w:rsidR="00383917" w:rsidRPr="00C83DF5" w:rsidRDefault="00383917" w:rsidP="00383917">
      <w:pPr>
        <w:rPr>
          <w:lang w:val="de-DE"/>
        </w:rPr>
      </w:pPr>
      <w:r w:rsidRPr="00C83DF5">
        <w:rPr>
          <w:lang w:val="de-DE"/>
        </w:rPr>
        <w:t>CAL zur Eingeschränkten Verwendung von Microsoft Dynamics CRM 2011 (Nutzer &amp; Gerät)</w:t>
      </w:r>
    </w:p>
    <w:p w:rsidR="00383917" w:rsidRPr="00C83DF5" w:rsidRDefault="00383917" w:rsidP="00383917">
      <w:pPr>
        <w:rPr>
          <w:lang w:val="de-DE"/>
        </w:rPr>
      </w:pPr>
      <w:r w:rsidRPr="00C83DF5">
        <w:rPr>
          <w:lang w:val="de-DE"/>
        </w:rPr>
        <w:t>Zusätzliche CAL zur Eingeschränkten Verwendung von Microsoft Dynamics CRM 2011 (Nutzer &amp; Gerät)</w:t>
      </w:r>
    </w:p>
    <w:p w:rsidR="00383917" w:rsidRPr="00C83DF5" w:rsidRDefault="00383917" w:rsidP="00383917">
      <w:pPr>
        <w:rPr>
          <w:lang w:val="de-DE"/>
        </w:rPr>
      </w:pPr>
      <w:r w:rsidRPr="00C83DF5">
        <w:rPr>
          <w:lang w:val="de-DE"/>
        </w:rPr>
        <w:t>Microsoft Dynamics CRM Server 2011</w:t>
      </w:r>
    </w:p>
    <w:p w:rsidR="00383917" w:rsidRPr="00C83DF5" w:rsidRDefault="00383917" w:rsidP="00383917">
      <w:pPr>
        <w:rPr>
          <w:lang w:val="de-DE"/>
        </w:rPr>
      </w:pPr>
      <w:r w:rsidRPr="00C83DF5">
        <w:rPr>
          <w:lang w:val="de-DE"/>
        </w:rPr>
        <w:t>Microsoft Dynamics CRM Workgroup Server 2011</w:t>
      </w:r>
    </w:p>
    <w:p w:rsidR="00CB4307" w:rsidRPr="00C83DF5" w:rsidRDefault="00CB4307" w:rsidP="00C87808">
      <w:pPr>
        <w:spacing w:after="60"/>
        <w:rPr>
          <w:lang w:val="de-DE"/>
        </w:rPr>
      </w:pPr>
      <w:r w:rsidRPr="00C83DF5">
        <w:rPr>
          <w:lang w:val="de-DE"/>
        </w:rPr>
        <w:t>Bing Maps Public Website Usage 250K Transactions Monthly Sub</w:t>
      </w:r>
    </w:p>
    <w:p w:rsidR="00C87808" w:rsidRPr="00F037D5" w:rsidRDefault="00C87808" w:rsidP="00C87808">
      <w:pPr>
        <w:spacing w:after="60"/>
        <w:rPr>
          <w:b/>
          <w:lang w:val="de-DE"/>
        </w:rPr>
      </w:pPr>
    </w:p>
    <w:p w:rsidR="00C87808" w:rsidRPr="00C83DF5" w:rsidRDefault="00C87808" w:rsidP="00C87808">
      <w:pPr>
        <w:spacing w:after="60"/>
        <w:rPr>
          <w:b/>
        </w:rPr>
      </w:pPr>
      <w:r w:rsidRPr="00C83DF5">
        <w:rPr>
          <w:b/>
        </w:rPr>
        <w:t>Änderungen</w:t>
      </w:r>
    </w:p>
    <w:p w:rsidR="00CB4307" w:rsidRPr="00C83DF5" w:rsidRDefault="00CB4307" w:rsidP="00383917">
      <w:r w:rsidRPr="00C83DF5">
        <w:t>Bing Maps Enterprise Fee Monthly Sub</w:t>
      </w:r>
    </w:p>
    <w:p w:rsidR="00CB4307" w:rsidRPr="00C83DF5" w:rsidRDefault="00CB4307" w:rsidP="00383917">
      <w:r w:rsidRPr="00C83DF5">
        <w:t>Bing Maps Mobile Asset Management Platform Fee Monthly Sub</w:t>
      </w:r>
    </w:p>
    <w:p w:rsidR="00CB4307" w:rsidRPr="00C83DF5" w:rsidRDefault="00CB4307" w:rsidP="00383917">
      <w:pPr>
        <w:rPr>
          <w:lang w:val="de-DE"/>
        </w:rPr>
      </w:pPr>
      <w:r w:rsidRPr="00C83DF5">
        <w:rPr>
          <w:lang w:val="de-DE"/>
        </w:rPr>
        <w:t>Windows Azure Active Directory-Rechteverwaltung (Nutzer-AL)</w:t>
      </w:r>
    </w:p>
    <w:p w:rsidR="00C87808" w:rsidRPr="00F037D5" w:rsidRDefault="00C87808" w:rsidP="00D94BF5">
      <w:pPr>
        <w:pStyle w:val="Heading2"/>
        <w:ind w:left="0"/>
        <w:jc w:val="both"/>
        <w:rPr>
          <w:rFonts w:ascii="Tahoma" w:hAnsi="Tahoma" w:cs="Tahoma"/>
          <w:color w:val="FF6600"/>
          <w:lang w:val="de-DE"/>
        </w:rPr>
      </w:pPr>
    </w:p>
    <w:p w:rsidR="00C87808" w:rsidRPr="00F037D5" w:rsidRDefault="00C87808" w:rsidP="00C87808">
      <w:pPr>
        <w:rPr>
          <w:lang w:val="de-DE"/>
        </w:rPr>
      </w:pPr>
    </w:p>
    <w:p w:rsidR="00D94BF5" w:rsidRPr="00F037D5" w:rsidRDefault="00D94BF5" w:rsidP="00D94BF5">
      <w:pPr>
        <w:pStyle w:val="Heading2"/>
        <w:ind w:left="0"/>
        <w:jc w:val="both"/>
        <w:rPr>
          <w:rFonts w:ascii="Tahoma" w:hAnsi="Tahoma" w:cs="Tahoma"/>
          <w:color w:val="FF6600"/>
          <w:lang w:val="de-DE"/>
        </w:rPr>
      </w:pPr>
      <w:bookmarkStart w:id="570" w:name="_Toc370983279"/>
      <w:r w:rsidRPr="00F037D5">
        <w:rPr>
          <w:rFonts w:ascii="Tahoma" w:hAnsi="Tahoma" w:cs="Tahoma"/>
          <w:color w:val="FF6600"/>
          <w:lang w:val="de-DE"/>
        </w:rPr>
        <w:t>ÄNDERUNGEN IM SEPTEMBER 2013</w:t>
      </w:r>
      <w:bookmarkEnd w:id="570"/>
    </w:p>
    <w:p w:rsidR="00D94BF5" w:rsidRPr="00F037D5" w:rsidRDefault="00D94BF5" w:rsidP="00D94BF5">
      <w:pPr>
        <w:spacing w:after="60"/>
        <w:rPr>
          <w:b/>
          <w:lang w:val="de-DE"/>
        </w:rPr>
      </w:pPr>
    </w:p>
    <w:p w:rsidR="00D94BF5" w:rsidRPr="00F037D5" w:rsidRDefault="00D94BF5" w:rsidP="0047054A">
      <w:pPr>
        <w:spacing w:after="60"/>
        <w:rPr>
          <w:b/>
          <w:lang w:val="de-DE"/>
        </w:rPr>
      </w:pPr>
      <w:r w:rsidRPr="00F037D5">
        <w:rPr>
          <w:b/>
          <w:lang w:val="de-DE"/>
        </w:rPr>
        <w:lastRenderedPageBreak/>
        <w:t>Hinzufügungen</w:t>
      </w:r>
    </w:p>
    <w:p w:rsidR="00D40DF3" w:rsidRPr="00C83DF5" w:rsidRDefault="00D40DF3" w:rsidP="00652B91">
      <w:pPr>
        <w:rPr>
          <w:lang w:val="de-DE"/>
        </w:rPr>
      </w:pPr>
      <w:r w:rsidRPr="00C83DF5">
        <w:rPr>
          <w:lang w:val="de-DE"/>
        </w:rPr>
        <w:t>Windows Azure Active Directory-Rechteverwaltung</w:t>
      </w:r>
    </w:p>
    <w:p w:rsidR="00D40DF3" w:rsidRPr="00F037D5" w:rsidRDefault="00D40DF3" w:rsidP="00652B91">
      <w:pPr>
        <w:rPr>
          <w:lang w:val="de-DE"/>
        </w:rPr>
      </w:pPr>
    </w:p>
    <w:p w:rsidR="009F65DF" w:rsidRPr="00F037D5" w:rsidRDefault="009F65DF" w:rsidP="00652B91">
      <w:pPr>
        <w:rPr>
          <w:lang w:val="de-DE"/>
        </w:rPr>
      </w:pPr>
    </w:p>
    <w:p w:rsidR="00D94BF5" w:rsidRPr="00F037D5" w:rsidRDefault="00D94BF5" w:rsidP="0047054A">
      <w:pPr>
        <w:spacing w:after="60"/>
        <w:rPr>
          <w:b/>
          <w:lang w:val="de-DE"/>
        </w:rPr>
      </w:pPr>
      <w:r w:rsidRPr="00F037D5">
        <w:rPr>
          <w:b/>
          <w:lang w:val="de-DE"/>
        </w:rPr>
        <w:t>Promotions</w:t>
      </w:r>
    </w:p>
    <w:p w:rsidR="00D94BF5" w:rsidRPr="00C83DF5" w:rsidRDefault="00D40DF3" w:rsidP="00652B91">
      <w:pPr>
        <w:rPr>
          <w:lang w:val="de-DE"/>
        </w:rPr>
      </w:pPr>
      <w:r w:rsidRPr="00C83DF5">
        <w:rPr>
          <w:lang w:val="de-DE"/>
        </w:rPr>
        <w:t>Die folgenden Promotions wurden hinzugefügt:</w:t>
      </w:r>
    </w:p>
    <w:p w:rsidR="00D40DF3" w:rsidRPr="00C83DF5" w:rsidRDefault="00D40DF3" w:rsidP="00652B91">
      <w:r w:rsidRPr="00C83DF5">
        <w:rPr>
          <w:rStyle w:val="Strong"/>
          <w:rFonts w:cs="Tahoma"/>
          <w:b w:val="0"/>
          <w:color w:val="000000" w:themeColor="text1"/>
          <w:szCs w:val="18"/>
          <w:bdr w:val="none" w:sz="0" w:space="0" w:color="auto" w:frame="1"/>
          <w:shd w:val="clear" w:color="auto" w:fill="FFFFFF"/>
        </w:rPr>
        <w:t>Windows Companion Kickstart Promotion</w:t>
      </w:r>
    </w:p>
    <w:p w:rsidR="00F67139" w:rsidRPr="00C83DF5" w:rsidRDefault="00F67139" w:rsidP="00652B91">
      <w:r w:rsidRPr="00C83DF5">
        <w:rPr>
          <w:rStyle w:val="Strong"/>
          <w:rFonts w:cs="Tahoma"/>
          <w:b w:val="0"/>
          <w:color w:val="000000" w:themeColor="text1"/>
          <w:szCs w:val="18"/>
          <w:bdr w:val="none" w:sz="0" w:space="0" w:color="auto" w:frame="1"/>
          <w:shd w:val="clear" w:color="auto" w:fill="FFFFFF"/>
        </w:rPr>
        <w:t>Windows Legalization Drive</w:t>
      </w:r>
    </w:p>
    <w:p w:rsidR="00D40DF3" w:rsidRPr="00F037D5" w:rsidRDefault="00D40DF3" w:rsidP="00652B91">
      <w:pPr>
        <w:rPr>
          <w:rStyle w:val="Strong"/>
          <w:rFonts w:cs="Tahoma"/>
          <w:color w:val="000000" w:themeColor="text1"/>
          <w:szCs w:val="18"/>
          <w:bdr w:val="none" w:sz="0" w:space="0" w:color="auto" w:frame="1"/>
          <w:shd w:val="clear" w:color="auto" w:fill="FFFFFF"/>
          <w:lang w:val="de-DE"/>
        </w:rPr>
      </w:pPr>
      <w:r w:rsidRPr="00F037D5">
        <w:rPr>
          <w:rStyle w:val="Strong"/>
          <w:rFonts w:cs="Tahoma"/>
          <w:b w:val="0"/>
          <w:color w:val="000000" w:themeColor="text1"/>
          <w:szCs w:val="18"/>
          <w:bdr w:val="none" w:sz="0" w:space="0" w:color="auto" w:frame="1"/>
          <w:shd w:val="clear" w:color="auto" w:fill="FFFFFF"/>
          <w:lang w:val="de-DE"/>
        </w:rPr>
        <w:t>Windows Intune</w:t>
      </w:r>
      <w:r w:rsidRPr="00F037D5">
        <w:rPr>
          <w:rStyle w:val="Strong"/>
          <w:rFonts w:cs="Tahoma"/>
          <w:lang w:val="de-DE"/>
        </w:rPr>
        <w:t xml:space="preserve"> </w:t>
      </w:r>
      <w:r w:rsidRPr="00F037D5">
        <w:rPr>
          <w:rStyle w:val="Strong"/>
          <w:rFonts w:cs="Tahoma"/>
          <w:b w:val="0"/>
          <w:color w:val="000000" w:themeColor="text1"/>
          <w:szCs w:val="18"/>
          <w:bdr w:val="none" w:sz="0" w:space="0" w:color="auto" w:frame="1"/>
          <w:shd w:val="clear" w:color="auto" w:fill="FFFFFF"/>
          <w:lang w:val="de-DE"/>
        </w:rPr>
        <w:t>Promotion</w:t>
      </w:r>
      <w:r w:rsidRPr="00F037D5">
        <w:rPr>
          <w:rStyle w:val="Strong"/>
          <w:rFonts w:cs="Tahoma"/>
          <w:lang w:val="de-DE"/>
        </w:rPr>
        <w:t xml:space="preserve"> </w:t>
      </w:r>
    </w:p>
    <w:p w:rsidR="00D40DF3" w:rsidRPr="00F037D5" w:rsidRDefault="00D40DF3" w:rsidP="00652B91">
      <w:pPr>
        <w:rPr>
          <w:lang w:val="de-DE"/>
        </w:rPr>
      </w:pPr>
    </w:p>
    <w:p w:rsidR="00D94BF5" w:rsidRPr="00C83DF5" w:rsidRDefault="00D94BF5" w:rsidP="0047054A">
      <w:pPr>
        <w:spacing w:after="60"/>
        <w:rPr>
          <w:lang w:val="de-DE"/>
        </w:rPr>
      </w:pPr>
      <w:r w:rsidRPr="00C83DF5">
        <w:rPr>
          <w:b/>
          <w:lang w:val="de-DE"/>
        </w:rPr>
        <w:t>Streichungen</w:t>
      </w:r>
    </w:p>
    <w:p w:rsidR="00D40DF3" w:rsidRPr="00C83DF5" w:rsidRDefault="00D40DF3" w:rsidP="00652B91">
      <w:pPr>
        <w:rPr>
          <w:lang w:val="de-DE"/>
        </w:rPr>
      </w:pPr>
      <w:r w:rsidRPr="00C83DF5">
        <w:rPr>
          <w:lang w:val="de-DE"/>
        </w:rPr>
        <w:t>Office 365 Enterprise E2 (Nutzer-AL)</w:t>
      </w:r>
    </w:p>
    <w:p w:rsidR="00D40DF3" w:rsidRPr="00C83DF5" w:rsidRDefault="00D40DF3" w:rsidP="00652B91">
      <w:pPr>
        <w:rPr>
          <w:lang w:val="de-DE"/>
        </w:rPr>
      </w:pPr>
      <w:r w:rsidRPr="00C83DF5">
        <w:rPr>
          <w:lang w:val="de-DE"/>
        </w:rPr>
        <w:t>Office 365 Enterprise K2 (Nutzer-AL)</w:t>
      </w:r>
    </w:p>
    <w:p w:rsidR="00D40DF3" w:rsidRPr="00C83DF5" w:rsidRDefault="00D40DF3" w:rsidP="00652B91">
      <w:pPr>
        <w:rPr>
          <w:lang w:val="de-DE"/>
        </w:rPr>
      </w:pPr>
      <w:r w:rsidRPr="00C83DF5">
        <w:rPr>
          <w:lang w:val="de-DE"/>
        </w:rPr>
        <w:t>System Center Essentials 2010</w:t>
      </w:r>
    </w:p>
    <w:p w:rsidR="00D40DF3" w:rsidRPr="00C83DF5" w:rsidRDefault="00D40DF3" w:rsidP="00652B91">
      <w:pPr>
        <w:rPr>
          <w:lang w:val="de-DE"/>
        </w:rPr>
      </w:pPr>
      <w:r w:rsidRPr="00C83DF5">
        <w:rPr>
          <w:lang w:val="de-DE"/>
        </w:rPr>
        <w:t>Server-ML für System Center Essentials 2010</w:t>
      </w:r>
    </w:p>
    <w:p w:rsidR="00D40DF3" w:rsidRPr="00C83DF5" w:rsidRDefault="00D40DF3" w:rsidP="00652B91">
      <w:pPr>
        <w:rPr>
          <w:lang w:val="de-DE"/>
        </w:rPr>
      </w:pPr>
      <w:r w:rsidRPr="00C83DF5">
        <w:rPr>
          <w:lang w:val="de-DE"/>
        </w:rPr>
        <w:t>Client-ML für System Center Essentials 2010</w:t>
      </w:r>
    </w:p>
    <w:p w:rsidR="00D40DF3" w:rsidRPr="00C83DF5" w:rsidRDefault="00D40DF3" w:rsidP="00652B91">
      <w:pPr>
        <w:rPr>
          <w:lang w:val="de-DE"/>
        </w:rPr>
      </w:pPr>
      <w:r w:rsidRPr="00C83DF5">
        <w:rPr>
          <w:lang w:val="de-DE"/>
        </w:rPr>
        <w:t>Lizenz-Suite für System Center Essentials 2010 Client-Management</w:t>
      </w:r>
    </w:p>
    <w:p w:rsidR="00A86BEB" w:rsidRPr="00C83DF5" w:rsidRDefault="00A86BEB" w:rsidP="00652B91">
      <w:pPr>
        <w:rPr>
          <w:lang w:val="de-DE"/>
        </w:rPr>
      </w:pPr>
      <w:r w:rsidRPr="00C83DF5">
        <w:rPr>
          <w:lang w:val="de-DE"/>
        </w:rPr>
        <w:t>TechNet Plus Direct</w:t>
      </w:r>
    </w:p>
    <w:p w:rsidR="00A86BEB" w:rsidRPr="00C83DF5" w:rsidRDefault="00A86BEB" w:rsidP="00652B91">
      <w:pPr>
        <w:rPr>
          <w:lang w:val="de-DE"/>
        </w:rPr>
      </w:pPr>
      <w:r w:rsidRPr="00C83DF5">
        <w:rPr>
          <w:lang w:val="de-DE"/>
        </w:rPr>
        <w:t>TechNet Plus Einzelnutzer</w:t>
      </w:r>
    </w:p>
    <w:p w:rsidR="00D94BF5" w:rsidRPr="00C83DF5" w:rsidRDefault="00A86BEB" w:rsidP="00652B91">
      <w:pPr>
        <w:rPr>
          <w:lang w:val="de-DE"/>
        </w:rPr>
      </w:pPr>
      <w:r w:rsidRPr="00C83DF5">
        <w:rPr>
          <w:lang w:val="de-DE"/>
        </w:rPr>
        <w:t>TechNet-Abonnements</w:t>
      </w:r>
    </w:p>
    <w:p w:rsidR="00A86BEB" w:rsidRPr="00F037D5" w:rsidRDefault="00A86BEB" w:rsidP="00652B91">
      <w:pPr>
        <w:rPr>
          <w:lang w:val="de-DE"/>
        </w:rPr>
      </w:pPr>
    </w:p>
    <w:p w:rsidR="00D94BF5" w:rsidRPr="00C83DF5" w:rsidRDefault="00D94BF5" w:rsidP="0047054A">
      <w:pPr>
        <w:spacing w:after="60"/>
        <w:rPr>
          <w:lang w:val="de-DE"/>
        </w:rPr>
      </w:pPr>
      <w:r w:rsidRPr="00C83DF5">
        <w:rPr>
          <w:b/>
          <w:lang w:val="de-DE"/>
        </w:rPr>
        <w:t>Änderungen</w:t>
      </w:r>
    </w:p>
    <w:p w:rsidR="00471E00" w:rsidRPr="00C83DF5" w:rsidRDefault="00C358B7" w:rsidP="00652B91">
      <w:pPr>
        <w:rPr>
          <w:lang w:val="de-DE"/>
        </w:rPr>
      </w:pPr>
      <w:r w:rsidRPr="00C83DF5">
        <w:rPr>
          <w:rFonts w:cs="Tahoma"/>
          <w:color w:val="000000" w:themeColor="text1"/>
          <w:lang w:val="de-DE"/>
        </w:rPr>
        <w:t>Learning Solutions E-Reference Library (Nutzer-AL) wurde geändert in Microsoft Learning E-Reference Library (Nutzer-AL)</w:t>
      </w:r>
    </w:p>
    <w:p w:rsidR="00C358B7" w:rsidRPr="00C83DF5" w:rsidRDefault="00C358B7" w:rsidP="00652B91">
      <w:r w:rsidRPr="00C83DF5">
        <w:rPr>
          <w:rFonts w:cs="Tahoma"/>
          <w:color w:val="000000" w:themeColor="text1"/>
        </w:rPr>
        <w:t>Learning Solutions IT Academy (Nutzer-AL) wurde geändert in Microsoft Learning IT Academy (Nutzer-AL)</w:t>
      </w:r>
    </w:p>
    <w:p w:rsidR="00C358B7" w:rsidRPr="00C83DF5" w:rsidRDefault="00C358B7" w:rsidP="00652B91">
      <w:pPr>
        <w:rPr>
          <w:lang w:val="de-DE"/>
        </w:rPr>
      </w:pPr>
      <w:r w:rsidRPr="00C83DF5">
        <w:rPr>
          <w:rFonts w:cs="Tahoma"/>
          <w:color w:val="000000" w:themeColor="text1"/>
          <w:lang w:val="de-DE"/>
        </w:rPr>
        <w:t>Learning Solutions MCP 1 Prüfungsgutschein (Nutzer-AL) wurde geändert in Microsoft Learning MCP 1 Prüfungsgutscheine (Nutzer-AL)</w:t>
      </w:r>
    </w:p>
    <w:p w:rsidR="00C358B7" w:rsidRPr="00C83DF5" w:rsidRDefault="00C358B7" w:rsidP="00652B91">
      <w:pPr>
        <w:rPr>
          <w:lang w:val="de-DE"/>
        </w:rPr>
      </w:pPr>
      <w:r w:rsidRPr="00C83DF5">
        <w:rPr>
          <w:rFonts w:cs="Tahoma"/>
          <w:color w:val="000000" w:themeColor="text1"/>
          <w:lang w:val="de-DE"/>
        </w:rPr>
        <w:t>Learning Solutions MCP 30 Prüfungsgutschein (Nutzer-AL) wurde geändert in Microsoft Learning MCP 30 Prüfungsgutscheine (Nutzer-AL)</w:t>
      </w:r>
    </w:p>
    <w:p w:rsidR="00C358B7" w:rsidRPr="00C83DF5" w:rsidRDefault="00C358B7" w:rsidP="004B61AB">
      <w:pPr>
        <w:rPr>
          <w:lang w:val="de-DE"/>
        </w:rPr>
      </w:pPr>
      <w:r w:rsidRPr="00C83DF5">
        <w:rPr>
          <w:rFonts w:cs="Tahoma"/>
          <w:color w:val="000000" w:themeColor="text1"/>
          <w:lang w:val="de-DE"/>
        </w:rPr>
        <w:t>Learning Solutions MOS 500 Zertifizierungsprüfungs-Website (Nutzer-AL) wurde geändert in Microsoft Learning MOS</w:t>
      </w:r>
      <w:r w:rsidR="004B61AB" w:rsidRPr="00C83DF5">
        <w:rPr>
          <w:rFonts w:cs="Tahoma"/>
          <w:color w:val="000000" w:themeColor="text1"/>
          <w:lang w:val="de-DE"/>
        </w:rPr>
        <w:t> </w:t>
      </w:r>
      <w:r w:rsidRPr="00C83DF5">
        <w:rPr>
          <w:rFonts w:cs="Tahoma"/>
          <w:color w:val="000000" w:themeColor="text1"/>
          <w:lang w:val="de-DE"/>
        </w:rPr>
        <w:t xml:space="preserve">500 Zertifizierungsprüfungs-Website (Nutzer-AL) </w:t>
      </w:r>
    </w:p>
    <w:p w:rsidR="00C358B7" w:rsidRPr="00C83DF5" w:rsidRDefault="00C358B7" w:rsidP="004B61AB">
      <w:pPr>
        <w:rPr>
          <w:lang w:val="de-DE"/>
        </w:rPr>
      </w:pPr>
      <w:r w:rsidRPr="00C83DF5">
        <w:rPr>
          <w:rFonts w:cs="Tahoma"/>
          <w:color w:val="000000" w:themeColor="text1"/>
          <w:lang w:val="de-DE"/>
        </w:rPr>
        <w:t>Learning Solutions MTA 250 Zertifizierungsprüfungs-Website (Nutzer-AL) wurde geändert in Microsoft Learning MTA</w:t>
      </w:r>
      <w:r w:rsidR="004B61AB" w:rsidRPr="00C83DF5">
        <w:rPr>
          <w:rFonts w:cs="Tahoma"/>
          <w:color w:val="000000" w:themeColor="text1"/>
          <w:lang w:val="de-DE"/>
        </w:rPr>
        <w:t> </w:t>
      </w:r>
      <w:r w:rsidRPr="00C83DF5">
        <w:rPr>
          <w:rFonts w:cs="Tahoma"/>
          <w:color w:val="000000" w:themeColor="text1"/>
          <w:lang w:val="de-DE"/>
        </w:rPr>
        <w:t xml:space="preserve">250 Zertifizierungsprüfungs-Website (Nutzer-AL) </w:t>
      </w:r>
    </w:p>
    <w:p w:rsidR="00D94BF5" w:rsidRPr="00F037D5" w:rsidRDefault="00D94BF5" w:rsidP="00652B91">
      <w:pPr>
        <w:rPr>
          <w:color w:val="000000" w:themeColor="text1"/>
          <w:lang w:val="de-DE"/>
        </w:rPr>
      </w:pPr>
    </w:p>
    <w:p w:rsidR="0047054A" w:rsidRPr="00F037D5" w:rsidRDefault="0047054A" w:rsidP="00652B91">
      <w:pPr>
        <w:rPr>
          <w:color w:val="000000" w:themeColor="text1"/>
          <w:lang w:val="de-DE"/>
        </w:rPr>
      </w:pPr>
    </w:p>
    <w:p w:rsidR="007C2F29" w:rsidRPr="00F037D5" w:rsidRDefault="007C2F29" w:rsidP="00DE520D">
      <w:pPr>
        <w:pStyle w:val="Heading2"/>
        <w:ind w:left="0"/>
        <w:jc w:val="both"/>
        <w:rPr>
          <w:rFonts w:ascii="Tahoma" w:hAnsi="Tahoma" w:cs="Tahoma"/>
          <w:color w:val="FF6600"/>
          <w:lang w:val="de-DE"/>
        </w:rPr>
      </w:pPr>
      <w:bookmarkStart w:id="571" w:name="_Toc370983280"/>
      <w:r w:rsidRPr="00F037D5">
        <w:rPr>
          <w:rFonts w:ascii="Tahoma" w:hAnsi="Tahoma" w:cs="Tahoma"/>
          <w:color w:val="FF6600"/>
          <w:lang w:val="de-DE"/>
        </w:rPr>
        <w:t>ÄNDERUNGEN IM AUGUST 2013</w:t>
      </w:r>
      <w:bookmarkEnd w:id="571"/>
    </w:p>
    <w:p w:rsidR="007C2F29" w:rsidRPr="00F037D5" w:rsidRDefault="007C2F29" w:rsidP="007C2F29">
      <w:pPr>
        <w:spacing w:after="60"/>
        <w:rPr>
          <w:b/>
          <w:lang w:val="de-DE"/>
        </w:rPr>
      </w:pPr>
    </w:p>
    <w:p w:rsidR="007C2F29" w:rsidRPr="00F037D5" w:rsidRDefault="007C2F29" w:rsidP="007C2F29">
      <w:pPr>
        <w:spacing w:after="60"/>
        <w:rPr>
          <w:b/>
          <w:lang w:val="de-DE"/>
        </w:rPr>
      </w:pPr>
      <w:r w:rsidRPr="00F037D5">
        <w:rPr>
          <w:b/>
          <w:lang w:val="de-DE"/>
        </w:rPr>
        <w:t>Hinzufügungen</w:t>
      </w:r>
    </w:p>
    <w:p w:rsidR="006068C9" w:rsidRPr="00C83DF5" w:rsidRDefault="006068C9" w:rsidP="003F1A34">
      <w:pPr>
        <w:rPr>
          <w:lang w:val="de-DE"/>
        </w:rPr>
      </w:pPr>
      <w:r w:rsidRPr="00C83DF5">
        <w:rPr>
          <w:rFonts w:cs="Tahoma"/>
          <w:szCs w:val="18"/>
          <w:lang w:val="de-DE"/>
        </w:rPr>
        <w:t>Add-On für Exchange Online Plan 1 (Nutzer-AL)</w:t>
      </w:r>
    </w:p>
    <w:p w:rsidR="006068C9" w:rsidRPr="00C83DF5" w:rsidRDefault="006068C9" w:rsidP="003F1A34">
      <w:pPr>
        <w:rPr>
          <w:lang w:val="de-DE"/>
        </w:rPr>
      </w:pPr>
      <w:r w:rsidRPr="00C83DF5">
        <w:rPr>
          <w:rFonts w:cs="Tahoma"/>
          <w:szCs w:val="18"/>
          <w:lang w:val="de-DE"/>
        </w:rPr>
        <w:t>Add-On für Lync Online Plan 1 (Nutzer-AL)</w:t>
      </w:r>
    </w:p>
    <w:p w:rsidR="006068C9" w:rsidRPr="00C83DF5" w:rsidRDefault="006068C9" w:rsidP="003F1A34">
      <w:pPr>
        <w:rPr>
          <w:lang w:val="de-DE"/>
        </w:rPr>
      </w:pPr>
      <w:r w:rsidRPr="00C83DF5">
        <w:rPr>
          <w:rFonts w:cs="Tahoma"/>
          <w:szCs w:val="18"/>
          <w:lang w:val="de-DE"/>
        </w:rPr>
        <w:t>Add-On für SharePoint™ Online Plan 1 (Nutzer-AL)</w:t>
      </w:r>
    </w:p>
    <w:p w:rsidR="006068C9" w:rsidRPr="00C83DF5" w:rsidRDefault="006068C9" w:rsidP="003F1A34">
      <w:pPr>
        <w:rPr>
          <w:lang w:val="de-DE"/>
        </w:rPr>
      </w:pPr>
      <w:r w:rsidRPr="00C83DF5">
        <w:rPr>
          <w:rFonts w:cs="Tahoma"/>
          <w:szCs w:val="18"/>
          <w:lang w:val="de-DE"/>
        </w:rPr>
        <w:t>Add-On für SharePoint™ Online Plan 1 mit Yammer (Nutzer-AL)</w:t>
      </w:r>
    </w:p>
    <w:p w:rsidR="006068C9" w:rsidRPr="00C83DF5" w:rsidRDefault="006068C9" w:rsidP="003F1A34">
      <w:pPr>
        <w:rPr>
          <w:lang w:val="de-DE"/>
        </w:rPr>
      </w:pPr>
      <w:r w:rsidRPr="00C83DF5">
        <w:rPr>
          <w:rFonts w:cs="Tahoma"/>
          <w:szCs w:val="18"/>
          <w:lang w:val="de-DE"/>
        </w:rPr>
        <w:t>Add-On für Office 365 Enterprise E1, E3, E4 (Nutzer-AL)</w:t>
      </w:r>
    </w:p>
    <w:p w:rsidR="006068C9" w:rsidRPr="00C83DF5" w:rsidRDefault="006068C9" w:rsidP="003F1A34">
      <w:pPr>
        <w:rPr>
          <w:lang w:val="de-DE"/>
        </w:rPr>
      </w:pPr>
      <w:r w:rsidRPr="00C83DF5">
        <w:rPr>
          <w:rFonts w:cs="Tahoma"/>
          <w:szCs w:val="18"/>
          <w:lang w:val="de-DE"/>
        </w:rPr>
        <w:t>Add-On für Office 365 Government G1, G3, G4 (Nutzer-AL)</w:t>
      </w:r>
    </w:p>
    <w:p w:rsidR="006068C9" w:rsidRPr="00C83DF5" w:rsidRDefault="006068C9" w:rsidP="003F1A34">
      <w:pPr>
        <w:rPr>
          <w:lang w:val="de-DE"/>
        </w:rPr>
      </w:pPr>
      <w:r w:rsidRPr="00C83DF5">
        <w:rPr>
          <w:rFonts w:cs="Tahoma"/>
          <w:szCs w:val="18"/>
          <w:lang w:val="de-DE"/>
        </w:rPr>
        <w:t>Add-On für Office 365 Enterprise E3, E4 ohne Office Pro Plus (Nutzer-AL)</w:t>
      </w:r>
    </w:p>
    <w:p w:rsidR="007C2F29" w:rsidRPr="00C83DF5" w:rsidRDefault="006068C9" w:rsidP="003F1A34">
      <w:pPr>
        <w:rPr>
          <w:lang w:val="de-DE"/>
        </w:rPr>
      </w:pPr>
      <w:r w:rsidRPr="00C83DF5">
        <w:rPr>
          <w:rFonts w:cs="Tahoma"/>
          <w:szCs w:val="18"/>
          <w:lang w:val="de-DE"/>
        </w:rPr>
        <w:t>Add-On für Office 365 Government G3, G4 ohne Office Pro Plus (Nutzer-AL)</w:t>
      </w:r>
    </w:p>
    <w:p w:rsidR="006068C9" w:rsidRPr="00F037D5" w:rsidRDefault="006068C9" w:rsidP="007C2F29">
      <w:pPr>
        <w:spacing w:after="60"/>
        <w:rPr>
          <w:b/>
          <w:lang w:val="de-DE"/>
        </w:rPr>
      </w:pPr>
    </w:p>
    <w:p w:rsidR="007C2F29" w:rsidRPr="00F037D5" w:rsidRDefault="007C2F29" w:rsidP="007C2F29">
      <w:pPr>
        <w:spacing w:after="60"/>
        <w:rPr>
          <w:b/>
          <w:lang w:val="de-DE"/>
        </w:rPr>
      </w:pPr>
      <w:r w:rsidRPr="00F037D5">
        <w:rPr>
          <w:b/>
          <w:lang w:val="de-DE"/>
        </w:rPr>
        <w:t>Promotions</w:t>
      </w:r>
    </w:p>
    <w:p w:rsidR="00DB6980" w:rsidRPr="00C83DF5" w:rsidRDefault="00DB6980" w:rsidP="003F1A34">
      <w:pPr>
        <w:rPr>
          <w:lang w:val="de-DE"/>
        </w:rPr>
      </w:pPr>
      <w:r w:rsidRPr="00C83DF5">
        <w:rPr>
          <w:rFonts w:cs="Tahoma"/>
          <w:szCs w:val="18"/>
          <w:lang w:val="de-DE"/>
        </w:rPr>
        <w:t>Die folgenden Promotions wurden gelöscht:</w:t>
      </w:r>
    </w:p>
    <w:p w:rsidR="006068C9" w:rsidRPr="00C83DF5" w:rsidRDefault="003F5594" w:rsidP="003F1A34">
      <w:pPr>
        <w:rPr>
          <w:lang w:val="de-DE"/>
        </w:rPr>
      </w:pPr>
      <w:r w:rsidRPr="00C83DF5">
        <w:rPr>
          <w:rFonts w:cs="Tahoma"/>
          <w:szCs w:val="18"/>
          <w:lang w:val="de-DE"/>
        </w:rPr>
        <w:t>Microsoft Dynamics AX 2012 R2 Eine Enterprise CAL kaufen, eine Funktions-CAL dazu</w:t>
      </w:r>
    </w:p>
    <w:p w:rsidR="003F5594" w:rsidRPr="00C83DF5" w:rsidRDefault="003F5594" w:rsidP="003F1A34">
      <w:r w:rsidRPr="00C83DF5">
        <w:rPr>
          <w:rFonts w:cs="Tahoma"/>
          <w:szCs w:val="18"/>
        </w:rPr>
        <w:t>15</w:t>
      </w:r>
      <w:r w:rsidR="00855C44">
        <w:rPr>
          <w:rFonts w:cs="Tahoma"/>
          <w:szCs w:val="18"/>
        </w:rPr>
        <w:t>%</w:t>
      </w:r>
      <w:r w:rsidRPr="00C83DF5">
        <w:rPr>
          <w:rFonts w:cs="Tahoma"/>
          <w:szCs w:val="18"/>
        </w:rPr>
        <w:t xml:space="preserve"> Preisnachlass auf Project/Visio-Step Ups</w:t>
      </w:r>
    </w:p>
    <w:p w:rsidR="003F5594" w:rsidRPr="00C83DF5" w:rsidRDefault="003F5594" w:rsidP="003F1A34">
      <w:pPr>
        <w:rPr>
          <w:lang w:val="de-DE"/>
        </w:rPr>
      </w:pPr>
      <w:r w:rsidRPr="00C83DF5">
        <w:rPr>
          <w:rFonts w:cs="Tahoma"/>
          <w:szCs w:val="18"/>
          <w:lang w:val="de-DE"/>
        </w:rPr>
        <w:t>55</w:t>
      </w:r>
      <w:r w:rsidR="00855C44">
        <w:rPr>
          <w:rFonts w:cs="Tahoma"/>
          <w:szCs w:val="18"/>
          <w:lang w:val="de-DE"/>
        </w:rPr>
        <w:t>%</w:t>
      </w:r>
      <w:r w:rsidRPr="00C83DF5">
        <w:rPr>
          <w:rFonts w:cs="Tahoma"/>
          <w:szCs w:val="18"/>
          <w:lang w:val="de-DE"/>
        </w:rPr>
        <w:t xml:space="preserve"> Preisnachlass auf CAL für Project Server bei Unternehmensweitem Kauf</w:t>
      </w:r>
    </w:p>
    <w:p w:rsidR="003F5594" w:rsidRPr="00F037D5" w:rsidRDefault="003F5594" w:rsidP="003F1A34">
      <w:pPr>
        <w:rPr>
          <w:rFonts w:cs="Tahoma"/>
          <w:szCs w:val="18"/>
          <w:lang w:val="de-DE"/>
        </w:rPr>
      </w:pPr>
    </w:p>
    <w:p w:rsidR="007C2F29" w:rsidRPr="00F037D5" w:rsidRDefault="007C2F29" w:rsidP="007C2F29">
      <w:pPr>
        <w:spacing w:after="60"/>
        <w:rPr>
          <w:b/>
          <w:lang w:val="de-DE"/>
        </w:rPr>
      </w:pPr>
      <w:r w:rsidRPr="00F037D5">
        <w:rPr>
          <w:b/>
          <w:lang w:val="de-DE"/>
        </w:rPr>
        <w:t>Streichungen</w:t>
      </w:r>
    </w:p>
    <w:p w:rsidR="007C2F29" w:rsidRPr="00F037D5" w:rsidRDefault="007C2F29" w:rsidP="007C2F29">
      <w:pPr>
        <w:spacing w:after="60"/>
        <w:rPr>
          <w:lang w:val="de-DE"/>
        </w:rPr>
      </w:pPr>
    </w:p>
    <w:p w:rsidR="007C2F29" w:rsidRPr="00C83DF5" w:rsidRDefault="007C2F29" w:rsidP="007C2F29">
      <w:pPr>
        <w:spacing w:after="60"/>
        <w:rPr>
          <w:lang w:val="de-DE"/>
        </w:rPr>
      </w:pPr>
      <w:r w:rsidRPr="00C83DF5">
        <w:rPr>
          <w:b/>
          <w:lang w:val="de-DE"/>
        </w:rPr>
        <w:t>Änderungen</w:t>
      </w:r>
    </w:p>
    <w:p w:rsidR="006068C9" w:rsidRPr="00C83DF5" w:rsidRDefault="006068C9" w:rsidP="006068C9">
      <w:pPr>
        <w:rPr>
          <w:lang w:val="de-DE"/>
        </w:rPr>
      </w:pPr>
      <w:r w:rsidRPr="00C83DF5">
        <w:rPr>
          <w:rFonts w:cs="Tahoma"/>
          <w:szCs w:val="18"/>
          <w:lang w:val="de-DE"/>
        </w:rPr>
        <w:lastRenderedPageBreak/>
        <w:t>Office 365 A3, A4 (Nutzer-AL)</w:t>
      </w:r>
    </w:p>
    <w:p w:rsidR="006068C9" w:rsidRPr="00C83DF5" w:rsidRDefault="000F1BE7" w:rsidP="006068C9">
      <w:pPr>
        <w:rPr>
          <w:lang w:val="it-IT"/>
        </w:rPr>
      </w:pPr>
      <w:r w:rsidRPr="00C83DF5">
        <w:rPr>
          <w:rFonts w:cs="Tahoma"/>
          <w:szCs w:val="18"/>
          <w:lang w:val="it-IT"/>
        </w:rPr>
        <w:t>Office 365 Enterprise E2-E4 (Nutzer-AL)</w:t>
      </w:r>
    </w:p>
    <w:p w:rsidR="007C2F29" w:rsidRPr="00C83DF5" w:rsidRDefault="007C2F29" w:rsidP="007C2F29">
      <w:pPr>
        <w:rPr>
          <w:lang w:val="it-IT"/>
        </w:rPr>
      </w:pPr>
    </w:p>
    <w:p w:rsidR="007C2F29" w:rsidRPr="00C83DF5" w:rsidRDefault="007C2F29" w:rsidP="007C2F29">
      <w:pPr>
        <w:rPr>
          <w:lang w:val="it-IT"/>
        </w:rPr>
      </w:pPr>
    </w:p>
    <w:p w:rsidR="00DE520D" w:rsidRPr="00C83DF5" w:rsidRDefault="00DE520D" w:rsidP="00DE520D">
      <w:pPr>
        <w:pStyle w:val="Heading2"/>
        <w:ind w:left="0"/>
        <w:jc w:val="both"/>
        <w:rPr>
          <w:lang w:val="de-DE"/>
        </w:rPr>
      </w:pPr>
      <w:bookmarkStart w:id="572" w:name="_Toc370983281"/>
      <w:r w:rsidRPr="00C83DF5">
        <w:rPr>
          <w:rFonts w:ascii="Tahoma" w:hAnsi="Tahoma" w:cs="Tahoma"/>
          <w:color w:val="FF6600"/>
          <w:lang w:val="de-DE"/>
        </w:rPr>
        <w:t>ÄNDERUNGEN IM JULI 2013</w:t>
      </w:r>
      <w:bookmarkEnd w:id="572"/>
    </w:p>
    <w:p w:rsidR="00DE520D" w:rsidRPr="00F037D5" w:rsidRDefault="00DE520D" w:rsidP="00DE520D">
      <w:pPr>
        <w:rPr>
          <w:sz w:val="16"/>
          <w:szCs w:val="16"/>
          <w:lang w:val="de-DE"/>
        </w:rPr>
      </w:pPr>
    </w:p>
    <w:p w:rsidR="00DE520D" w:rsidRPr="00C83DF5" w:rsidRDefault="00DE520D" w:rsidP="00DE520D">
      <w:pPr>
        <w:spacing w:after="60"/>
        <w:rPr>
          <w:lang w:val="de-DE"/>
        </w:rPr>
      </w:pPr>
      <w:r w:rsidRPr="00C83DF5">
        <w:rPr>
          <w:b/>
          <w:lang w:val="de-DE"/>
        </w:rPr>
        <w:t>Hinzufügungen</w:t>
      </w:r>
    </w:p>
    <w:p w:rsidR="00DE520D" w:rsidRPr="00C83DF5" w:rsidRDefault="00230E06" w:rsidP="00DE520D">
      <w:pPr>
        <w:rPr>
          <w:lang w:val="de-DE"/>
        </w:rPr>
      </w:pPr>
      <w:r w:rsidRPr="00C83DF5">
        <w:rPr>
          <w:rFonts w:cs="Tahoma"/>
          <w:szCs w:val="18"/>
          <w:lang w:val="de-DE"/>
        </w:rPr>
        <w:t>Windows</w:t>
      </w:r>
      <w:r w:rsidRPr="00C83DF5">
        <w:rPr>
          <w:rFonts w:cs="Tahoma"/>
          <w:szCs w:val="18"/>
          <w:vertAlign w:val="superscript"/>
          <w:lang w:val="de-DE"/>
        </w:rPr>
        <w:t>®</w:t>
      </w:r>
      <w:r w:rsidRPr="00C83DF5">
        <w:rPr>
          <w:rFonts w:cs="Tahoma"/>
          <w:szCs w:val="18"/>
          <w:lang w:val="de-DE"/>
        </w:rPr>
        <w:t xml:space="preserve"> Embedded 8 Industry Pro</w:t>
      </w:r>
    </w:p>
    <w:p w:rsidR="00230E06" w:rsidRPr="00C83DF5" w:rsidRDefault="00230E06" w:rsidP="00DE520D">
      <w:r w:rsidRPr="00C83DF5">
        <w:rPr>
          <w:rFonts w:cs="Tahoma"/>
          <w:szCs w:val="18"/>
        </w:rPr>
        <w:t>Windows</w:t>
      </w:r>
      <w:r w:rsidRPr="00C83DF5">
        <w:rPr>
          <w:rFonts w:cs="Tahoma"/>
          <w:szCs w:val="18"/>
          <w:vertAlign w:val="superscript"/>
        </w:rPr>
        <w:t>®</w:t>
      </w:r>
      <w:r w:rsidRPr="00C83DF5">
        <w:rPr>
          <w:rFonts w:cs="Tahoma"/>
          <w:szCs w:val="18"/>
        </w:rPr>
        <w:t xml:space="preserve"> Embedded 8 Standard Enterprise Kit</w:t>
      </w:r>
    </w:p>
    <w:p w:rsidR="00230E06" w:rsidRPr="00C83DF5" w:rsidRDefault="00230E06" w:rsidP="00DE520D">
      <w:r w:rsidRPr="00C83DF5">
        <w:rPr>
          <w:rFonts w:cs="Tahoma"/>
          <w:szCs w:val="18"/>
        </w:rPr>
        <w:t>Windows</w:t>
      </w:r>
      <w:r w:rsidRPr="00C83DF5">
        <w:rPr>
          <w:rFonts w:cs="Tahoma"/>
          <w:szCs w:val="18"/>
          <w:vertAlign w:val="superscript"/>
        </w:rPr>
        <w:t>®</w:t>
      </w:r>
      <w:r w:rsidRPr="00C83DF5">
        <w:rPr>
          <w:rFonts w:cs="Tahoma"/>
          <w:szCs w:val="18"/>
        </w:rPr>
        <w:t xml:space="preserve"> Embedded 8 Industry Pro Sideloading</w:t>
      </w:r>
    </w:p>
    <w:p w:rsidR="00F23DD6" w:rsidRPr="00C83DF5" w:rsidRDefault="00F23DD6" w:rsidP="00DE520D">
      <w:pPr>
        <w:rPr>
          <w:lang w:val="de-DE"/>
        </w:rPr>
      </w:pPr>
      <w:r w:rsidRPr="00C83DF5">
        <w:rPr>
          <w:rFonts w:cs="Tahoma"/>
          <w:szCs w:val="18"/>
          <w:lang w:val="de-DE"/>
        </w:rPr>
        <w:t>Windows</w:t>
      </w:r>
      <w:r w:rsidRPr="00C83DF5">
        <w:rPr>
          <w:rFonts w:cs="Tahoma"/>
          <w:szCs w:val="18"/>
          <w:vertAlign w:val="superscript"/>
          <w:lang w:val="de-DE"/>
        </w:rPr>
        <w:t>®</w:t>
      </w:r>
      <w:r w:rsidRPr="00C83DF5">
        <w:rPr>
          <w:rFonts w:cs="Tahoma"/>
          <w:szCs w:val="18"/>
          <w:lang w:val="de-DE"/>
        </w:rPr>
        <w:t xml:space="preserve"> 8 Pro Sideloading</w:t>
      </w:r>
    </w:p>
    <w:p w:rsidR="00DE520D" w:rsidRPr="00F037D5" w:rsidRDefault="00DE520D" w:rsidP="00DE520D">
      <w:pPr>
        <w:rPr>
          <w:rFonts w:cs="Tahoma"/>
          <w:sz w:val="16"/>
          <w:szCs w:val="16"/>
          <w:lang w:val="de-DE"/>
        </w:rPr>
      </w:pPr>
    </w:p>
    <w:p w:rsidR="00DE520D" w:rsidRPr="00C83DF5" w:rsidRDefault="00DE520D" w:rsidP="00DE520D">
      <w:pPr>
        <w:spacing w:after="60"/>
        <w:rPr>
          <w:lang w:val="de-DE"/>
        </w:rPr>
      </w:pPr>
      <w:r w:rsidRPr="00C83DF5">
        <w:rPr>
          <w:b/>
          <w:lang w:val="de-DE"/>
        </w:rPr>
        <w:t>Promotions</w:t>
      </w:r>
    </w:p>
    <w:p w:rsidR="00DE520D" w:rsidRPr="00C83DF5" w:rsidRDefault="00230E06" w:rsidP="00DE520D">
      <w:pPr>
        <w:rPr>
          <w:lang w:val="de-DE"/>
        </w:rPr>
      </w:pPr>
      <w:r w:rsidRPr="00C83DF5">
        <w:rPr>
          <w:rFonts w:cs="Tahoma"/>
          <w:color w:val="000000"/>
          <w:szCs w:val="18"/>
          <w:lang w:val="de-DE"/>
        </w:rPr>
        <w:t>Keine Änderungen an den Promotions</w:t>
      </w:r>
    </w:p>
    <w:p w:rsidR="00DE520D" w:rsidRPr="00F037D5" w:rsidRDefault="00DE520D" w:rsidP="00DE520D">
      <w:pPr>
        <w:rPr>
          <w:rFonts w:cs="Tahoma"/>
          <w:color w:val="000000"/>
          <w:sz w:val="16"/>
          <w:szCs w:val="16"/>
          <w:lang w:val="de-DE"/>
        </w:rPr>
      </w:pPr>
    </w:p>
    <w:p w:rsidR="00DE520D" w:rsidRPr="00C83DF5" w:rsidRDefault="00DE520D" w:rsidP="00DE520D">
      <w:pPr>
        <w:spacing w:after="60"/>
        <w:rPr>
          <w:lang w:val="de-DE"/>
        </w:rPr>
      </w:pPr>
      <w:r w:rsidRPr="00C83DF5">
        <w:rPr>
          <w:b/>
          <w:lang w:val="de-DE"/>
        </w:rPr>
        <w:t>Streichungen</w:t>
      </w:r>
    </w:p>
    <w:p w:rsidR="00DE520D" w:rsidRPr="00C83DF5" w:rsidRDefault="00230E06" w:rsidP="00DE520D">
      <w:pPr>
        <w:rPr>
          <w:lang w:val="de-DE"/>
        </w:rPr>
      </w:pPr>
      <w:r w:rsidRPr="00C83DF5">
        <w:rPr>
          <w:rFonts w:cs="Tahoma"/>
          <w:color w:val="000000"/>
          <w:szCs w:val="20"/>
          <w:lang w:val="de-DE"/>
        </w:rPr>
        <w:t>Vexcel Server</w:t>
      </w:r>
    </w:p>
    <w:p w:rsidR="00230E06" w:rsidRPr="00C83DF5" w:rsidRDefault="00230E06" w:rsidP="00DE520D">
      <w:pPr>
        <w:rPr>
          <w:lang w:val="de-DE"/>
        </w:rPr>
      </w:pPr>
      <w:r w:rsidRPr="00C83DF5">
        <w:rPr>
          <w:rFonts w:cs="Tahoma"/>
          <w:color w:val="000000"/>
          <w:szCs w:val="20"/>
          <w:lang w:val="de-DE"/>
        </w:rPr>
        <w:t>Vexcel Server mit Erweitertem Inhaltspaket</w:t>
      </w:r>
    </w:p>
    <w:p w:rsidR="00230E06" w:rsidRPr="00C83DF5" w:rsidRDefault="00230E06" w:rsidP="00DE520D">
      <w:pPr>
        <w:rPr>
          <w:lang w:val="de-DE"/>
        </w:rPr>
      </w:pPr>
      <w:r w:rsidRPr="00C83DF5">
        <w:rPr>
          <w:rFonts w:cs="Tahoma"/>
          <w:color w:val="000000"/>
          <w:szCs w:val="20"/>
          <w:lang w:val="de-DE"/>
        </w:rPr>
        <w:t>Vexcel Desktop mit Erweitertem Inhaltspaket</w:t>
      </w:r>
    </w:p>
    <w:p w:rsidR="00230E06" w:rsidRPr="00C83DF5" w:rsidRDefault="00230E06" w:rsidP="00DE520D">
      <w:pPr>
        <w:rPr>
          <w:lang w:val="de-DE"/>
        </w:rPr>
      </w:pPr>
      <w:r w:rsidRPr="00C83DF5">
        <w:rPr>
          <w:rFonts w:cs="Tahoma"/>
          <w:color w:val="000000"/>
          <w:szCs w:val="20"/>
          <w:lang w:val="de-DE"/>
        </w:rPr>
        <w:t>GeoSynther 3.0</w:t>
      </w:r>
    </w:p>
    <w:p w:rsidR="00230E06" w:rsidRPr="00C83DF5" w:rsidRDefault="00230E06" w:rsidP="00DE520D">
      <w:r w:rsidRPr="00C83DF5">
        <w:rPr>
          <w:rFonts w:cs="Tahoma"/>
          <w:color w:val="000000"/>
          <w:szCs w:val="20"/>
        </w:rPr>
        <w:t>GeoSynth Viewer 3.0</w:t>
      </w:r>
    </w:p>
    <w:p w:rsidR="00230E06" w:rsidRPr="00C83DF5" w:rsidRDefault="00230E06" w:rsidP="00DE520D">
      <w:r w:rsidRPr="00C83DF5">
        <w:rPr>
          <w:rFonts w:cs="Tahoma"/>
          <w:color w:val="000000"/>
          <w:szCs w:val="20"/>
        </w:rPr>
        <w:t>GeoSynth Server</w:t>
      </w:r>
    </w:p>
    <w:p w:rsidR="00230E06" w:rsidRPr="00C83DF5" w:rsidRDefault="00230E06" w:rsidP="00230E06">
      <w:r w:rsidRPr="00C83DF5">
        <w:rPr>
          <w:rFonts w:eastAsia="Times New Roman" w:cs="Tahoma"/>
          <w:szCs w:val="18"/>
        </w:rPr>
        <w:t>Add-On für Windows Small Business Server 2011 Premium (5 Clients)</w:t>
      </w:r>
    </w:p>
    <w:p w:rsidR="00230E06" w:rsidRPr="00C83DF5" w:rsidRDefault="00230E06" w:rsidP="00230E06">
      <w:r w:rsidRPr="00C83DF5">
        <w:rPr>
          <w:rFonts w:eastAsia="Times New Roman" w:cs="Tahoma"/>
          <w:szCs w:val="18"/>
        </w:rPr>
        <w:t>Windows Small Business Server 2011 Standard (5 Clients)</w:t>
      </w:r>
    </w:p>
    <w:p w:rsidR="00230E06" w:rsidRPr="00C83DF5" w:rsidRDefault="00230E06" w:rsidP="00230E06">
      <w:pPr>
        <w:rPr>
          <w:lang w:val="de-DE"/>
        </w:rPr>
      </w:pPr>
      <w:r w:rsidRPr="00C83DF5">
        <w:rPr>
          <w:rFonts w:eastAsia="Times New Roman" w:cs="Tahoma"/>
          <w:szCs w:val="18"/>
          <w:lang w:val="de-DE"/>
        </w:rPr>
        <w:t>CAL-Suite für Windows Small Business Server 2008 für Premium-Nutzer oder -Geräte</w:t>
      </w:r>
    </w:p>
    <w:p w:rsidR="00230E06" w:rsidRPr="00C83DF5" w:rsidRDefault="00230E06" w:rsidP="00230E06">
      <w:pPr>
        <w:rPr>
          <w:lang w:val="de-DE"/>
        </w:rPr>
      </w:pPr>
      <w:r w:rsidRPr="00C83DF5">
        <w:rPr>
          <w:rFonts w:eastAsia="Times New Roman" w:cs="Tahoma"/>
          <w:szCs w:val="18"/>
          <w:lang w:val="de-DE"/>
        </w:rPr>
        <w:t>CAL-Suite für Windows Small Business Server 2008 für Premium-Nutzer oder -Geräte (5 Clients)</w:t>
      </w:r>
    </w:p>
    <w:p w:rsidR="00230E06" w:rsidRPr="00C83DF5" w:rsidRDefault="00230E06" w:rsidP="00DE520D">
      <w:pPr>
        <w:rPr>
          <w:lang w:val="de-DE"/>
        </w:rPr>
      </w:pPr>
      <w:r w:rsidRPr="00C83DF5">
        <w:rPr>
          <w:rFonts w:eastAsia="Times New Roman" w:cs="Tahoma"/>
          <w:szCs w:val="18"/>
          <w:lang w:val="de-DE"/>
        </w:rPr>
        <w:t>CAL-Suite für Windows Small Business Server 2008 für Premium-Nutzer oder -Geräte (20 Clients)</w:t>
      </w:r>
    </w:p>
    <w:p w:rsidR="00DE520D" w:rsidRPr="00F037D5" w:rsidRDefault="00DE520D" w:rsidP="00DE520D">
      <w:pPr>
        <w:rPr>
          <w:rFonts w:cs="Tahoma"/>
          <w:color w:val="000000"/>
          <w:sz w:val="16"/>
          <w:szCs w:val="16"/>
          <w:lang w:val="de-DE"/>
        </w:rPr>
      </w:pPr>
    </w:p>
    <w:p w:rsidR="00DE520D" w:rsidRPr="00C83DF5" w:rsidRDefault="00DE520D" w:rsidP="00DE520D">
      <w:pPr>
        <w:spacing w:after="60"/>
        <w:rPr>
          <w:lang w:val="de-DE"/>
        </w:rPr>
      </w:pPr>
      <w:r w:rsidRPr="00C83DF5">
        <w:rPr>
          <w:b/>
          <w:lang w:val="de-DE"/>
        </w:rPr>
        <w:t>Änderungen</w:t>
      </w:r>
    </w:p>
    <w:p w:rsidR="00230E06" w:rsidRPr="00C83DF5" w:rsidRDefault="00230E06" w:rsidP="00230E06">
      <w:pPr>
        <w:rPr>
          <w:rFonts w:cs="Tahoma"/>
          <w:szCs w:val="18"/>
          <w:lang w:val="de-DE"/>
        </w:rPr>
      </w:pPr>
      <w:r w:rsidRPr="00C83DF5">
        <w:rPr>
          <w:rFonts w:eastAsia="Times New Roman" w:cs="Tahoma"/>
          <w:szCs w:val="18"/>
          <w:lang w:val="de-DE"/>
        </w:rPr>
        <w:t>Visual Studio</w:t>
      </w:r>
      <w:r w:rsidRPr="00C83DF5">
        <w:rPr>
          <w:rFonts w:eastAsia="Times New Roman" w:cs="Tahoma"/>
          <w:szCs w:val="18"/>
          <w:vertAlign w:val="superscript"/>
          <w:lang w:val="de-DE"/>
        </w:rPr>
        <w:t>®</w:t>
      </w:r>
      <w:r w:rsidRPr="00C83DF5">
        <w:rPr>
          <w:rFonts w:eastAsia="Times New Roman" w:cs="Tahoma"/>
          <w:szCs w:val="18"/>
          <w:lang w:val="de-DE"/>
        </w:rPr>
        <w:t xml:space="preserve"> Premium 2012 mit MSDN</w:t>
      </w:r>
    </w:p>
    <w:p w:rsidR="00230E06" w:rsidRPr="00C83DF5" w:rsidRDefault="00230E06" w:rsidP="00230E06">
      <w:pPr>
        <w:rPr>
          <w:rFonts w:cs="Tahoma"/>
          <w:szCs w:val="18"/>
          <w:lang w:val="de-DE"/>
        </w:rPr>
      </w:pPr>
      <w:r w:rsidRPr="00C83DF5">
        <w:rPr>
          <w:rFonts w:eastAsia="Times New Roman" w:cs="Tahoma"/>
          <w:szCs w:val="18"/>
          <w:lang w:val="de-DE"/>
        </w:rPr>
        <w:t>Visual Studio</w:t>
      </w:r>
      <w:r w:rsidRPr="00C83DF5">
        <w:rPr>
          <w:rFonts w:eastAsia="Times New Roman" w:cs="Tahoma"/>
          <w:szCs w:val="18"/>
          <w:vertAlign w:val="superscript"/>
          <w:lang w:val="de-DE"/>
        </w:rPr>
        <w:t>®</w:t>
      </w:r>
      <w:r w:rsidRPr="00C83DF5">
        <w:rPr>
          <w:rFonts w:eastAsia="Times New Roman" w:cs="Tahoma"/>
          <w:szCs w:val="18"/>
          <w:lang w:val="de-DE"/>
        </w:rPr>
        <w:t xml:space="preserve"> Ultimate 2012 mit MSDN</w:t>
      </w:r>
    </w:p>
    <w:p w:rsidR="00230E06" w:rsidRPr="00C83DF5" w:rsidRDefault="00230E06" w:rsidP="00230E06">
      <w:pPr>
        <w:rPr>
          <w:rFonts w:cs="Tahoma"/>
          <w:szCs w:val="18"/>
          <w:lang w:val="de-DE"/>
        </w:rPr>
      </w:pPr>
      <w:r w:rsidRPr="00C83DF5">
        <w:rPr>
          <w:rFonts w:eastAsia="Times New Roman" w:cs="Tahoma"/>
          <w:szCs w:val="18"/>
          <w:lang w:val="de-DE"/>
        </w:rPr>
        <w:t>Windows Vista DVD Playback Pack</w:t>
      </w:r>
    </w:p>
    <w:p w:rsidR="00DE520D" w:rsidRPr="00C83DF5" w:rsidRDefault="00230E06" w:rsidP="00862623">
      <w:pPr>
        <w:rPr>
          <w:rFonts w:cs="Tahoma"/>
          <w:szCs w:val="18"/>
          <w:lang w:val="de-DE"/>
        </w:rPr>
      </w:pPr>
      <w:r w:rsidRPr="00C83DF5">
        <w:rPr>
          <w:rFonts w:eastAsia="Times New Roman" w:cs="Tahoma"/>
          <w:szCs w:val="18"/>
          <w:lang w:val="de-DE"/>
        </w:rPr>
        <w:t>Windows 8 Enterprise Sideloading (100 Pack)</w:t>
      </w:r>
    </w:p>
    <w:p w:rsidR="00862623" w:rsidRPr="005D3212" w:rsidRDefault="00862623" w:rsidP="00862623">
      <w:pPr>
        <w:rPr>
          <w:sz w:val="16"/>
          <w:szCs w:val="16"/>
          <w:lang w:val="de-DE"/>
        </w:rPr>
      </w:pPr>
    </w:p>
    <w:p w:rsidR="00862623" w:rsidRPr="005D3212" w:rsidRDefault="00862623" w:rsidP="00862623">
      <w:pPr>
        <w:rPr>
          <w:sz w:val="16"/>
          <w:szCs w:val="16"/>
          <w:lang w:val="de-DE"/>
        </w:rPr>
      </w:pPr>
    </w:p>
    <w:p w:rsidR="00471E00" w:rsidRPr="00F037D5" w:rsidRDefault="00471E00" w:rsidP="00471E00">
      <w:pPr>
        <w:pStyle w:val="Heading2"/>
        <w:ind w:left="0"/>
        <w:jc w:val="both"/>
        <w:rPr>
          <w:rFonts w:ascii="Tahoma" w:hAnsi="Tahoma" w:cs="Tahoma"/>
          <w:color w:val="FF6600"/>
          <w:lang w:val="de-DE"/>
        </w:rPr>
      </w:pPr>
      <w:bookmarkStart w:id="573" w:name="_Toc370983282"/>
      <w:r w:rsidRPr="00F037D5">
        <w:rPr>
          <w:rFonts w:ascii="Tahoma" w:hAnsi="Tahoma" w:cs="Tahoma"/>
          <w:color w:val="FF6600"/>
          <w:lang w:val="de-DE"/>
        </w:rPr>
        <w:t>ÄNDERUNGEN IM JUNI 2013</w:t>
      </w:r>
      <w:bookmarkEnd w:id="573"/>
    </w:p>
    <w:p w:rsidR="00471E00" w:rsidRPr="00F037D5" w:rsidRDefault="00471E00" w:rsidP="00471E00">
      <w:pPr>
        <w:rPr>
          <w:b/>
          <w:sz w:val="16"/>
          <w:szCs w:val="16"/>
          <w:lang w:val="de-DE"/>
        </w:rPr>
      </w:pPr>
    </w:p>
    <w:p w:rsidR="00471E00" w:rsidRPr="00C83DF5" w:rsidRDefault="00471E00" w:rsidP="00471E00">
      <w:pPr>
        <w:spacing w:after="60"/>
      </w:pPr>
      <w:r w:rsidRPr="00C83DF5">
        <w:rPr>
          <w:b/>
        </w:rPr>
        <w:t>Hinzufügungen</w:t>
      </w:r>
    </w:p>
    <w:p w:rsidR="00471E00" w:rsidRPr="00C83DF5" w:rsidRDefault="00471E00" w:rsidP="00471E00">
      <w:r w:rsidRPr="00C83DF5">
        <w:rPr>
          <w:rFonts w:cs="Tahoma"/>
          <w:szCs w:val="18"/>
        </w:rPr>
        <w:t>Microsoft Office Audit and Control Management</w:t>
      </w:r>
    </w:p>
    <w:p w:rsidR="00984919" w:rsidRPr="00C83DF5" w:rsidRDefault="00984919" w:rsidP="00471E00">
      <w:pPr>
        <w:rPr>
          <w:lang w:val="de-DE"/>
        </w:rPr>
      </w:pPr>
      <w:r w:rsidRPr="00C83DF5">
        <w:rPr>
          <w:rFonts w:cs="Tahoma"/>
          <w:szCs w:val="18"/>
          <w:lang w:val="de-DE"/>
        </w:rPr>
        <w:t>MSDN-Plattformen</w:t>
      </w:r>
    </w:p>
    <w:p w:rsidR="00471E00" w:rsidRPr="00F037D5" w:rsidRDefault="00471E00" w:rsidP="00471E00">
      <w:pPr>
        <w:rPr>
          <w:rFonts w:cs="Tahoma"/>
          <w:sz w:val="16"/>
          <w:szCs w:val="16"/>
          <w:lang w:val="de-DE"/>
        </w:rPr>
      </w:pPr>
    </w:p>
    <w:p w:rsidR="00471E00" w:rsidRPr="00C83DF5" w:rsidRDefault="00471E00" w:rsidP="00471E00">
      <w:pPr>
        <w:spacing w:after="60"/>
        <w:rPr>
          <w:lang w:val="de-DE"/>
        </w:rPr>
      </w:pPr>
      <w:r w:rsidRPr="00C83DF5">
        <w:rPr>
          <w:b/>
          <w:lang w:val="de-DE"/>
        </w:rPr>
        <w:t>Promotions</w:t>
      </w:r>
    </w:p>
    <w:p w:rsidR="00471E00" w:rsidRPr="00C83DF5" w:rsidRDefault="00471E00" w:rsidP="00471E00">
      <w:pPr>
        <w:rPr>
          <w:lang w:val="de-DE"/>
        </w:rPr>
      </w:pPr>
      <w:r w:rsidRPr="00C83DF5">
        <w:rPr>
          <w:rFonts w:cs="Tahoma"/>
          <w:color w:val="000000"/>
          <w:szCs w:val="18"/>
          <w:lang w:val="de-DE"/>
        </w:rPr>
        <w:t>Keine Änderungen an den Promotions</w:t>
      </w:r>
    </w:p>
    <w:p w:rsidR="00471E00" w:rsidRPr="00C83DF5" w:rsidRDefault="00471E00" w:rsidP="00471E00">
      <w:pPr>
        <w:spacing w:after="60"/>
        <w:rPr>
          <w:lang w:val="de-DE"/>
        </w:rPr>
      </w:pPr>
      <w:r w:rsidRPr="00C83DF5">
        <w:rPr>
          <w:rFonts w:cs="Tahoma"/>
          <w:szCs w:val="18"/>
          <w:lang w:val="de-DE"/>
        </w:rPr>
        <w:br/>
      </w:r>
      <w:r w:rsidRPr="00C83DF5">
        <w:rPr>
          <w:b/>
          <w:lang w:val="de-DE"/>
        </w:rPr>
        <w:t>Streichungen</w:t>
      </w:r>
    </w:p>
    <w:p w:rsidR="0064651F" w:rsidRPr="00C83DF5" w:rsidRDefault="005D7F61" w:rsidP="00862623">
      <w:pPr>
        <w:rPr>
          <w:lang w:val="de-DE"/>
        </w:rPr>
      </w:pPr>
      <w:r w:rsidRPr="00C83DF5">
        <w:rPr>
          <w:rFonts w:cs="Tahoma"/>
          <w:color w:val="000000"/>
          <w:szCs w:val="20"/>
          <w:lang w:val="de-DE"/>
        </w:rPr>
        <w:t>Web-Antimalware-Abonnement für Forefront TMG</w:t>
      </w:r>
    </w:p>
    <w:p w:rsidR="00862623" w:rsidRPr="00F037D5" w:rsidRDefault="00862623" w:rsidP="00862623">
      <w:pPr>
        <w:rPr>
          <w:rFonts w:cs="Tahoma"/>
          <w:color w:val="000000"/>
          <w:sz w:val="16"/>
          <w:szCs w:val="16"/>
          <w:lang w:val="de-DE"/>
        </w:rPr>
      </w:pPr>
    </w:p>
    <w:p w:rsidR="00862623" w:rsidRPr="00F037D5" w:rsidRDefault="00862623" w:rsidP="00862623">
      <w:pPr>
        <w:rPr>
          <w:rFonts w:cs="Tahoma"/>
          <w:color w:val="000000"/>
          <w:sz w:val="16"/>
          <w:szCs w:val="16"/>
          <w:lang w:val="de-DE"/>
        </w:rPr>
      </w:pPr>
    </w:p>
    <w:p w:rsidR="00290FC1" w:rsidRPr="00F037D5" w:rsidRDefault="00290FC1" w:rsidP="0047054A">
      <w:pPr>
        <w:pStyle w:val="Heading2"/>
        <w:keepNext/>
        <w:ind w:left="0"/>
        <w:jc w:val="both"/>
        <w:rPr>
          <w:rFonts w:ascii="Tahoma" w:hAnsi="Tahoma" w:cs="Tahoma"/>
          <w:color w:val="FF6600"/>
          <w:lang w:val="de-DE"/>
        </w:rPr>
      </w:pPr>
      <w:bookmarkStart w:id="574" w:name="_Toc370983283"/>
      <w:r w:rsidRPr="00F037D5">
        <w:rPr>
          <w:rFonts w:ascii="Tahoma" w:hAnsi="Tahoma" w:cs="Tahoma"/>
          <w:color w:val="FF6600"/>
          <w:lang w:val="de-DE"/>
        </w:rPr>
        <w:t>ÄNDERUNGEN IM MAI 2013</w:t>
      </w:r>
      <w:bookmarkEnd w:id="574"/>
    </w:p>
    <w:p w:rsidR="00290FC1" w:rsidRPr="00F037D5" w:rsidRDefault="00290FC1" w:rsidP="0047054A">
      <w:pPr>
        <w:pStyle w:val="Heading2"/>
        <w:keepNext/>
        <w:ind w:left="0"/>
        <w:jc w:val="both"/>
        <w:rPr>
          <w:rFonts w:ascii="Tahoma" w:hAnsi="Tahoma" w:cs="Tahoma"/>
          <w:color w:val="FF6600"/>
          <w:sz w:val="16"/>
          <w:szCs w:val="16"/>
          <w:lang w:val="de-DE"/>
        </w:rPr>
      </w:pPr>
    </w:p>
    <w:p w:rsidR="00290FC1" w:rsidRPr="00F037D5" w:rsidRDefault="00290FC1" w:rsidP="0047054A">
      <w:pPr>
        <w:keepNext/>
        <w:spacing w:after="60"/>
        <w:rPr>
          <w:b/>
          <w:lang w:val="de-DE"/>
        </w:rPr>
      </w:pPr>
      <w:r w:rsidRPr="00F037D5">
        <w:rPr>
          <w:b/>
          <w:lang w:val="de-DE"/>
        </w:rPr>
        <w:t>Hinzufügungen</w:t>
      </w:r>
    </w:p>
    <w:p w:rsidR="007E2DBF" w:rsidRPr="00C83DF5" w:rsidRDefault="007E2DBF" w:rsidP="007E2DBF">
      <w:pPr>
        <w:rPr>
          <w:lang w:val="de-DE"/>
        </w:rPr>
      </w:pPr>
      <w:r w:rsidRPr="00C83DF5">
        <w:rPr>
          <w:lang w:val="de-DE"/>
        </w:rPr>
        <w:t>Learning Solutions MCP 30 Prüfungsgutscheine (Nutzer-AL)</w:t>
      </w:r>
    </w:p>
    <w:p w:rsidR="007E2DBF" w:rsidRPr="00C83DF5" w:rsidRDefault="007E2DBF" w:rsidP="007E2DBF">
      <w:pPr>
        <w:rPr>
          <w:lang w:val="de-DE"/>
        </w:rPr>
      </w:pPr>
      <w:r w:rsidRPr="00C83DF5">
        <w:rPr>
          <w:lang w:val="de-DE"/>
        </w:rPr>
        <w:t>Learning Solutions MOS 500 Zertifizierungsprüfungs-Website (Dienste-AL)</w:t>
      </w:r>
    </w:p>
    <w:p w:rsidR="007E2DBF" w:rsidRPr="00C83DF5" w:rsidRDefault="007E2DBF" w:rsidP="007E2DBF">
      <w:pPr>
        <w:rPr>
          <w:lang w:val="de-DE"/>
        </w:rPr>
      </w:pPr>
      <w:r w:rsidRPr="00C83DF5">
        <w:rPr>
          <w:lang w:val="de-DE"/>
        </w:rPr>
        <w:t>Learning Solutions MTA 250 Zertifizierungsprüfungs-Website (Dienste-AL)</w:t>
      </w:r>
    </w:p>
    <w:p w:rsidR="00290FC1" w:rsidRPr="00F037D5" w:rsidRDefault="00290FC1" w:rsidP="00290FC1">
      <w:pPr>
        <w:rPr>
          <w:sz w:val="16"/>
          <w:szCs w:val="16"/>
          <w:lang w:val="de-DE"/>
        </w:rPr>
      </w:pPr>
    </w:p>
    <w:p w:rsidR="00290FC1" w:rsidRPr="00C83DF5" w:rsidRDefault="00290FC1" w:rsidP="00290FC1">
      <w:pPr>
        <w:spacing w:after="60"/>
        <w:rPr>
          <w:lang w:val="de-DE"/>
        </w:rPr>
      </w:pPr>
      <w:r w:rsidRPr="00C83DF5">
        <w:rPr>
          <w:b/>
          <w:lang w:val="de-DE"/>
        </w:rPr>
        <w:t>Änderungen</w:t>
      </w:r>
    </w:p>
    <w:p w:rsidR="00290FC1" w:rsidRPr="00C83DF5" w:rsidRDefault="007E2DBF" w:rsidP="00290FC1">
      <w:pPr>
        <w:rPr>
          <w:lang w:val="de-DE"/>
        </w:rPr>
      </w:pPr>
      <w:r w:rsidRPr="00C83DF5">
        <w:rPr>
          <w:lang w:val="de-DE"/>
        </w:rPr>
        <w:t>Learning Solutions MCP 1 Prüfungsgutschein (Dienste-AL)</w:t>
      </w:r>
    </w:p>
    <w:p w:rsidR="007E2DBF" w:rsidRPr="00C83DF5" w:rsidRDefault="007E2DBF" w:rsidP="00290FC1">
      <w:pPr>
        <w:rPr>
          <w:lang w:val="de-DE"/>
        </w:rPr>
      </w:pPr>
      <w:r w:rsidRPr="00C83DF5">
        <w:rPr>
          <w:lang w:val="de-DE"/>
        </w:rPr>
        <w:lastRenderedPageBreak/>
        <w:t>Windows Companion-Abonnementlizenz</w:t>
      </w:r>
    </w:p>
    <w:p w:rsidR="007E2DBF" w:rsidRPr="00C83DF5" w:rsidRDefault="007E2DBF" w:rsidP="00290FC1">
      <w:pPr>
        <w:rPr>
          <w:lang w:val="de-DE"/>
        </w:rPr>
      </w:pPr>
      <w:r w:rsidRPr="00C83DF5">
        <w:rPr>
          <w:lang w:val="de-DE"/>
        </w:rPr>
        <w:t>Windows Desktop Optimization Pack für Software Assurance</w:t>
      </w:r>
    </w:p>
    <w:p w:rsidR="007E2DBF" w:rsidRPr="00C83DF5" w:rsidRDefault="007E2DBF" w:rsidP="00290FC1">
      <w:r w:rsidRPr="00C83DF5">
        <w:t>Windows 8 Enterprise Sideloading (100 Pack)</w:t>
      </w:r>
    </w:p>
    <w:p w:rsidR="007E2DBF" w:rsidRDefault="007E2DBF" w:rsidP="00290FC1">
      <w:r w:rsidRPr="00C83DF5">
        <w:t>Windows</w:t>
      </w:r>
      <w:r w:rsidRPr="00C83DF5">
        <w:rPr>
          <w:vertAlign w:val="superscript"/>
        </w:rPr>
        <w:t>®</w:t>
      </w:r>
      <w:r w:rsidRPr="00C83DF5">
        <w:t xml:space="preserve"> 8 Pro mit MDOP</w:t>
      </w:r>
    </w:p>
    <w:p w:rsidR="00B65F35" w:rsidRPr="00C83DF5" w:rsidRDefault="00B65F35" w:rsidP="00B65F35">
      <w:pPr>
        <w:pStyle w:val="Heading2"/>
        <w:ind w:left="0"/>
        <w:jc w:val="both"/>
      </w:pPr>
      <w:bookmarkStart w:id="575" w:name="_Toc370983284"/>
      <w:r w:rsidRPr="00C83DF5">
        <w:rPr>
          <w:rFonts w:ascii="Tahoma" w:hAnsi="Tahoma" w:cs="Tahoma"/>
          <w:color w:val="FF6600"/>
        </w:rPr>
        <w:t>ÄNDERUNGEN IM APRIL 2013</w:t>
      </w:r>
      <w:bookmarkEnd w:id="575"/>
    </w:p>
    <w:p w:rsidR="00B65F35" w:rsidRPr="00C83DF5" w:rsidRDefault="00B65F35" w:rsidP="004759C6">
      <w:pPr>
        <w:pStyle w:val="Heading2"/>
        <w:ind w:left="0"/>
        <w:jc w:val="both"/>
        <w:rPr>
          <w:rFonts w:ascii="Tahoma" w:hAnsi="Tahoma" w:cs="Tahoma"/>
          <w:color w:val="FF6600"/>
          <w:sz w:val="18"/>
        </w:rPr>
      </w:pPr>
    </w:p>
    <w:p w:rsidR="00B65F35" w:rsidRPr="00C83DF5" w:rsidRDefault="00B65F35" w:rsidP="00B65F35">
      <w:pPr>
        <w:spacing w:after="60"/>
      </w:pPr>
      <w:r w:rsidRPr="00C83DF5">
        <w:rPr>
          <w:b/>
        </w:rPr>
        <w:t>Hinzufügungen</w:t>
      </w:r>
    </w:p>
    <w:p w:rsidR="00D02D7A" w:rsidRPr="00C83DF5" w:rsidRDefault="00D02D7A" w:rsidP="00D02D7A">
      <w:r w:rsidRPr="00C83DF5">
        <w:t>Bing Maps Consumer Tracked Per Asset Monthly Sub</w:t>
      </w:r>
    </w:p>
    <w:p w:rsidR="00D02D7A" w:rsidRPr="00C83DF5" w:rsidRDefault="00D02D7A" w:rsidP="00D02D7A">
      <w:pPr>
        <w:rPr>
          <w:lang w:val="de-DE"/>
        </w:rPr>
      </w:pPr>
      <w:r w:rsidRPr="00C83DF5">
        <w:rPr>
          <w:lang w:val="de-DE"/>
        </w:rPr>
        <w:t>Bing Maps Desktop mit erweitertem Inhaltspaket</w:t>
      </w:r>
    </w:p>
    <w:p w:rsidR="00D02D7A" w:rsidRPr="00C83DF5" w:rsidRDefault="00D02D7A" w:rsidP="00D02D7A">
      <w:r w:rsidRPr="00C83DF5">
        <w:t>Bing Maps for Enterprise Platform Fee Monthly Sub</w:t>
      </w:r>
    </w:p>
    <w:p w:rsidR="00D02D7A" w:rsidRPr="00C83DF5" w:rsidRDefault="00D02D7A" w:rsidP="00D02D7A">
      <w:r w:rsidRPr="00C83DF5">
        <w:t>Bing Maps Public Website Usage 100K Transactions Monthly Sub</w:t>
      </w:r>
    </w:p>
    <w:p w:rsidR="00D02D7A" w:rsidRPr="00C83DF5" w:rsidRDefault="00D02D7A" w:rsidP="00D02D7A">
      <w:r w:rsidRPr="00C83DF5">
        <w:t>Bing Maps Public Website Usage 250K Transactions Monthly Sub</w:t>
      </w:r>
    </w:p>
    <w:p w:rsidR="00D02D7A" w:rsidRPr="00C83DF5" w:rsidRDefault="00D02D7A" w:rsidP="00D02D7A">
      <w:r w:rsidRPr="00C83DF5">
        <w:t>Bing Maps Public Website Usage 420K Transactions Monthly Sub</w:t>
      </w:r>
    </w:p>
    <w:p w:rsidR="00D02D7A" w:rsidRPr="00C83DF5" w:rsidRDefault="00D02D7A" w:rsidP="00D02D7A">
      <w:r w:rsidRPr="00C83DF5">
        <w:t>Bing Maps Public Website Usage 840K Transactions Monthly Sub</w:t>
      </w:r>
    </w:p>
    <w:p w:rsidR="00D02D7A" w:rsidRPr="00C83DF5" w:rsidRDefault="00D02D7A" w:rsidP="0072703B">
      <w:r w:rsidRPr="00C83DF5">
        <w:t>Bing Maps Public Website Usage 2</w:t>
      </w:r>
      <w:r w:rsidR="0072703B">
        <w:t>,</w:t>
      </w:r>
      <w:r w:rsidRPr="00C83DF5">
        <w:t>5m Transactions Monthly Sub</w:t>
      </w:r>
    </w:p>
    <w:p w:rsidR="00D02D7A" w:rsidRPr="00C83DF5" w:rsidRDefault="00D02D7A" w:rsidP="0072703B">
      <w:r w:rsidRPr="00C83DF5">
        <w:t>Bing Maps Public Website Usage 4</w:t>
      </w:r>
      <w:r w:rsidR="0072703B">
        <w:t>,</w:t>
      </w:r>
      <w:r w:rsidRPr="00C83DF5">
        <w:t>2m Transactions Monthly Sub</w:t>
      </w:r>
    </w:p>
    <w:p w:rsidR="00D02D7A" w:rsidRPr="00C83DF5" w:rsidRDefault="00D02D7A" w:rsidP="0072703B">
      <w:r w:rsidRPr="00C83DF5">
        <w:t>Bing Maps Public Website Usage 8</w:t>
      </w:r>
      <w:r w:rsidR="0072703B">
        <w:t>,</w:t>
      </w:r>
      <w:r w:rsidRPr="00C83DF5">
        <w:t>4m Transactions Monthly Sub</w:t>
      </w:r>
    </w:p>
    <w:p w:rsidR="00D02D7A" w:rsidRPr="00C83DF5" w:rsidRDefault="00D02D7A" w:rsidP="00D02D7A">
      <w:r w:rsidRPr="00C83DF5">
        <w:t>Bing Maps Public Website Usage Unlimited Transactions Monthly Sub</w:t>
      </w:r>
    </w:p>
    <w:p w:rsidR="00D02D7A" w:rsidRPr="00C83DF5" w:rsidRDefault="00D02D7A" w:rsidP="00D02D7A">
      <w:r w:rsidRPr="00C83DF5">
        <w:t>Bing Maps Internal Website Usage 100K Transactions Monthly Sub</w:t>
      </w:r>
    </w:p>
    <w:p w:rsidR="00D02D7A" w:rsidRPr="00C83DF5" w:rsidRDefault="00D02D7A" w:rsidP="00D02D7A">
      <w:r w:rsidRPr="00C83DF5">
        <w:t>Bing Maps Internal Website Usage 250K Transactions Monthly Sub</w:t>
      </w:r>
    </w:p>
    <w:p w:rsidR="00D02D7A" w:rsidRPr="00C83DF5" w:rsidRDefault="00D02D7A" w:rsidP="00D02D7A">
      <w:r w:rsidRPr="00C83DF5">
        <w:t>Bing Maps Internal Website Usage 420K Transactions Monthly Sub</w:t>
      </w:r>
    </w:p>
    <w:p w:rsidR="00D02D7A" w:rsidRPr="00C83DF5" w:rsidRDefault="00D02D7A" w:rsidP="0072703B">
      <w:r w:rsidRPr="00C83DF5">
        <w:t>Bing Maps Internal Website Usage 1</w:t>
      </w:r>
      <w:r w:rsidR="0072703B">
        <w:t>,</w:t>
      </w:r>
      <w:r w:rsidRPr="00C83DF5">
        <w:t>25m Transactions Monthly Sub</w:t>
      </w:r>
    </w:p>
    <w:p w:rsidR="00D02D7A" w:rsidRPr="00C83DF5" w:rsidRDefault="00D02D7A" w:rsidP="0072703B">
      <w:r w:rsidRPr="00C83DF5">
        <w:t>Bing Maps Internal Website Usage 2</w:t>
      </w:r>
      <w:r w:rsidR="0072703B">
        <w:t>,</w:t>
      </w:r>
      <w:r w:rsidRPr="00C83DF5">
        <w:t>1m Transactions Monthly Sub</w:t>
      </w:r>
    </w:p>
    <w:p w:rsidR="00D02D7A" w:rsidRPr="00C83DF5" w:rsidRDefault="00D02D7A" w:rsidP="00D02D7A">
      <w:r w:rsidRPr="00C83DF5">
        <w:t>Bing Maps Internal Website Usage Unlimited Transactions Monthly Sub</w:t>
      </w:r>
    </w:p>
    <w:p w:rsidR="00D02D7A" w:rsidRPr="00C83DF5" w:rsidRDefault="00D02D7A" w:rsidP="00D02D7A">
      <w:r w:rsidRPr="00C83DF5">
        <w:t>Bing Maps Known Per User Monthly Sub</w:t>
      </w:r>
    </w:p>
    <w:p w:rsidR="00D02D7A" w:rsidRPr="00C83DF5" w:rsidRDefault="00D02D7A" w:rsidP="00D02D7A">
      <w:r w:rsidRPr="00C83DF5">
        <w:t>Bing Maps Known 5K User Bundle Monthly Sub</w:t>
      </w:r>
    </w:p>
    <w:p w:rsidR="00D02D7A" w:rsidRPr="00C83DF5" w:rsidRDefault="00D02D7A" w:rsidP="00D02D7A">
      <w:r w:rsidRPr="00C83DF5">
        <w:t>Bing Maps Light Known Per User Monthly Sub</w:t>
      </w:r>
    </w:p>
    <w:p w:rsidR="00D02D7A" w:rsidRPr="00C83DF5" w:rsidRDefault="00D02D7A" w:rsidP="00D02D7A">
      <w:r w:rsidRPr="00C83DF5">
        <w:t>Bing Maps Light Known 5K User Bundle Monthly Sub</w:t>
      </w:r>
    </w:p>
    <w:p w:rsidR="00D02D7A" w:rsidRPr="00C83DF5" w:rsidRDefault="00D02D7A" w:rsidP="00D02D7A">
      <w:r w:rsidRPr="00C83DF5">
        <w:t>Bing Maps Mobile Asset Management Platform Fee Monthly Sub</w:t>
      </w:r>
    </w:p>
    <w:p w:rsidR="00D02D7A" w:rsidRPr="00C83DF5" w:rsidRDefault="00D02D7A" w:rsidP="00D02D7A">
      <w:r w:rsidRPr="00C83DF5">
        <w:t>Bing Maps Mobile Asset Management NA mit Routing Per Asset Monthly Sub</w:t>
      </w:r>
    </w:p>
    <w:p w:rsidR="00D02D7A" w:rsidRPr="00C83DF5" w:rsidRDefault="00D02D7A" w:rsidP="00D02D7A">
      <w:r w:rsidRPr="00C83DF5">
        <w:t>Bing Maps Mobile Asset Management NA ohne Routing Per Asset Monthly Sub</w:t>
      </w:r>
    </w:p>
    <w:p w:rsidR="00D02D7A" w:rsidRPr="00C83DF5" w:rsidRDefault="00D02D7A" w:rsidP="00D02D7A">
      <w:r w:rsidRPr="00C83DF5">
        <w:t>Bing Maps Mobile Asset Management Europe mit Routing Per Asset Monthly Sub</w:t>
      </w:r>
    </w:p>
    <w:p w:rsidR="00D02D7A" w:rsidRPr="00C83DF5" w:rsidRDefault="00D02D7A" w:rsidP="00D02D7A">
      <w:r w:rsidRPr="00C83DF5">
        <w:t>Bing Maps Mobile Asset Management Europe ohne Routing Per Asset Monthly Sub</w:t>
      </w:r>
    </w:p>
    <w:p w:rsidR="00D02D7A" w:rsidRPr="00C83DF5" w:rsidRDefault="00D02D7A" w:rsidP="00D02D7A">
      <w:r w:rsidRPr="00C83DF5">
        <w:t>Bing Maps Server</w:t>
      </w:r>
    </w:p>
    <w:p w:rsidR="00D02D7A" w:rsidRPr="00C83DF5" w:rsidRDefault="00D02D7A" w:rsidP="00D02D7A">
      <w:r w:rsidRPr="00C83DF5">
        <w:t>BizTalk</w:t>
      </w:r>
      <w:r w:rsidRPr="00C83DF5">
        <w:rPr>
          <w:vertAlign w:val="superscript"/>
        </w:rPr>
        <w:t>®</w:t>
      </w:r>
      <w:r w:rsidRPr="00C83DF5">
        <w:t xml:space="preserve"> Server 2013 Enterprise Edition </w:t>
      </w:r>
    </w:p>
    <w:p w:rsidR="00D02D7A" w:rsidRPr="00C83DF5" w:rsidRDefault="00D02D7A" w:rsidP="00D02D7A">
      <w:r w:rsidRPr="00C83DF5">
        <w:t>BizTalk</w:t>
      </w:r>
      <w:r w:rsidRPr="00C83DF5">
        <w:rPr>
          <w:vertAlign w:val="superscript"/>
        </w:rPr>
        <w:t>®</w:t>
      </w:r>
      <w:r w:rsidRPr="00C83DF5">
        <w:t xml:space="preserve"> Server 2013 Standard Edition </w:t>
      </w:r>
    </w:p>
    <w:p w:rsidR="00D02D7A" w:rsidRPr="00C83DF5" w:rsidRDefault="00D02D7A" w:rsidP="00D02D7A">
      <w:r w:rsidRPr="00C83DF5">
        <w:t>BizTalk</w:t>
      </w:r>
      <w:r w:rsidRPr="00C83DF5">
        <w:rPr>
          <w:vertAlign w:val="superscript"/>
        </w:rPr>
        <w:t>®</w:t>
      </w:r>
      <w:r w:rsidRPr="00C83DF5">
        <w:t xml:space="preserve"> Server 2013 Branch</w:t>
      </w:r>
    </w:p>
    <w:p w:rsidR="00D02D7A" w:rsidRPr="00C83DF5" w:rsidRDefault="00D02D7A" w:rsidP="00D02D7A">
      <w:r w:rsidRPr="00C83DF5">
        <w:t>BizTalk</w:t>
      </w:r>
      <w:r w:rsidRPr="00C83DF5">
        <w:rPr>
          <w:vertAlign w:val="superscript"/>
        </w:rPr>
        <w:t>®</w:t>
      </w:r>
      <w:r w:rsidRPr="00C83DF5">
        <w:t xml:space="preserve"> Server 2013 Branch IDC </w:t>
      </w:r>
    </w:p>
    <w:p w:rsidR="00D02D7A" w:rsidRPr="00C83DF5" w:rsidRDefault="00D02D7A" w:rsidP="00D02D7A">
      <w:r w:rsidRPr="00C83DF5">
        <w:t>BizTalk</w:t>
      </w:r>
      <w:r w:rsidRPr="00C83DF5">
        <w:rPr>
          <w:vertAlign w:val="superscript"/>
        </w:rPr>
        <w:t>®</w:t>
      </w:r>
      <w:r w:rsidRPr="00C83DF5">
        <w:t xml:space="preserve"> Server 2013 Standard Edition IDC </w:t>
      </w:r>
    </w:p>
    <w:p w:rsidR="00D02D7A" w:rsidRPr="00C83DF5" w:rsidRDefault="00D02D7A" w:rsidP="00D02D7A">
      <w:r w:rsidRPr="00C83DF5">
        <w:t>Office 365 Enterprise E1 (Nutzer-AL) (Anwendungs-Pool)</w:t>
      </w:r>
    </w:p>
    <w:p w:rsidR="00D02D7A" w:rsidRPr="00C83DF5" w:rsidRDefault="00D02D7A" w:rsidP="00D02D7A">
      <w:pPr>
        <w:rPr>
          <w:lang w:val="de-DE"/>
        </w:rPr>
      </w:pPr>
      <w:r w:rsidRPr="00C83DF5">
        <w:rPr>
          <w:lang w:val="de-DE"/>
        </w:rPr>
        <w:t>Office 365 Enterprise E2 (Nutzer-AL) (Anwendungs-Pool)</w:t>
      </w:r>
    </w:p>
    <w:p w:rsidR="00D02D7A" w:rsidRPr="00C83DF5" w:rsidRDefault="00D02D7A" w:rsidP="00D02D7A">
      <w:pPr>
        <w:rPr>
          <w:lang w:val="de-DE"/>
        </w:rPr>
      </w:pPr>
      <w:r w:rsidRPr="00C83DF5">
        <w:rPr>
          <w:lang w:val="de-DE"/>
        </w:rPr>
        <w:t>Office 365 Enterprise E3 (Nutzer-AL) (Anwendungs-Pool)</w:t>
      </w:r>
    </w:p>
    <w:p w:rsidR="00D02D7A" w:rsidRPr="00C83DF5" w:rsidRDefault="00D02D7A" w:rsidP="00D02D7A">
      <w:pPr>
        <w:rPr>
          <w:lang w:val="de-DE"/>
        </w:rPr>
      </w:pPr>
      <w:r w:rsidRPr="00C83DF5">
        <w:rPr>
          <w:lang w:val="de-DE"/>
        </w:rPr>
        <w:t>Office 365 Enterprise E4 (Nutzer-AL) (Anwendungs-Pool)</w:t>
      </w:r>
    </w:p>
    <w:p w:rsidR="00D02D7A" w:rsidRPr="00C83DF5" w:rsidRDefault="00D02D7A" w:rsidP="00D02D7A">
      <w:r w:rsidRPr="00C83DF5">
        <w:t>Office 365 Education A2 (Nutzer-AL) (Anwendungs-Pool)</w:t>
      </w:r>
    </w:p>
    <w:p w:rsidR="00D02D7A" w:rsidRPr="00C83DF5" w:rsidRDefault="00D02D7A" w:rsidP="00D02D7A">
      <w:r w:rsidRPr="00C83DF5">
        <w:t>Office 365 Education A3 (Nutzer-AL) (Anwendungs-Pool)</w:t>
      </w:r>
    </w:p>
    <w:p w:rsidR="00D02D7A" w:rsidRPr="00C83DF5" w:rsidRDefault="00D02D7A" w:rsidP="00D02D7A">
      <w:r w:rsidRPr="00C83DF5">
        <w:t>Office 365 Education A4 (Nutzer-AL) (Anwendungs-Pool)</w:t>
      </w:r>
    </w:p>
    <w:p w:rsidR="00D02D7A" w:rsidRPr="00C83DF5" w:rsidRDefault="00D02D7A" w:rsidP="00D02D7A">
      <w:r w:rsidRPr="00C83DF5">
        <w:t>Office 365 Enterprise E1 (Nutzer-AL) (Server-Pool)</w:t>
      </w:r>
    </w:p>
    <w:p w:rsidR="00D02D7A" w:rsidRPr="00C83DF5" w:rsidRDefault="00D02D7A" w:rsidP="00D02D7A">
      <w:r w:rsidRPr="00C83DF5">
        <w:t>Office 365 Enterprise E2 (Nutzer-AL) (Server-Pool)</w:t>
      </w:r>
    </w:p>
    <w:p w:rsidR="00D02D7A" w:rsidRPr="00C83DF5" w:rsidRDefault="00D02D7A" w:rsidP="00D02D7A">
      <w:r w:rsidRPr="00C83DF5">
        <w:t>Office 365 Enterprise E3 (Nutzer-AL) (Server-Pool)</w:t>
      </w:r>
    </w:p>
    <w:p w:rsidR="00D02D7A" w:rsidRPr="00C83DF5" w:rsidRDefault="00D02D7A" w:rsidP="00D02D7A">
      <w:r w:rsidRPr="00C83DF5">
        <w:t>Office 365 Enterprise E4 (Nutzer-AL) (Server-Pool)</w:t>
      </w:r>
    </w:p>
    <w:p w:rsidR="00D02D7A" w:rsidRPr="00C83DF5" w:rsidRDefault="00D02D7A" w:rsidP="00D02D7A">
      <w:r w:rsidRPr="00C83DF5">
        <w:t>Office 365 Government G1 (Nutzer-AL) (Server-Pool)</w:t>
      </w:r>
    </w:p>
    <w:p w:rsidR="00D02D7A" w:rsidRPr="00C83DF5" w:rsidRDefault="00D02D7A" w:rsidP="00D02D7A">
      <w:r w:rsidRPr="00C83DF5">
        <w:t>Office 365 Government G2 (Nutzer-AL) (Server-Pool)</w:t>
      </w:r>
    </w:p>
    <w:p w:rsidR="00D02D7A" w:rsidRPr="00C83DF5" w:rsidRDefault="00D02D7A" w:rsidP="00D02D7A">
      <w:r w:rsidRPr="00C83DF5">
        <w:t>Office 365 Government G3 (Nutzer-AL) (Server-Pool)</w:t>
      </w:r>
    </w:p>
    <w:p w:rsidR="00D02D7A" w:rsidRPr="00C83DF5" w:rsidRDefault="00D02D7A" w:rsidP="00D02D7A">
      <w:r w:rsidRPr="00C83DF5">
        <w:t>Office 365 Government G4 (Nutzer-AL) (Server-Pool)</w:t>
      </w:r>
    </w:p>
    <w:p w:rsidR="00D02D7A" w:rsidRPr="00C83DF5" w:rsidRDefault="00D02D7A" w:rsidP="00D02D7A">
      <w:r w:rsidRPr="00C83DF5">
        <w:t>Office 365 Enterprise K1 (Nutzer-AL) (Server-Pool)</w:t>
      </w:r>
    </w:p>
    <w:p w:rsidR="00D02D7A" w:rsidRPr="00C83DF5" w:rsidRDefault="00D02D7A" w:rsidP="00D02D7A">
      <w:r w:rsidRPr="00C83DF5">
        <w:t>Office 365 Enterprise K2 (Nutzer-AL) (Server-Pool)</w:t>
      </w:r>
    </w:p>
    <w:p w:rsidR="003418C5" w:rsidRPr="00C83DF5" w:rsidRDefault="003418C5" w:rsidP="003418C5">
      <w:r w:rsidRPr="00C83DF5">
        <w:t>Office 365 ProPlus SA-Übergang (Nutzer-AL) (Anwendungs-Pool)</w:t>
      </w:r>
    </w:p>
    <w:p w:rsidR="00D02D7A" w:rsidRPr="00C83DF5" w:rsidRDefault="00D02D7A">
      <w:r w:rsidRPr="00C83DF5">
        <w:t>Microsoft Desktop Optimization Pack für 2013 Software Assurance</w:t>
      </w:r>
    </w:p>
    <w:p w:rsidR="00D02D7A" w:rsidRPr="00B525B3" w:rsidRDefault="00D02D7A" w:rsidP="007E466C">
      <w:r w:rsidRPr="00B525B3">
        <w:lastRenderedPageBreak/>
        <w:t>Globaler System Center-Dienstmonitor</w:t>
      </w:r>
    </w:p>
    <w:p w:rsidR="005F584F" w:rsidRPr="00C83DF5" w:rsidRDefault="005F584F" w:rsidP="005F584F">
      <w:pPr>
        <w:rPr>
          <w:lang w:val="de-DE"/>
        </w:rPr>
      </w:pPr>
      <w:r w:rsidRPr="00C83DF5">
        <w:rPr>
          <w:lang w:val="de-DE"/>
        </w:rPr>
        <w:t>Vexcel Desktop mit Erweitertem Inhaltspaket</w:t>
      </w:r>
    </w:p>
    <w:p w:rsidR="009C779A" w:rsidRPr="00C83DF5" w:rsidRDefault="00242B11">
      <w:pPr>
        <w:rPr>
          <w:lang w:val="de-DE"/>
        </w:rPr>
      </w:pPr>
      <w:r w:rsidRPr="00C83DF5">
        <w:rPr>
          <w:lang w:val="de-DE"/>
        </w:rPr>
        <w:t>Vexcel Server</w:t>
      </w:r>
    </w:p>
    <w:p w:rsidR="00242B11" w:rsidRPr="00C83DF5" w:rsidRDefault="00242B11">
      <w:pPr>
        <w:rPr>
          <w:lang w:val="de-DE"/>
        </w:rPr>
      </w:pPr>
      <w:r w:rsidRPr="00C83DF5">
        <w:rPr>
          <w:lang w:val="de-DE"/>
        </w:rPr>
        <w:t>Vexcel Server mit Erweitertem Inhaltspaket</w:t>
      </w:r>
    </w:p>
    <w:p w:rsidR="00B65F35" w:rsidRPr="00F037D5" w:rsidRDefault="00B65F35" w:rsidP="00B65F35">
      <w:pPr>
        <w:spacing w:after="60"/>
        <w:rPr>
          <w:b/>
          <w:lang w:val="de-DE"/>
        </w:rPr>
      </w:pPr>
      <w:r w:rsidRPr="00F037D5">
        <w:rPr>
          <w:b/>
          <w:lang w:val="de-DE"/>
        </w:rPr>
        <w:t>Änderungen</w:t>
      </w:r>
    </w:p>
    <w:p w:rsidR="00B65F35" w:rsidRPr="00C83DF5" w:rsidRDefault="009C779A" w:rsidP="009C779A">
      <w:pPr>
        <w:rPr>
          <w:lang w:val="de-DE"/>
        </w:rPr>
      </w:pPr>
      <w:r w:rsidRPr="00C83DF5">
        <w:rPr>
          <w:lang w:val="de-DE"/>
        </w:rPr>
        <w:t>Bing Maps Standard (Nutzer-AL)</w:t>
      </w:r>
    </w:p>
    <w:p w:rsidR="009C779A" w:rsidRPr="00C83DF5" w:rsidRDefault="009C779A" w:rsidP="00D66F68">
      <w:pPr>
        <w:rPr>
          <w:lang w:val="de-DE"/>
        </w:rPr>
      </w:pPr>
      <w:r w:rsidRPr="00C83DF5">
        <w:rPr>
          <w:lang w:val="de-DE"/>
        </w:rPr>
        <w:t>Office 365 Plan E1 (Nutzer-AL) (Anwendungs-Pool)</w:t>
      </w:r>
    </w:p>
    <w:p w:rsidR="009C779A" w:rsidRPr="00C83DF5" w:rsidRDefault="009C779A" w:rsidP="00D66F68">
      <w:pPr>
        <w:rPr>
          <w:lang w:val="de-DE"/>
        </w:rPr>
      </w:pPr>
      <w:r w:rsidRPr="00C83DF5">
        <w:rPr>
          <w:lang w:val="de-DE"/>
        </w:rPr>
        <w:t>Office 365 Plan E2 (Nutzer-AL) (Anwendungs-Pool)</w:t>
      </w:r>
    </w:p>
    <w:p w:rsidR="009C779A" w:rsidRPr="00C83DF5" w:rsidRDefault="009C779A" w:rsidP="00D02D7A">
      <w:pPr>
        <w:rPr>
          <w:lang w:val="de-DE"/>
        </w:rPr>
      </w:pPr>
      <w:r w:rsidRPr="00C83DF5">
        <w:rPr>
          <w:lang w:val="de-DE"/>
        </w:rPr>
        <w:t>Office 365 Plan E3 (Nutzer-AL) (Anwendungs-Pool)</w:t>
      </w:r>
    </w:p>
    <w:p w:rsidR="009C779A" w:rsidRPr="00C83DF5" w:rsidRDefault="009C779A" w:rsidP="00D02D7A">
      <w:pPr>
        <w:rPr>
          <w:lang w:val="de-DE"/>
        </w:rPr>
      </w:pPr>
      <w:r w:rsidRPr="00C83DF5">
        <w:rPr>
          <w:lang w:val="de-DE"/>
        </w:rPr>
        <w:t>Office 365 Plan E4 (Nutzer-AL) (Anwendungs-Pool)</w:t>
      </w:r>
    </w:p>
    <w:p w:rsidR="009C779A" w:rsidRPr="00C83DF5" w:rsidRDefault="009C779A" w:rsidP="00242B11">
      <w:pPr>
        <w:rPr>
          <w:lang w:val="de-DE"/>
        </w:rPr>
      </w:pPr>
      <w:r w:rsidRPr="00C83DF5">
        <w:rPr>
          <w:lang w:val="de-DE"/>
        </w:rPr>
        <w:t>Office 365 Plan A2 (Nutzer-AL) (Anwendungs-Pool)</w:t>
      </w:r>
    </w:p>
    <w:p w:rsidR="009C779A" w:rsidRPr="00C83DF5" w:rsidRDefault="009C779A" w:rsidP="00242B11">
      <w:pPr>
        <w:rPr>
          <w:lang w:val="de-DE"/>
        </w:rPr>
      </w:pPr>
      <w:r w:rsidRPr="00C83DF5">
        <w:rPr>
          <w:lang w:val="de-DE"/>
        </w:rPr>
        <w:t>Office 365 Plan A3 (Nutzer-AL) (Anwendungs-Pool)</w:t>
      </w:r>
    </w:p>
    <w:p w:rsidR="009C779A" w:rsidRPr="00C83DF5" w:rsidRDefault="009C779A" w:rsidP="00EA31A6">
      <w:pPr>
        <w:rPr>
          <w:lang w:val="de-DE"/>
        </w:rPr>
      </w:pPr>
      <w:r w:rsidRPr="00C83DF5">
        <w:rPr>
          <w:lang w:val="de-DE"/>
        </w:rPr>
        <w:t>Office 365 Plan A4 (Nutzer-AL) (Anwendungs-Pool)</w:t>
      </w:r>
    </w:p>
    <w:p w:rsidR="009C779A" w:rsidRPr="00C83DF5" w:rsidRDefault="009C779A" w:rsidP="00EA31A6">
      <w:pPr>
        <w:rPr>
          <w:lang w:val="de-DE"/>
        </w:rPr>
      </w:pPr>
      <w:r w:rsidRPr="00C83DF5">
        <w:rPr>
          <w:lang w:val="de-DE"/>
        </w:rPr>
        <w:t>Office 365 Plan E1 (Nutzer-AL) (Server-Pool)</w:t>
      </w:r>
    </w:p>
    <w:p w:rsidR="009C779A" w:rsidRPr="00C83DF5" w:rsidRDefault="009C779A" w:rsidP="00EA31A6">
      <w:pPr>
        <w:rPr>
          <w:lang w:val="de-DE"/>
        </w:rPr>
      </w:pPr>
      <w:r w:rsidRPr="00C83DF5">
        <w:rPr>
          <w:lang w:val="de-DE"/>
        </w:rPr>
        <w:t>Office 365 Plan E2 – E4 (Nutzer-AL) (Server-Pool)</w:t>
      </w:r>
    </w:p>
    <w:p w:rsidR="009C779A" w:rsidRPr="00C83DF5" w:rsidRDefault="009C779A" w:rsidP="00EA31A6">
      <w:pPr>
        <w:rPr>
          <w:lang w:val="de-DE"/>
        </w:rPr>
      </w:pPr>
      <w:r w:rsidRPr="00C83DF5">
        <w:rPr>
          <w:lang w:val="de-DE"/>
        </w:rPr>
        <w:t>Office 365 Plan G1 – G4 (Nutzer-AL) (Server-Pool)</w:t>
      </w:r>
    </w:p>
    <w:p w:rsidR="009C779A" w:rsidRPr="00C83DF5" w:rsidRDefault="009C779A" w:rsidP="003537B9">
      <w:pPr>
        <w:rPr>
          <w:lang w:val="de-DE"/>
        </w:rPr>
      </w:pPr>
      <w:r w:rsidRPr="00C83DF5">
        <w:rPr>
          <w:lang w:val="de-DE"/>
        </w:rPr>
        <w:t>Office 365 Plan K1 (Nutzer-AL) (Server-Pool)</w:t>
      </w:r>
    </w:p>
    <w:p w:rsidR="009C779A" w:rsidRPr="00C83DF5" w:rsidRDefault="009C779A" w:rsidP="003537B9">
      <w:pPr>
        <w:rPr>
          <w:lang w:val="de-DE"/>
        </w:rPr>
      </w:pPr>
      <w:r w:rsidRPr="00C83DF5">
        <w:rPr>
          <w:lang w:val="de-DE"/>
        </w:rPr>
        <w:t>Office 365 Plan K2 (Nutzer-AL) (Server-Pool)</w:t>
      </w:r>
    </w:p>
    <w:p w:rsidR="003A31B1" w:rsidRPr="00C83DF5" w:rsidRDefault="003A31B1" w:rsidP="003A31B1">
      <w:pPr>
        <w:rPr>
          <w:lang w:val="de-DE"/>
        </w:rPr>
      </w:pPr>
      <w:r w:rsidRPr="00C83DF5">
        <w:rPr>
          <w:lang w:val="de-DE"/>
        </w:rPr>
        <w:t>System Center 2012 Endpoint Protection</w:t>
      </w:r>
    </w:p>
    <w:p w:rsidR="00242B11" w:rsidRPr="00C83DF5" w:rsidRDefault="00242B11" w:rsidP="00E71F46">
      <w:pPr>
        <w:rPr>
          <w:lang w:val="de-DE"/>
        </w:rPr>
      </w:pPr>
      <w:r w:rsidRPr="00C83DF5">
        <w:rPr>
          <w:lang w:val="de-DE"/>
        </w:rPr>
        <w:t>BizTalk Server wechselt für die Version 2013 vom „Proc</w:t>
      </w:r>
      <w:r w:rsidR="00E71F46" w:rsidRPr="00C83DF5">
        <w:rPr>
          <w:lang w:val="de-DE"/>
        </w:rPr>
        <w:t>“</w:t>
      </w:r>
      <w:r w:rsidRPr="00C83DF5">
        <w:rPr>
          <w:lang w:val="de-DE"/>
        </w:rPr>
        <w:t>- zum „Core“-Lizenzmodell</w:t>
      </w:r>
    </w:p>
    <w:p w:rsidR="00242B11" w:rsidRPr="00C83DF5" w:rsidRDefault="00242B11" w:rsidP="00242B11">
      <w:pPr>
        <w:rPr>
          <w:lang w:val="de-DE"/>
        </w:rPr>
      </w:pPr>
      <w:r w:rsidRPr="00C83DF5">
        <w:rPr>
          <w:lang w:val="de-DE"/>
        </w:rPr>
        <w:t>Entferntes Zusätzliches Produkt („A“) von Sys Ctr Endpoint Protection</w:t>
      </w:r>
    </w:p>
    <w:p w:rsidR="00242B11" w:rsidRPr="00C83DF5" w:rsidRDefault="00242B11" w:rsidP="00242B11">
      <w:pPr>
        <w:rPr>
          <w:lang w:val="de-DE"/>
        </w:rPr>
      </w:pPr>
      <w:r w:rsidRPr="00C83DF5">
        <w:rPr>
          <w:lang w:val="de-DE"/>
        </w:rPr>
        <w:t>Entferntes Professional aus dem Bing Maps Standard (Nutzer-AL)-Eintrag</w:t>
      </w:r>
    </w:p>
    <w:p w:rsidR="009C779A" w:rsidRPr="00F037D5" w:rsidRDefault="009C779A" w:rsidP="009C779A">
      <w:pPr>
        <w:rPr>
          <w:lang w:val="de-DE"/>
        </w:rPr>
      </w:pPr>
    </w:p>
    <w:p w:rsidR="00B65F35" w:rsidRPr="00F037D5" w:rsidRDefault="00B65F35" w:rsidP="007E466C">
      <w:pPr>
        <w:spacing w:after="60"/>
        <w:rPr>
          <w:b/>
          <w:lang w:val="de-DE"/>
        </w:rPr>
      </w:pPr>
      <w:r w:rsidRPr="00F037D5">
        <w:rPr>
          <w:b/>
          <w:lang w:val="de-DE"/>
        </w:rPr>
        <w:t>Streichungen</w:t>
      </w:r>
    </w:p>
    <w:p w:rsidR="00D02D7A" w:rsidRPr="00C83DF5" w:rsidRDefault="00D02D7A" w:rsidP="00D02D7A">
      <w:pPr>
        <w:rPr>
          <w:lang w:val="de-DE"/>
        </w:rPr>
      </w:pPr>
      <w:r w:rsidRPr="00C83DF5">
        <w:rPr>
          <w:lang w:val="de-DE"/>
        </w:rPr>
        <w:t>Bing Maps 25.000 Transaktionen (Add-On-AL)</w:t>
      </w:r>
    </w:p>
    <w:p w:rsidR="00D02D7A" w:rsidRPr="00C83DF5" w:rsidRDefault="00D02D7A" w:rsidP="00D02D7A">
      <w:pPr>
        <w:rPr>
          <w:lang w:val="de-DE"/>
        </w:rPr>
      </w:pPr>
      <w:r w:rsidRPr="00C83DF5">
        <w:rPr>
          <w:lang w:val="de-DE"/>
        </w:rPr>
        <w:t>Bing Maps 250.000 Transaktionen (Add-On-AL)</w:t>
      </w:r>
    </w:p>
    <w:p w:rsidR="00D02D7A" w:rsidRPr="00C83DF5" w:rsidRDefault="00D02D7A" w:rsidP="00D02D7A">
      <w:pPr>
        <w:rPr>
          <w:lang w:val="de-DE"/>
        </w:rPr>
      </w:pPr>
      <w:r w:rsidRPr="00C83DF5">
        <w:rPr>
          <w:lang w:val="de-DE"/>
        </w:rPr>
        <w:t>Bing Maps Professional (Dienste-AL)</w:t>
      </w:r>
    </w:p>
    <w:p w:rsidR="005F584F" w:rsidRPr="00C83DF5" w:rsidRDefault="005F584F" w:rsidP="005F584F">
      <w:pPr>
        <w:rPr>
          <w:lang w:val="de-DE"/>
        </w:rPr>
      </w:pPr>
      <w:r w:rsidRPr="00C83DF5">
        <w:rPr>
          <w:lang w:val="de-DE"/>
        </w:rPr>
        <w:t>Bing Maps Desktop mit erweitertem Inhaltspaket</w:t>
      </w:r>
    </w:p>
    <w:p w:rsidR="005F584F" w:rsidRPr="00C83DF5" w:rsidRDefault="005F584F" w:rsidP="005F584F">
      <w:pPr>
        <w:rPr>
          <w:lang w:val="de-DE"/>
        </w:rPr>
      </w:pPr>
      <w:r w:rsidRPr="00C83DF5">
        <w:rPr>
          <w:lang w:val="de-DE"/>
        </w:rPr>
        <w:t>Bing Maps Server</w:t>
      </w:r>
    </w:p>
    <w:p w:rsidR="005F584F" w:rsidRPr="00C83DF5" w:rsidRDefault="005F584F" w:rsidP="005F584F">
      <w:pPr>
        <w:rPr>
          <w:lang w:val="de-DE"/>
        </w:rPr>
      </w:pPr>
      <w:r w:rsidRPr="00C83DF5">
        <w:rPr>
          <w:lang w:val="de-DE"/>
        </w:rPr>
        <w:t>Bing Maps mit Erweitertem Inhaltspaket</w:t>
      </w:r>
    </w:p>
    <w:p w:rsidR="00D02D7A" w:rsidRPr="00C83DF5" w:rsidRDefault="00D02D7A" w:rsidP="00D02D7A">
      <w:pPr>
        <w:rPr>
          <w:lang w:val="de-DE"/>
        </w:rPr>
      </w:pPr>
      <w:r w:rsidRPr="00C83DF5">
        <w:rPr>
          <w:lang w:val="de-DE"/>
        </w:rPr>
        <w:t>Bing Maps Unbegrenzte Transaktionen (Add-On-AL)</w:t>
      </w:r>
    </w:p>
    <w:p w:rsidR="00242B11" w:rsidRPr="00C83DF5" w:rsidRDefault="00242B11" w:rsidP="00D02D7A">
      <w:pPr>
        <w:rPr>
          <w:lang w:val="de-DE"/>
        </w:rPr>
      </w:pPr>
      <w:r w:rsidRPr="00C83DF5">
        <w:rPr>
          <w:lang w:val="de-DE"/>
        </w:rPr>
        <w:t>Bing Server</w:t>
      </w:r>
    </w:p>
    <w:p w:rsidR="00242B11" w:rsidRPr="00C83DF5" w:rsidRDefault="00242B11" w:rsidP="00D02D7A">
      <w:pPr>
        <w:rPr>
          <w:lang w:val="de-DE"/>
        </w:rPr>
      </w:pPr>
      <w:r w:rsidRPr="00C83DF5">
        <w:rPr>
          <w:lang w:val="de-DE"/>
        </w:rPr>
        <w:t>Bing Maps mit Erweitertem Inhaltspaket</w:t>
      </w:r>
    </w:p>
    <w:p w:rsidR="00D02D7A" w:rsidRPr="00C83DF5" w:rsidRDefault="00D02D7A" w:rsidP="00D02D7A">
      <w:r w:rsidRPr="00C83DF5">
        <w:t>BizTalk</w:t>
      </w:r>
      <w:r w:rsidRPr="00C83DF5">
        <w:rPr>
          <w:vertAlign w:val="superscript"/>
        </w:rPr>
        <w:t>®</w:t>
      </w:r>
      <w:r w:rsidRPr="00C83DF5">
        <w:t xml:space="preserve"> Server 2010 Branch Edition </w:t>
      </w:r>
    </w:p>
    <w:p w:rsidR="00D02D7A" w:rsidRPr="00C83DF5" w:rsidRDefault="00D02D7A" w:rsidP="00D02D7A">
      <w:r w:rsidRPr="00C83DF5">
        <w:t>BizTalk</w:t>
      </w:r>
      <w:r w:rsidRPr="00C83DF5">
        <w:rPr>
          <w:vertAlign w:val="superscript"/>
        </w:rPr>
        <w:t>®</w:t>
      </w:r>
      <w:r w:rsidRPr="00C83DF5">
        <w:t xml:space="preserve"> Server 2010 Enterprise Edition</w:t>
      </w:r>
    </w:p>
    <w:p w:rsidR="00D02D7A" w:rsidRPr="00C83DF5" w:rsidRDefault="00D02D7A" w:rsidP="00D02D7A">
      <w:r w:rsidRPr="00C83DF5">
        <w:t>BizTalk</w:t>
      </w:r>
      <w:r w:rsidRPr="00C83DF5">
        <w:rPr>
          <w:vertAlign w:val="superscript"/>
        </w:rPr>
        <w:t>®</w:t>
      </w:r>
      <w:r w:rsidRPr="00C83DF5">
        <w:t xml:space="preserve"> Server 2010 Enterprise RFID</w:t>
      </w:r>
    </w:p>
    <w:p w:rsidR="00D02D7A" w:rsidRPr="00C83DF5" w:rsidRDefault="00D02D7A" w:rsidP="00D02D7A">
      <w:r w:rsidRPr="00C83DF5">
        <w:t>BizTalk</w:t>
      </w:r>
      <w:r w:rsidRPr="00C83DF5">
        <w:rPr>
          <w:vertAlign w:val="superscript"/>
        </w:rPr>
        <w:t>®</w:t>
      </w:r>
      <w:r w:rsidRPr="00C83DF5">
        <w:t xml:space="preserve"> Server 2010 Standard Edition </w:t>
      </w:r>
    </w:p>
    <w:p w:rsidR="00D02D7A" w:rsidRPr="00C83DF5" w:rsidRDefault="00D02D7A" w:rsidP="00D02D7A">
      <w:r w:rsidRPr="00C83DF5">
        <w:t>BizTalk</w:t>
      </w:r>
      <w:r w:rsidRPr="00C83DF5">
        <w:rPr>
          <w:vertAlign w:val="superscript"/>
        </w:rPr>
        <w:t>®</w:t>
      </w:r>
      <w:r w:rsidRPr="00C83DF5">
        <w:t xml:space="preserve"> Server 2010 Developer IDC </w:t>
      </w:r>
    </w:p>
    <w:p w:rsidR="00D02D7A" w:rsidRPr="00C83DF5" w:rsidRDefault="00D02D7A" w:rsidP="00D02D7A">
      <w:r w:rsidRPr="00C83DF5">
        <w:t>BizTalk</w:t>
      </w:r>
      <w:r w:rsidRPr="00C83DF5">
        <w:rPr>
          <w:vertAlign w:val="superscript"/>
        </w:rPr>
        <w:t>®</w:t>
      </w:r>
      <w:r w:rsidRPr="00C83DF5">
        <w:t xml:space="preserve"> Server 2010 Branch IDC </w:t>
      </w:r>
    </w:p>
    <w:p w:rsidR="00D02D7A" w:rsidRPr="00C83DF5" w:rsidRDefault="00D02D7A" w:rsidP="00D02D7A">
      <w:r w:rsidRPr="00C83DF5">
        <w:t>Data Warehouse Appliance 2012</w:t>
      </w:r>
    </w:p>
    <w:p w:rsidR="00D02D7A" w:rsidRPr="00C83DF5" w:rsidRDefault="00D02D7A" w:rsidP="00D02D7A">
      <w:pPr>
        <w:rPr>
          <w:lang w:val="de-DE"/>
        </w:rPr>
      </w:pPr>
      <w:r w:rsidRPr="00C83DF5">
        <w:rPr>
          <w:lang w:val="de-DE"/>
        </w:rPr>
        <w:t>Office 365 Plan E1 (Nutzer-AL) (Anwendungs-Pool)</w:t>
      </w:r>
    </w:p>
    <w:p w:rsidR="00D02D7A" w:rsidRPr="00C83DF5" w:rsidRDefault="00D02D7A" w:rsidP="00D02D7A">
      <w:pPr>
        <w:rPr>
          <w:lang w:val="de-DE"/>
        </w:rPr>
      </w:pPr>
      <w:r w:rsidRPr="00C83DF5">
        <w:rPr>
          <w:lang w:val="de-DE"/>
        </w:rPr>
        <w:t>Office 365 Plan E2 (Nutzer-AL) (Anwendungs-Pool)</w:t>
      </w:r>
    </w:p>
    <w:p w:rsidR="00D02D7A" w:rsidRPr="00C83DF5" w:rsidRDefault="00D02D7A" w:rsidP="00D02D7A">
      <w:pPr>
        <w:rPr>
          <w:lang w:val="de-DE"/>
        </w:rPr>
      </w:pPr>
      <w:r w:rsidRPr="00C83DF5">
        <w:rPr>
          <w:lang w:val="de-DE"/>
        </w:rPr>
        <w:t>Office 365 Plan E3 (Nutzer-AL) (Anwendungs-Pool)</w:t>
      </w:r>
    </w:p>
    <w:p w:rsidR="00D02D7A" w:rsidRPr="00C83DF5" w:rsidRDefault="00D02D7A" w:rsidP="00D02D7A">
      <w:pPr>
        <w:rPr>
          <w:lang w:val="de-DE"/>
        </w:rPr>
      </w:pPr>
      <w:r w:rsidRPr="00C83DF5">
        <w:rPr>
          <w:lang w:val="de-DE"/>
        </w:rPr>
        <w:t>Office 365 Plan E4 (Nutzer-AL) (Anwendungs-Pool)</w:t>
      </w:r>
    </w:p>
    <w:p w:rsidR="00D02D7A" w:rsidRPr="00C83DF5" w:rsidRDefault="00D02D7A" w:rsidP="00D02D7A">
      <w:pPr>
        <w:rPr>
          <w:lang w:val="de-DE"/>
        </w:rPr>
      </w:pPr>
      <w:r w:rsidRPr="00C83DF5">
        <w:rPr>
          <w:lang w:val="de-DE"/>
        </w:rPr>
        <w:t>Office 365 Plan A2 (Nutzer-AL) (Anwendungs-Pool)</w:t>
      </w:r>
    </w:p>
    <w:p w:rsidR="00D02D7A" w:rsidRPr="00C83DF5" w:rsidRDefault="00D02D7A" w:rsidP="00D02D7A">
      <w:pPr>
        <w:rPr>
          <w:lang w:val="de-DE"/>
        </w:rPr>
      </w:pPr>
      <w:r w:rsidRPr="00C83DF5">
        <w:rPr>
          <w:lang w:val="de-DE"/>
        </w:rPr>
        <w:t>Office 365 Plan A3 (Nutzer-AL) (Anwendungs-Pool)</w:t>
      </w:r>
    </w:p>
    <w:p w:rsidR="00D02D7A" w:rsidRPr="00C83DF5" w:rsidRDefault="00D02D7A" w:rsidP="00D02D7A">
      <w:pPr>
        <w:rPr>
          <w:lang w:val="de-DE"/>
        </w:rPr>
      </w:pPr>
      <w:r w:rsidRPr="00C83DF5">
        <w:rPr>
          <w:lang w:val="de-DE"/>
        </w:rPr>
        <w:t>Office 365 Plan A4 (Nutzer-AL) (Anwendungs-Pool)</w:t>
      </w:r>
    </w:p>
    <w:p w:rsidR="00D02D7A" w:rsidRPr="00C83DF5" w:rsidRDefault="00D02D7A" w:rsidP="00D02D7A">
      <w:pPr>
        <w:rPr>
          <w:lang w:val="de-DE"/>
        </w:rPr>
      </w:pPr>
      <w:r w:rsidRPr="00C83DF5">
        <w:rPr>
          <w:lang w:val="de-DE"/>
        </w:rPr>
        <w:t>Office 365 Plan E1 (Nutzer-AL) (Server-Pool)</w:t>
      </w:r>
    </w:p>
    <w:p w:rsidR="00D02D7A" w:rsidRPr="00C83DF5" w:rsidRDefault="00D02D7A" w:rsidP="00D02D7A">
      <w:pPr>
        <w:rPr>
          <w:lang w:val="de-DE"/>
        </w:rPr>
      </w:pPr>
      <w:r w:rsidRPr="00C83DF5">
        <w:rPr>
          <w:lang w:val="de-DE"/>
        </w:rPr>
        <w:t>Office 365 Plan E2 (Nutzer-AL) (Server-Pool)</w:t>
      </w:r>
    </w:p>
    <w:p w:rsidR="00D02D7A" w:rsidRPr="00C83DF5" w:rsidRDefault="00D02D7A" w:rsidP="00D02D7A">
      <w:pPr>
        <w:rPr>
          <w:lang w:val="de-DE"/>
        </w:rPr>
      </w:pPr>
      <w:r w:rsidRPr="00C83DF5">
        <w:rPr>
          <w:lang w:val="de-DE"/>
        </w:rPr>
        <w:t>Office 365 Plan E3 (Nutzer-AL) (Server-Pool)</w:t>
      </w:r>
    </w:p>
    <w:p w:rsidR="00D02D7A" w:rsidRPr="00C83DF5" w:rsidRDefault="00D02D7A" w:rsidP="00D02D7A">
      <w:pPr>
        <w:rPr>
          <w:lang w:val="de-DE"/>
        </w:rPr>
      </w:pPr>
      <w:r w:rsidRPr="00C83DF5">
        <w:rPr>
          <w:lang w:val="de-DE"/>
        </w:rPr>
        <w:t>Office 365 Plan E4 (Nutzer-AL) (Server-Pool)</w:t>
      </w:r>
    </w:p>
    <w:p w:rsidR="00D02D7A" w:rsidRPr="00C83DF5" w:rsidRDefault="00D02D7A" w:rsidP="00D02D7A">
      <w:pPr>
        <w:rPr>
          <w:lang w:val="de-DE"/>
        </w:rPr>
      </w:pPr>
      <w:r w:rsidRPr="00C83DF5">
        <w:rPr>
          <w:lang w:val="de-DE"/>
        </w:rPr>
        <w:t>Office 365 Plan G1 (Nutzer-AL) (Server-Pool)</w:t>
      </w:r>
    </w:p>
    <w:p w:rsidR="00D02D7A" w:rsidRPr="00C83DF5" w:rsidRDefault="00D02D7A" w:rsidP="00D02D7A">
      <w:pPr>
        <w:rPr>
          <w:lang w:val="de-DE"/>
        </w:rPr>
      </w:pPr>
      <w:r w:rsidRPr="00C83DF5">
        <w:rPr>
          <w:lang w:val="de-DE"/>
        </w:rPr>
        <w:t>Office 365 Plan G2 (Nutzer-AL) (Server-Pool)</w:t>
      </w:r>
    </w:p>
    <w:p w:rsidR="00D02D7A" w:rsidRPr="00C83DF5" w:rsidRDefault="00D02D7A" w:rsidP="00D02D7A">
      <w:pPr>
        <w:rPr>
          <w:lang w:val="de-DE"/>
        </w:rPr>
      </w:pPr>
      <w:r w:rsidRPr="00C83DF5">
        <w:rPr>
          <w:lang w:val="de-DE"/>
        </w:rPr>
        <w:t>Office 365 Plan G3 (Nutzer-AL) (Server-Pool)</w:t>
      </w:r>
    </w:p>
    <w:p w:rsidR="00D02D7A" w:rsidRPr="00C83DF5" w:rsidRDefault="00D02D7A" w:rsidP="00D02D7A">
      <w:pPr>
        <w:rPr>
          <w:lang w:val="de-DE"/>
        </w:rPr>
      </w:pPr>
      <w:r w:rsidRPr="00C83DF5">
        <w:rPr>
          <w:lang w:val="de-DE"/>
        </w:rPr>
        <w:t>Office 365 Plan G4 (Nutzer-AL) (Server-Pool)</w:t>
      </w:r>
    </w:p>
    <w:p w:rsidR="00D02D7A" w:rsidRPr="00C83DF5" w:rsidRDefault="00D02D7A" w:rsidP="00D02D7A">
      <w:pPr>
        <w:rPr>
          <w:lang w:val="de-DE"/>
        </w:rPr>
      </w:pPr>
      <w:r w:rsidRPr="00C83DF5">
        <w:rPr>
          <w:lang w:val="de-DE"/>
        </w:rPr>
        <w:t>Office 365 Plan K1 (Nutzer-AL) (Server-Pool)</w:t>
      </w:r>
    </w:p>
    <w:p w:rsidR="00D02D7A" w:rsidRPr="00C83DF5" w:rsidRDefault="00D02D7A" w:rsidP="00D02D7A">
      <w:pPr>
        <w:rPr>
          <w:lang w:val="de-DE"/>
        </w:rPr>
      </w:pPr>
      <w:r w:rsidRPr="00C83DF5">
        <w:rPr>
          <w:lang w:val="de-DE"/>
        </w:rPr>
        <w:t>Office 365 Plan K2 (Nutzer-AL) (Server-Pool)</w:t>
      </w:r>
    </w:p>
    <w:p w:rsidR="00D02D7A" w:rsidRPr="00C83DF5" w:rsidRDefault="00D02D7A" w:rsidP="00D02D7A">
      <w:pPr>
        <w:rPr>
          <w:lang w:val="de-DE"/>
        </w:rPr>
      </w:pPr>
      <w:r w:rsidRPr="00C83DF5">
        <w:rPr>
          <w:lang w:val="de-DE"/>
        </w:rPr>
        <w:t>System Center 2012 Endpoint Protection</w:t>
      </w:r>
    </w:p>
    <w:p w:rsidR="00D02D7A" w:rsidRPr="00C83DF5" w:rsidRDefault="00D02D7A" w:rsidP="00D02D7A">
      <w:pPr>
        <w:rPr>
          <w:lang w:val="de-DE"/>
        </w:rPr>
      </w:pPr>
      <w:r w:rsidRPr="00C83DF5">
        <w:rPr>
          <w:lang w:val="de-DE"/>
        </w:rPr>
        <w:lastRenderedPageBreak/>
        <w:t>Forefront Online Protection für Exchange (Geräte- und Nutzer-AL)</w:t>
      </w:r>
    </w:p>
    <w:p w:rsidR="00D02D7A" w:rsidRPr="00C83DF5" w:rsidRDefault="00D02D7A" w:rsidP="00D02D7A">
      <w:pPr>
        <w:rPr>
          <w:lang w:val="de-DE"/>
        </w:rPr>
      </w:pPr>
      <w:r w:rsidRPr="00C83DF5">
        <w:rPr>
          <w:lang w:val="de-DE"/>
        </w:rPr>
        <w:t>Microsoft Desktop Optimization Pack für 2012 Software Assurance</w:t>
      </w:r>
    </w:p>
    <w:p w:rsidR="00B65F35" w:rsidRPr="00C83DF5" w:rsidRDefault="00B65F35" w:rsidP="007E466C">
      <w:pPr>
        <w:rPr>
          <w:lang w:val="de-DE"/>
        </w:rPr>
      </w:pPr>
    </w:p>
    <w:p w:rsidR="00A44B38" w:rsidRPr="00C83DF5" w:rsidRDefault="00A44B38" w:rsidP="007E466C">
      <w:pPr>
        <w:rPr>
          <w:lang w:val="de-DE"/>
        </w:rPr>
      </w:pPr>
    </w:p>
    <w:p w:rsidR="004759C6" w:rsidRPr="00F037D5" w:rsidRDefault="004759C6" w:rsidP="004759C6">
      <w:pPr>
        <w:pStyle w:val="Heading2"/>
        <w:ind w:left="0"/>
        <w:jc w:val="both"/>
        <w:rPr>
          <w:rFonts w:ascii="Tahoma" w:hAnsi="Tahoma" w:cs="Tahoma"/>
          <w:color w:val="FF6600"/>
          <w:lang w:val="de-DE"/>
        </w:rPr>
      </w:pPr>
      <w:bookmarkStart w:id="576" w:name="_Toc370983285"/>
      <w:r w:rsidRPr="00F037D5">
        <w:rPr>
          <w:rFonts w:ascii="Tahoma" w:hAnsi="Tahoma" w:cs="Tahoma"/>
          <w:color w:val="FF6600"/>
          <w:lang w:val="de-DE"/>
        </w:rPr>
        <w:t>ÄNDERUNGEN IM MÄRZ 2013</w:t>
      </w:r>
      <w:bookmarkEnd w:id="576"/>
    </w:p>
    <w:p w:rsidR="004759C6" w:rsidRPr="00F037D5" w:rsidRDefault="004759C6" w:rsidP="004759C6">
      <w:pPr>
        <w:pStyle w:val="Heading2"/>
        <w:ind w:left="0"/>
        <w:jc w:val="both"/>
        <w:rPr>
          <w:rFonts w:ascii="Tahoma" w:hAnsi="Tahoma" w:cs="Tahoma"/>
          <w:color w:val="FF6600"/>
          <w:sz w:val="18"/>
          <w:lang w:val="de-DE"/>
        </w:rPr>
      </w:pPr>
    </w:p>
    <w:p w:rsidR="0064651F" w:rsidRPr="00F037D5" w:rsidRDefault="004759C6" w:rsidP="0064651F">
      <w:pPr>
        <w:spacing w:after="60"/>
        <w:rPr>
          <w:b/>
          <w:lang w:val="de-DE"/>
        </w:rPr>
      </w:pPr>
      <w:r w:rsidRPr="00F037D5">
        <w:rPr>
          <w:b/>
          <w:lang w:val="de-DE"/>
        </w:rPr>
        <w:t>Hinzufügungen</w:t>
      </w:r>
    </w:p>
    <w:p w:rsidR="006D5B20" w:rsidRPr="00C83DF5" w:rsidRDefault="006D5B20" w:rsidP="006D5B20">
      <w:pPr>
        <w:rPr>
          <w:lang w:val="de-DE"/>
        </w:rPr>
      </w:pPr>
      <w:r w:rsidRPr="00C83DF5">
        <w:rPr>
          <w:rFonts w:cs="Tahoma"/>
          <w:color w:val="000000"/>
          <w:szCs w:val="18"/>
          <w:lang w:val="de-DE"/>
        </w:rPr>
        <w:t>Exchange Online-Archivierung für Exchange Online</w:t>
      </w:r>
    </w:p>
    <w:p w:rsidR="006D5B20" w:rsidRPr="00C83DF5" w:rsidRDefault="006D5B20" w:rsidP="006D5B20">
      <w:pPr>
        <w:rPr>
          <w:lang w:val="de-DE"/>
        </w:rPr>
      </w:pPr>
      <w:r w:rsidRPr="00C83DF5">
        <w:rPr>
          <w:rFonts w:cs="Tahoma"/>
          <w:color w:val="000000"/>
          <w:szCs w:val="18"/>
          <w:lang w:val="de-DE"/>
        </w:rPr>
        <w:t xml:space="preserve">Exchange Online-Archivierung für Exchange Online A </w:t>
      </w:r>
    </w:p>
    <w:p w:rsidR="006D5B20" w:rsidRPr="00C83DF5" w:rsidRDefault="006D5B20" w:rsidP="006D5B20">
      <w:pPr>
        <w:rPr>
          <w:lang w:val="de-DE"/>
        </w:rPr>
      </w:pPr>
      <w:r w:rsidRPr="00C83DF5">
        <w:rPr>
          <w:rFonts w:cs="Tahoma"/>
          <w:color w:val="000000"/>
          <w:szCs w:val="18"/>
          <w:lang w:val="de-DE"/>
        </w:rPr>
        <w:t>Exchange Online Protection (Nutzer-AL)</w:t>
      </w:r>
    </w:p>
    <w:p w:rsidR="00140B67" w:rsidRPr="00C83DF5" w:rsidRDefault="00140B67" w:rsidP="006D6A83">
      <w:r w:rsidRPr="00C83DF5">
        <w:rPr>
          <w:rFonts w:cs="Tahoma"/>
          <w:color w:val="000000"/>
          <w:szCs w:val="18"/>
        </w:rPr>
        <w:t>Office 365 Midsize Business (Nutzer-AL)</w:t>
      </w:r>
    </w:p>
    <w:p w:rsidR="00170CFB" w:rsidRPr="00C83DF5" w:rsidRDefault="006D5B20" w:rsidP="006D6A83">
      <w:r w:rsidRPr="00C83DF5">
        <w:rPr>
          <w:rFonts w:cs="Tahoma"/>
          <w:color w:val="000000"/>
          <w:szCs w:val="18"/>
        </w:rPr>
        <w:t>Office 365 Plan E1 (Nutzer-AL) SQL Server</w:t>
      </w:r>
      <w:r w:rsidRPr="00DF3F89">
        <w:rPr>
          <w:rFonts w:cs="Tahoma"/>
          <w:color w:val="000000"/>
          <w:szCs w:val="18"/>
          <w:vertAlign w:val="superscript"/>
        </w:rPr>
        <w:t>®</w:t>
      </w:r>
      <w:r w:rsidRPr="00C83DF5">
        <w:rPr>
          <w:rFonts w:cs="Tahoma"/>
          <w:color w:val="000000"/>
          <w:szCs w:val="18"/>
        </w:rPr>
        <w:t xml:space="preserve"> 2012 Parallel Data Warehouse</w:t>
      </w:r>
    </w:p>
    <w:p w:rsidR="006D5B20" w:rsidRPr="00C83DF5" w:rsidRDefault="006D5B20" w:rsidP="006D5B20">
      <w:r w:rsidRPr="00C83DF5">
        <w:rPr>
          <w:rFonts w:cs="Tahoma"/>
          <w:color w:val="000000"/>
          <w:szCs w:val="18"/>
        </w:rPr>
        <w:t xml:space="preserve">Project Online </w:t>
      </w:r>
    </w:p>
    <w:p w:rsidR="006D5B20" w:rsidRPr="00C83DF5" w:rsidRDefault="006D5B20" w:rsidP="006D5B20">
      <w:r w:rsidRPr="00C83DF5">
        <w:rPr>
          <w:rFonts w:cs="Tahoma"/>
          <w:color w:val="000000"/>
          <w:szCs w:val="18"/>
        </w:rPr>
        <w:t>Project Online A</w:t>
      </w:r>
      <w:r w:rsidR="00E71F46" w:rsidRPr="00C83DF5">
        <w:rPr>
          <w:rFonts w:cs="Tahoma"/>
          <w:color w:val="000000"/>
          <w:szCs w:val="18"/>
        </w:rPr>
        <w:t xml:space="preserve"> </w:t>
      </w:r>
    </w:p>
    <w:p w:rsidR="006D5B20" w:rsidRPr="00C83DF5" w:rsidRDefault="006D5B20" w:rsidP="006D5B20">
      <w:r w:rsidRPr="00C83DF5">
        <w:rPr>
          <w:rFonts w:cs="Tahoma"/>
          <w:color w:val="000000"/>
          <w:szCs w:val="18"/>
        </w:rPr>
        <w:t xml:space="preserve">Project Pro für Office 365 </w:t>
      </w:r>
    </w:p>
    <w:p w:rsidR="006D5B20" w:rsidRPr="00C83DF5" w:rsidRDefault="006D5B20" w:rsidP="006D5B20">
      <w:r w:rsidRPr="00C83DF5">
        <w:rPr>
          <w:rFonts w:cs="Tahoma"/>
          <w:color w:val="000000"/>
          <w:szCs w:val="18"/>
        </w:rPr>
        <w:t>Project Pro für Office 365 A</w:t>
      </w:r>
      <w:r w:rsidR="00E71F46" w:rsidRPr="00C83DF5">
        <w:rPr>
          <w:rFonts w:cs="Tahoma"/>
          <w:color w:val="000000"/>
          <w:szCs w:val="18"/>
        </w:rPr>
        <w:t xml:space="preserve"> </w:t>
      </w:r>
    </w:p>
    <w:p w:rsidR="00170CFB" w:rsidRPr="00C83DF5" w:rsidRDefault="00170CFB" w:rsidP="006D6A83">
      <w:r w:rsidRPr="00C83DF5">
        <w:rPr>
          <w:rFonts w:cs="Tahoma"/>
          <w:color w:val="000000"/>
          <w:szCs w:val="18"/>
        </w:rPr>
        <w:t>SQL Server</w:t>
      </w:r>
      <w:r w:rsidRPr="00C83DF5">
        <w:rPr>
          <w:rFonts w:cs="Tahoma"/>
          <w:color w:val="000000"/>
          <w:szCs w:val="18"/>
          <w:vertAlign w:val="superscript"/>
        </w:rPr>
        <w:t>®</w:t>
      </w:r>
      <w:r w:rsidRPr="00C83DF5">
        <w:rPr>
          <w:rFonts w:cs="Tahoma"/>
          <w:color w:val="000000"/>
          <w:szCs w:val="18"/>
        </w:rPr>
        <w:t xml:space="preserve"> 2012 Parallel Data Warehouse Developer</w:t>
      </w:r>
    </w:p>
    <w:p w:rsidR="00170CFB" w:rsidRPr="00C83DF5" w:rsidRDefault="00170CFB" w:rsidP="006D6A83">
      <w:pPr>
        <w:rPr>
          <w:lang w:val="it-IT"/>
        </w:rPr>
      </w:pPr>
      <w:r w:rsidRPr="00C83DF5">
        <w:rPr>
          <w:rFonts w:cs="Tahoma"/>
          <w:color w:val="000000"/>
          <w:szCs w:val="18"/>
          <w:lang w:val="it-IT"/>
        </w:rPr>
        <w:t>Visio Pro für Office 365 A</w:t>
      </w:r>
      <w:r w:rsidR="00E71F46" w:rsidRPr="00C83DF5">
        <w:rPr>
          <w:rFonts w:cs="Tahoma"/>
          <w:color w:val="000000"/>
          <w:szCs w:val="18"/>
          <w:lang w:val="it-IT"/>
        </w:rPr>
        <w:t xml:space="preserve"> </w:t>
      </w:r>
    </w:p>
    <w:p w:rsidR="00170CFB" w:rsidRPr="00C83DF5" w:rsidRDefault="00170CFB" w:rsidP="006D6A83">
      <w:pPr>
        <w:rPr>
          <w:lang w:val="it-IT"/>
        </w:rPr>
      </w:pPr>
      <w:r w:rsidRPr="00C83DF5">
        <w:rPr>
          <w:rFonts w:cs="Tahoma"/>
          <w:color w:val="000000"/>
          <w:szCs w:val="18"/>
          <w:lang w:val="it-IT"/>
        </w:rPr>
        <w:t xml:space="preserve">Visio Pro für Office 365 </w:t>
      </w:r>
    </w:p>
    <w:p w:rsidR="00170CFB" w:rsidRPr="00C83DF5" w:rsidRDefault="00170CFB" w:rsidP="006D6A83">
      <w:pPr>
        <w:rPr>
          <w:lang w:val="it-IT"/>
        </w:rPr>
      </w:pPr>
      <w:r w:rsidRPr="00C83DF5">
        <w:rPr>
          <w:rFonts w:cs="Tahoma"/>
          <w:color w:val="000000"/>
          <w:szCs w:val="18"/>
          <w:lang w:val="it-IT"/>
        </w:rPr>
        <w:t xml:space="preserve">Yammer Enterprise </w:t>
      </w:r>
    </w:p>
    <w:p w:rsidR="004759C6" w:rsidRPr="00F037D5" w:rsidRDefault="004759C6" w:rsidP="004759C6">
      <w:pPr>
        <w:keepNext/>
        <w:tabs>
          <w:tab w:val="num" w:pos="720"/>
        </w:tabs>
        <w:outlineLvl w:val="3"/>
        <w:rPr>
          <w:rFonts w:cs="Tahoma"/>
          <w:color w:val="000000"/>
          <w:szCs w:val="20"/>
          <w:lang w:val="it-IT"/>
        </w:rPr>
      </w:pPr>
    </w:p>
    <w:p w:rsidR="004759C6" w:rsidRPr="00F037D5" w:rsidRDefault="004759C6" w:rsidP="004759C6">
      <w:pPr>
        <w:spacing w:after="60"/>
        <w:rPr>
          <w:b/>
          <w:lang w:val="it-IT"/>
        </w:rPr>
      </w:pPr>
      <w:r w:rsidRPr="00F037D5">
        <w:rPr>
          <w:b/>
          <w:lang w:val="it-IT"/>
        </w:rPr>
        <w:t>Änderungen</w:t>
      </w:r>
    </w:p>
    <w:p w:rsidR="00497ADA" w:rsidRPr="00C83DF5" w:rsidRDefault="001B413E" w:rsidP="006D5B20">
      <w:pPr>
        <w:rPr>
          <w:lang w:val="it-IT"/>
        </w:rPr>
      </w:pPr>
      <w:r w:rsidRPr="00C83DF5">
        <w:rPr>
          <w:rFonts w:cs="Tahoma"/>
          <w:color w:val="000000"/>
          <w:szCs w:val="18"/>
          <w:lang w:val="it-IT"/>
        </w:rPr>
        <w:t>Microsoft Dynamics CRM Online</w:t>
      </w:r>
    </w:p>
    <w:p w:rsidR="006D5B20" w:rsidRPr="00C83DF5" w:rsidRDefault="006D5B20" w:rsidP="006D5B20">
      <w:pPr>
        <w:rPr>
          <w:lang w:val="de-DE"/>
        </w:rPr>
      </w:pPr>
      <w:r w:rsidRPr="00C83DF5">
        <w:rPr>
          <w:rFonts w:cs="Tahoma"/>
          <w:color w:val="000000"/>
          <w:szCs w:val="18"/>
          <w:lang w:val="de-DE"/>
        </w:rPr>
        <w:t>Exchange Online-Archivierung für Exchange Server</w:t>
      </w:r>
    </w:p>
    <w:p w:rsidR="006D5B20" w:rsidRPr="00C83DF5" w:rsidRDefault="006D5B20" w:rsidP="006D5B20">
      <w:pPr>
        <w:rPr>
          <w:lang w:val="de-DE"/>
        </w:rPr>
      </w:pPr>
      <w:r w:rsidRPr="00C83DF5">
        <w:rPr>
          <w:rFonts w:cs="Tahoma"/>
          <w:color w:val="000000"/>
          <w:szCs w:val="18"/>
          <w:lang w:val="de-DE"/>
        </w:rPr>
        <w:t>Exchange Online Plan 1 (Nutzer-AL)</w:t>
      </w:r>
    </w:p>
    <w:p w:rsidR="006D5B20" w:rsidRPr="00C83DF5" w:rsidRDefault="006D5B20" w:rsidP="006D5B20">
      <w:pPr>
        <w:rPr>
          <w:lang w:val="de-DE"/>
        </w:rPr>
      </w:pPr>
      <w:r w:rsidRPr="00C83DF5">
        <w:rPr>
          <w:rFonts w:cs="Tahoma"/>
          <w:color w:val="000000"/>
          <w:szCs w:val="18"/>
          <w:lang w:val="de-DE"/>
        </w:rPr>
        <w:t>Exchange Online Plan 2 (Nutzer-AL)</w:t>
      </w:r>
    </w:p>
    <w:p w:rsidR="006D5B20" w:rsidRPr="00C83DF5" w:rsidRDefault="006D5B20" w:rsidP="006D5B20">
      <w:pPr>
        <w:rPr>
          <w:lang w:val="de-DE"/>
        </w:rPr>
      </w:pPr>
      <w:r w:rsidRPr="00C83DF5">
        <w:rPr>
          <w:rFonts w:cs="Tahoma"/>
          <w:color w:val="000000"/>
          <w:szCs w:val="18"/>
          <w:lang w:val="de-DE"/>
        </w:rPr>
        <w:t>Exchange Online Plan 1A für Alumni (Nutzer-AL)</w:t>
      </w:r>
    </w:p>
    <w:p w:rsidR="006D5B20" w:rsidRPr="00C83DF5" w:rsidRDefault="006D5B20" w:rsidP="006D5B20">
      <w:pPr>
        <w:rPr>
          <w:lang w:val="de-DE"/>
        </w:rPr>
      </w:pPr>
      <w:r w:rsidRPr="00C83DF5">
        <w:rPr>
          <w:rFonts w:cs="Tahoma"/>
          <w:color w:val="000000"/>
          <w:szCs w:val="18"/>
          <w:lang w:val="de-DE"/>
        </w:rPr>
        <w:t>Exchange Online Plan 2A (Nutzer-AL)</w:t>
      </w:r>
    </w:p>
    <w:p w:rsidR="006D5B20" w:rsidRPr="00C83DF5" w:rsidRDefault="006D5B20" w:rsidP="006D5B20">
      <w:pPr>
        <w:rPr>
          <w:lang w:val="de-DE"/>
        </w:rPr>
      </w:pPr>
      <w:r w:rsidRPr="00C83DF5">
        <w:rPr>
          <w:rFonts w:cs="Tahoma"/>
          <w:color w:val="000000"/>
          <w:szCs w:val="18"/>
          <w:lang w:val="de-DE"/>
        </w:rPr>
        <w:t>Lync Online Plan 3A (Nutzer-AL)</w:t>
      </w:r>
    </w:p>
    <w:p w:rsidR="00497ADA" w:rsidRPr="00C83DF5" w:rsidRDefault="00497ADA" w:rsidP="006D5B20">
      <w:pPr>
        <w:rPr>
          <w:lang w:val="de-DE"/>
        </w:rPr>
      </w:pPr>
      <w:r w:rsidRPr="00C83DF5">
        <w:rPr>
          <w:rFonts w:cs="Tahoma"/>
          <w:color w:val="000000"/>
          <w:szCs w:val="18"/>
          <w:lang w:val="de-DE"/>
        </w:rPr>
        <w:t>Microsoft Dynamics CRM 2011 Server</w:t>
      </w:r>
    </w:p>
    <w:p w:rsidR="006D5B20" w:rsidRPr="00C83DF5" w:rsidRDefault="006D5B20" w:rsidP="006D5B20">
      <w:pPr>
        <w:rPr>
          <w:lang w:val="de-DE"/>
        </w:rPr>
      </w:pPr>
      <w:r w:rsidRPr="00C83DF5">
        <w:rPr>
          <w:rFonts w:cs="Tahoma"/>
          <w:color w:val="000000"/>
          <w:szCs w:val="18"/>
          <w:lang w:val="de-DE"/>
        </w:rPr>
        <w:t>Microsoft Windows Azure-Supportangebote</w:t>
      </w:r>
    </w:p>
    <w:p w:rsidR="006D5B20" w:rsidRPr="00B525B3" w:rsidRDefault="006D5B20" w:rsidP="006D5B20">
      <w:r w:rsidRPr="00B525B3">
        <w:rPr>
          <w:rFonts w:cs="Tahoma"/>
          <w:color w:val="000000"/>
          <w:szCs w:val="18"/>
        </w:rPr>
        <w:t>Office 365 A2 (Nutzer-AL)</w:t>
      </w:r>
    </w:p>
    <w:p w:rsidR="006D5B20" w:rsidRPr="00B525B3" w:rsidRDefault="006D5B20" w:rsidP="006D5B20">
      <w:r w:rsidRPr="00B525B3">
        <w:rPr>
          <w:rFonts w:cs="Tahoma"/>
          <w:color w:val="000000"/>
          <w:szCs w:val="18"/>
        </w:rPr>
        <w:t>Office 365 A3 (Nutzer-AL)</w:t>
      </w:r>
    </w:p>
    <w:p w:rsidR="006D5B20" w:rsidRPr="00B525B3" w:rsidRDefault="006D5B20" w:rsidP="006D5B20">
      <w:r w:rsidRPr="00B525B3">
        <w:rPr>
          <w:rFonts w:cs="Tahoma"/>
          <w:color w:val="000000"/>
          <w:szCs w:val="18"/>
        </w:rPr>
        <w:t>Office 365 A4 (Nutzer-AL)</w:t>
      </w:r>
    </w:p>
    <w:p w:rsidR="006D5B20" w:rsidRPr="00B525B3" w:rsidRDefault="006D5B20" w:rsidP="006D5B20">
      <w:r w:rsidRPr="00B525B3">
        <w:rPr>
          <w:rFonts w:cs="Tahoma"/>
          <w:color w:val="000000"/>
          <w:szCs w:val="18"/>
        </w:rPr>
        <w:t>Office Professional Plus-Abonnement A (Nutzer-AL)</w:t>
      </w:r>
    </w:p>
    <w:p w:rsidR="006D5B20" w:rsidRPr="00B525B3" w:rsidRDefault="006D5B20" w:rsidP="006D5B20">
      <w:r w:rsidRPr="00B525B3">
        <w:rPr>
          <w:rFonts w:cs="Tahoma"/>
          <w:color w:val="000000"/>
          <w:szCs w:val="18"/>
        </w:rPr>
        <w:t>Office Web-Anwendungen mit SharePoint Plan 2A (Nutzer-AL)</w:t>
      </w:r>
    </w:p>
    <w:p w:rsidR="006D5B20" w:rsidRPr="00C83DF5" w:rsidRDefault="006D5B20" w:rsidP="006D6A83">
      <w:r w:rsidRPr="00C83DF5">
        <w:rPr>
          <w:rFonts w:cs="Tahoma"/>
          <w:color w:val="000000"/>
          <w:szCs w:val="18"/>
        </w:rPr>
        <w:t>SharePoint™ Online Extra Storage 1 GB A (Add-On-AL)</w:t>
      </w:r>
    </w:p>
    <w:p w:rsidR="00170CFB" w:rsidRPr="00C83DF5" w:rsidRDefault="00170CFB" w:rsidP="006D6A83">
      <w:r w:rsidRPr="00C83DF5">
        <w:rPr>
          <w:rFonts w:cs="Tahoma"/>
          <w:color w:val="000000"/>
          <w:szCs w:val="18"/>
        </w:rPr>
        <w:t>Enterprise-Server-Management-Lizenz für System Center Configuration Manager 2007 R3</w:t>
      </w:r>
    </w:p>
    <w:p w:rsidR="00170CFB" w:rsidRPr="00C83DF5" w:rsidRDefault="00170CFB" w:rsidP="006D6A83">
      <w:r w:rsidRPr="00C83DF5">
        <w:rPr>
          <w:rFonts w:cs="Tahoma"/>
          <w:color w:val="000000"/>
          <w:szCs w:val="18"/>
        </w:rPr>
        <w:t>Standard-Server-Management-Lizenz (Standard-Server-ML) für System Center Configuration Manager 2007 R3</w:t>
      </w:r>
    </w:p>
    <w:p w:rsidR="00170CFB" w:rsidRPr="00C83DF5" w:rsidRDefault="00170CFB" w:rsidP="006D6A83">
      <w:r w:rsidRPr="00C83DF5">
        <w:rPr>
          <w:rFonts w:cs="Tahoma"/>
          <w:color w:val="000000"/>
          <w:szCs w:val="18"/>
        </w:rPr>
        <w:t>Enterprise-Server-Management-Lizenz für System Center Data Protection Manager 2010</w:t>
      </w:r>
    </w:p>
    <w:p w:rsidR="00170CFB" w:rsidRPr="00C83DF5" w:rsidRDefault="00170CFB" w:rsidP="006D6A83">
      <w:r w:rsidRPr="00C83DF5">
        <w:rPr>
          <w:rFonts w:cs="Tahoma"/>
          <w:color w:val="000000"/>
          <w:szCs w:val="18"/>
        </w:rPr>
        <w:t>Standard-Server-Management-Lizenz für System Center Data Protection Manager 2010</w:t>
      </w:r>
    </w:p>
    <w:p w:rsidR="00170CFB" w:rsidRPr="00C83DF5" w:rsidRDefault="00170CFB" w:rsidP="006D6A83">
      <w:pPr>
        <w:rPr>
          <w:lang w:val="de-DE"/>
        </w:rPr>
      </w:pPr>
      <w:r w:rsidRPr="00C83DF5">
        <w:rPr>
          <w:rFonts w:cs="Tahoma"/>
          <w:color w:val="000000"/>
          <w:szCs w:val="18"/>
          <w:lang w:val="de-DE"/>
        </w:rPr>
        <w:t>Client-Management-Lizenz pro Nutzer für System Center Operations Manager 2007 R2</w:t>
      </w:r>
    </w:p>
    <w:p w:rsidR="00170CFB" w:rsidRPr="00C83DF5" w:rsidRDefault="00170CFB" w:rsidP="006D6A83">
      <w:pPr>
        <w:rPr>
          <w:lang w:val="de-DE"/>
        </w:rPr>
      </w:pPr>
      <w:r w:rsidRPr="00C83DF5">
        <w:rPr>
          <w:rFonts w:cs="Tahoma"/>
          <w:color w:val="000000"/>
          <w:szCs w:val="18"/>
          <w:lang w:val="de-DE"/>
        </w:rPr>
        <w:t>Client-Management-Lizenz pro OSE für System Center Operations Manager 2007 R2</w:t>
      </w:r>
    </w:p>
    <w:p w:rsidR="00170CFB" w:rsidRPr="00C83DF5" w:rsidRDefault="00170CFB" w:rsidP="006D6A83">
      <w:pPr>
        <w:rPr>
          <w:lang w:val="de-DE"/>
        </w:rPr>
      </w:pPr>
      <w:r w:rsidRPr="00C83DF5">
        <w:rPr>
          <w:rFonts w:cs="Tahoma"/>
          <w:color w:val="000000"/>
          <w:szCs w:val="18"/>
          <w:lang w:val="de-DE"/>
        </w:rPr>
        <w:t>Enterprise-Server-Management-Lizenz für System Center Operations Manager 2007 R2</w:t>
      </w:r>
    </w:p>
    <w:p w:rsidR="00170CFB" w:rsidRPr="00C83DF5" w:rsidRDefault="00170CFB" w:rsidP="006D6A83">
      <w:pPr>
        <w:rPr>
          <w:lang w:val="de-DE"/>
        </w:rPr>
      </w:pPr>
      <w:r w:rsidRPr="00C83DF5">
        <w:rPr>
          <w:rFonts w:cs="Tahoma"/>
          <w:color w:val="000000"/>
          <w:szCs w:val="18"/>
          <w:lang w:val="de-DE"/>
        </w:rPr>
        <w:t>Standard-Server-Management-Lizenz für System Center Operations Manager 2007 R2</w:t>
      </w:r>
    </w:p>
    <w:p w:rsidR="00170CFB" w:rsidRPr="00C83DF5" w:rsidRDefault="00170CFB" w:rsidP="006D6A83">
      <w:pPr>
        <w:rPr>
          <w:lang w:val="de-DE"/>
        </w:rPr>
      </w:pPr>
      <w:r w:rsidRPr="00C83DF5">
        <w:rPr>
          <w:rFonts w:cs="Tahoma"/>
          <w:color w:val="000000"/>
          <w:szCs w:val="18"/>
          <w:lang w:val="de-DE"/>
        </w:rPr>
        <w:t>Client-Management-Lizenz (Client-ML) für System Center Service Manager 2010 pro Nutzer</w:t>
      </w:r>
    </w:p>
    <w:p w:rsidR="00170CFB" w:rsidRPr="00C83DF5" w:rsidRDefault="00170CFB" w:rsidP="006D6A83">
      <w:pPr>
        <w:rPr>
          <w:lang w:val="de-DE"/>
        </w:rPr>
      </w:pPr>
      <w:r w:rsidRPr="00C83DF5">
        <w:rPr>
          <w:rFonts w:cs="Tahoma"/>
          <w:color w:val="000000"/>
          <w:szCs w:val="18"/>
          <w:lang w:val="de-DE"/>
        </w:rPr>
        <w:t>Client-Management-Lizenz (Client-ML) für System Center Service Manager 2010 pro Betriebssystemumgebung</w:t>
      </w:r>
    </w:p>
    <w:p w:rsidR="00170CFB" w:rsidRPr="00C83DF5" w:rsidRDefault="00170CFB" w:rsidP="006D6A83">
      <w:pPr>
        <w:rPr>
          <w:lang w:val="de-DE"/>
        </w:rPr>
      </w:pPr>
      <w:r w:rsidRPr="00C83DF5">
        <w:rPr>
          <w:rFonts w:cs="Tahoma"/>
          <w:color w:val="000000"/>
          <w:szCs w:val="18"/>
          <w:lang w:val="de-DE"/>
        </w:rPr>
        <w:t>Server-Management-Lizenz (Server-ML) für System Center Service Manager 2010 pro Betriebssystemumgebung</w:t>
      </w:r>
    </w:p>
    <w:p w:rsidR="00170CFB" w:rsidRPr="00C83DF5" w:rsidRDefault="00170CFB" w:rsidP="006D6A83">
      <w:pPr>
        <w:rPr>
          <w:lang w:val="de-DE"/>
        </w:rPr>
      </w:pPr>
      <w:r w:rsidRPr="00C83DF5">
        <w:rPr>
          <w:rFonts w:cs="Tahoma"/>
          <w:color w:val="000000"/>
          <w:szCs w:val="18"/>
          <w:lang w:val="de-DE"/>
        </w:rPr>
        <w:t>Client-Management-Lizenz für System Center Virtual Machine Manager 2008 R2 pro Nutzer</w:t>
      </w:r>
    </w:p>
    <w:p w:rsidR="00170CFB" w:rsidRPr="00C83DF5" w:rsidRDefault="00170CFB" w:rsidP="006D6A83">
      <w:pPr>
        <w:rPr>
          <w:lang w:val="de-DE"/>
        </w:rPr>
      </w:pPr>
      <w:r w:rsidRPr="00C83DF5">
        <w:rPr>
          <w:rFonts w:cs="Tahoma"/>
          <w:color w:val="000000"/>
          <w:szCs w:val="18"/>
          <w:lang w:val="de-DE"/>
        </w:rPr>
        <w:t>Client-Management-Lizenz für System Center Virtual Machine Manager 2008 R2 pro Betriebssystemumgebung</w:t>
      </w:r>
    </w:p>
    <w:p w:rsidR="00170CFB" w:rsidRPr="00C83DF5" w:rsidRDefault="00170CFB" w:rsidP="006D6A83">
      <w:pPr>
        <w:rPr>
          <w:lang w:val="de-DE"/>
        </w:rPr>
      </w:pPr>
      <w:r w:rsidRPr="00C83DF5">
        <w:rPr>
          <w:rFonts w:cs="Tahoma"/>
          <w:color w:val="000000"/>
          <w:szCs w:val="18"/>
          <w:lang w:val="de-DE"/>
        </w:rPr>
        <w:t>Enterprise-Server-Management-Lizenz für System Center Virtual Machine Manager 2008 R2</w:t>
      </w:r>
    </w:p>
    <w:p w:rsidR="0064651F" w:rsidRPr="00C83DF5" w:rsidRDefault="00497ADA">
      <w:pPr>
        <w:rPr>
          <w:lang w:val="de-DE"/>
        </w:rPr>
      </w:pPr>
      <w:r w:rsidRPr="00C83DF5">
        <w:rPr>
          <w:rFonts w:cs="Tahoma"/>
          <w:color w:val="000000"/>
          <w:szCs w:val="18"/>
          <w:lang w:val="de-DE"/>
        </w:rPr>
        <w:t>Nutzer-AL für Windows Intune</w:t>
      </w:r>
    </w:p>
    <w:p w:rsidR="0064651F" w:rsidRPr="00F037D5" w:rsidRDefault="0064651F">
      <w:pPr>
        <w:rPr>
          <w:b/>
          <w:lang w:val="de-DE"/>
        </w:rPr>
      </w:pPr>
    </w:p>
    <w:p w:rsidR="004759C6" w:rsidRPr="00F037D5" w:rsidRDefault="004759C6" w:rsidP="0064651F">
      <w:pPr>
        <w:keepNext/>
        <w:tabs>
          <w:tab w:val="num" w:pos="720"/>
        </w:tabs>
        <w:spacing w:after="60"/>
        <w:outlineLvl w:val="3"/>
        <w:rPr>
          <w:b/>
          <w:lang w:val="de-DE"/>
        </w:rPr>
      </w:pPr>
      <w:r w:rsidRPr="00F037D5">
        <w:rPr>
          <w:b/>
          <w:lang w:val="de-DE"/>
        </w:rPr>
        <w:t>Streichungen</w:t>
      </w:r>
    </w:p>
    <w:p w:rsidR="006D5B20" w:rsidRPr="00C83DF5" w:rsidRDefault="006D5B20" w:rsidP="006D5B20">
      <w:pPr>
        <w:rPr>
          <w:lang w:val="it-IT"/>
        </w:rPr>
      </w:pPr>
      <w:r w:rsidRPr="00C83DF5">
        <w:rPr>
          <w:rFonts w:cs="Tahoma"/>
          <w:color w:val="000000"/>
          <w:szCs w:val="18"/>
          <w:lang w:val="it-IT"/>
        </w:rPr>
        <w:t>Expression Studio Professional 4</w:t>
      </w:r>
    </w:p>
    <w:p w:rsidR="006D5B20" w:rsidRPr="00C83DF5" w:rsidRDefault="006D5B20" w:rsidP="006D5B20">
      <w:pPr>
        <w:rPr>
          <w:lang w:val="it-IT"/>
        </w:rPr>
      </w:pPr>
      <w:r w:rsidRPr="00C83DF5">
        <w:rPr>
          <w:rFonts w:cs="Tahoma"/>
          <w:color w:val="000000"/>
          <w:szCs w:val="18"/>
          <w:lang w:val="it-IT"/>
        </w:rPr>
        <w:t>Expression Studio Ultimate 4</w:t>
      </w:r>
    </w:p>
    <w:p w:rsidR="006D5B20" w:rsidRPr="00C83DF5" w:rsidRDefault="006D5B20" w:rsidP="006D5B20">
      <w:pPr>
        <w:rPr>
          <w:lang w:val="de-DE"/>
        </w:rPr>
      </w:pPr>
      <w:r w:rsidRPr="00C83DF5">
        <w:rPr>
          <w:rFonts w:cs="Tahoma"/>
          <w:color w:val="000000"/>
          <w:szCs w:val="18"/>
          <w:lang w:val="de-DE"/>
        </w:rPr>
        <w:t>Office-Webanwendungen A (Nutzer-AL)</w:t>
      </w:r>
    </w:p>
    <w:p w:rsidR="006D5B20" w:rsidRPr="00C83DF5" w:rsidRDefault="006D5B20" w:rsidP="006D5B20">
      <w:r w:rsidRPr="00C83DF5">
        <w:rPr>
          <w:rFonts w:cs="Tahoma"/>
          <w:color w:val="000000"/>
          <w:szCs w:val="18"/>
        </w:rPr>
        <w:t>SQL Server</w:t>
      </w:r>
      <w:r w:rsidRPr="00C83DF5">
        <w:rPr>
          <w:rFonts w:cs="Tahoma"/>
          <w:color w:val="000000"/>
          <w:szCs w:val="18"/>
          <w:vertAlign w:val="superscript"/>
        </w:rPr>
        <w:t>®</w:t>
      </w:r>
      <w:r w:rsidRPr="00C83DF5">
        <w:rPr>
          <w:rFonts w:cs="Tahoma"/>
          <w:color w:val="000000"/>
          <w:szCs w:val="18"/>
        </w:rPr>
        <w:t xml:space="preserve"> 2008 R2 Parallel Data Warehouse</w:t>
      </w:r>
    </w:p>
    <w:p w:rsidR="006D5B20" w:rsidRPr="00C83DF5" w:rsidRDefault="006D5B20" w:rsidP="006D5B20">
      <w:r w:rsidRPr="00C83DF5">
        <w:rPr>
          <w:rFonts w:cs="Tahoma"/>
          <w:color w:val="000000"/>
          <w:szCs w:val="18"/>
        </w:rPr>
        <w:lastRenderedPageBreak/>
        <w:t>SQL Server</w:t>
      </w:r>
      <w:r w:rsidRPr="00C83DF5">
        <w:rPr>
          <w:rFonts w:cs="Tahoma"/>
          <w:color w:val="000000"/>
          <w:szCs w:val="18"/>
          <w:vertAlign w:val="superscript"/>
        </w:rPr>
        <w:t>®</w:t>
      </w:r>
      <w:r w:rsidRPr="00C83DF5">
        <w:rPr>
          <w:rFonts w:cs="Tahoma"/>
          <w:color w:val="000000"/>
          <w:szCs w:val="18"/>
        </w:rPr>
        <w:t xml:space="preserve"> 2008 R2 Parallel Data Warehouse Developer</w:t>
      </w:r>
    </w:p>
    <w:p w:rsidR="00170CFB" w:rsidRPr="00C83DF5" w:rsidRDefault="00170CFB" w:rsidP="006D6A83">
      <w:r w:rsidRPr="00C83DF5">
        <w:rPr>
          <w:rFonts w:cs="Tahoma"/>
          <w:color w:val="000000"/>
          <w:szCs w:val="18"/>
        </w:rPr>
        <w:t>System Center Configuration Manager 2007 R3</w:t>
      </w:r>
    </w:p>
    <w:p w:rsidR="00170CFB" w:rsidRPr="00C83DF5" w:rsidRDefault="00170CFB" w:rsidP="006D6A83">
      <w:r w:rsidRPr="00C83DF5">
        <w:rPr>
          <w:rFonts w:cs="Tahoma"/>
          <w:color w:val="000000"/>
          <w:szCs w:val="18"/>
        </w:rPr>
        <w:t>System Center Configuration Manager 2007 R3 mit SQL Server 2008-Technologie</w:t>
      </w:r>
    </w:p>
    <w:p w:rsidR="00170CFB" w:rsidRPr="00C83DF5" w:rsidRDefault="00170CFB" w:rsidP="006D6A83">
      <w:r w:rsidRPr="00C83DF5">
        <w:rPr>
          <w:rFonts w:cs="Tahoma"/>
          <w:color w:val="000000"/>
          <w:szCs w:val="18"/>
        </w:rPr>
        <w:t>Client-Management-Lizenz für System Center Data Protection Manager 2010 pro Nutzer</w:t>
      </w:r>
    </w:p>
    <w:p w:rsidR="00170CFB" w:rsidRPr="00C83DF5" w:rsidRDefault="00170CFB" w:rsidP="006D6A83">
      <w:pPr>
        <w:rPr>
          <w:lang w:val="de-DE"/>
        </w:rPr>
      </w:pPr>
      <w:r w:rsidRPr="00C83DF5">
        <w:rPr>
          <w:rFonts w:cs="Tahoma"/>
          <w:color w:val="000000"/>
          <w:szCs w:val="18"/>
          <w:lang w:val="de-DE"/>
        </w:rPr>
        <w:t>Client-Management-Lizenz für System Center Data Protection Manager 2010 pro Betriebssystemumgebung</w:t>
      </w:r>
    </w:p>
    <w:p w:rsidR="00170CFB" w:rsidRPr="00C83DF5" w:rsidRDefault="00170CFB" w:rsidP="006D6A83">
      <w:pPr>
        <w:rPr>
          <w:lang w:val="de-DE"/>
        </w:rPr>
      </w:pPr>
      <w:r w:rsidRPr="00C83DF5">
        <w:rPr>
          <w:rFonts w:cs="Tahoma"/>
          <w:color w:val="000000"/>
          <w:szCs w:val="18"/>
          <w:lang w:val="de-DE"/>
        </w:rPr>
        <w:t>System Center Operations Manager 2007 R2</w:t>
      </w:r>
    </w:p>
    <w:p w:rsidR="00170CFB" w:rsidRPr="00C83DF5" w:rsidRDefault="00170CFB" w:rsidP="006D6A83">
      <w:pPr>
        <w:rPr>
          <w:lang w:val="de-DE"/>
        </w:rPr>
      </w:pPr>
      <w:r w:rsidRPr="00C83DF5">
        <w:rPr>
          <w:rFonts w:cs="Tahoma"/>
          <w:color w:val="000000"/>
          <w:szCs w:val="18"/>
          <w:lang w:val="de-DE"/>
        </w:rPr>
        <w:t>System Center Operations Manager 2007 R2 mit SQL Server 2008-Technologie</w:t>
      </w:r>
    </w:p>
    <w:p w:rsidR="00170CFB" w:rsidRPr="00C83DF5" w:rsidRDefault="00170CFB" w:rsidP="006D6A83">
      <w:pPr>
        <w:rPr>
          <w:lang w:val="de-DE"/>
        </w:rPr>
      </w:pPr>
      <w:r w:rsidRPr="00C83DF5">
        <w:rPr>
          <w:rFonts w:cs="Tahoma"/>
          <w:color w:val="000000"/>
          <w:szCs w:val="18"/>
          <w:lang w:val="de-DE"/>
        </w:rPr>
        <w:t>System Center Service Manager 2010</w:t>
      </w:r>
    </w:p>
    <w:p w:rsidR="00170CFB" w:rsidRPr="00C83DF5" w:rsidRDefault="00170CFB" w:rsidP="006D6A83">
      <w:pPr>
        <w:rPr>
          <w:lang w:val="de-DE"/>
        </w:rPr>
      </w:pPr>
      <w:r w:rsidRPr="00C83DF5">
        <w:rPr>
          <w:rFonts w:cs="Tahoma"/>
          <w:color w:val="000000"/>
          <w:szCs w:val="18"/>
          <w:lang w:val="de-DE"/>
        </w:rPr>
        <w:t>System Center Service Manager 2010 mit SQL Server 2008-Technologie</w:t>
      </w:r>
    </w:p>
    <w:p w:rsidR="00170CFB" w:rsidRPr="00C83DF5" w:rsidRDefault="00170CFB" w:rsidP="006D6A83">
      <w:pPr>
        <w:rPr>
          <w:lang w:val="de-DE"/>
        </w:rPr>
      </w:pPr>
      <w:r w:rsidRPr="00C83DF5">
        <w:rPr>
          <w:rFonts w:cs="Tahoma"/>
          <w:color w:val="000000"/>
          <w:szCs w:val="18"/>
          <w:lang w:val="de-DE"/>
        </w:rPr>
        <w:t>System Center Essentials 2010</w:t>
      </w:r>
    </w:p>
    <w:p w:rsidR="00170CFB" w:rsidRPr="00C83DF5" w:rsidRDefault="00170CFB" w:rsidP="006D6A83">
      <w:pPr>
        <w:rPr>
          <w:lang w:val="de-DE"/>
        </w:rPr>
      </w:pPr>
      <w:r w:rsidRPr="00C83DF5">
        <w:rPr>
          <w:rFonts w:cs="Tahoma"/>
          <w:color w:val="000000"/>
          <w:szCs w:val="18"/>
          <w:lang w:val="de-DE"/>
        </w:rPr>
        <w:t>Client-ML für System Center Essentials 2010</w:t>
      </w:r>
    </w:p>
    <w:p w:rsidR="00170CFB" w:rsidRPr="00C83DF5" w:rsidRDefault="00170CFB" w:rsidP="006D6A83">
      <w:pPr>
        <w:rPr>
          <w:lang w:val="de-DE"/>
        </w:rPr>
      </w:pPr>
      <w:r w:rsidRPr="00C83DF5">
        <w:rPr>
          <w:rFonts w:cs="Tahoma"/>
          <w:color w:val="000000"/>
          <w:szCs w:val="18"/>
          <w:lang w:val="de-DE"/>
        </w:rPr>
        <w:t>Server-ML für System Center Essentials 2010</w:t>
      </w:r>
    </w:p>
    <w:p w:rsidR="00170CFB" w:rsidRPr="00C83DF5" w:rsidRDefault="00170CFB" w:rsidP="006D6A83">
      <w:pPr>
        <w:rPr>
          <w:lang w:val="de-DE"/>
        </w:rPr>
      </w:pPr>
      <w:r w:rsidRPr="00C83DF5">
        <w:rPr>
          <w:rFonts w:cs="Tahoma"/>
          <w:color w:val="000000"/>
          <w:szCs w:val="18"/>
          <w:lang w:val="de-DE"/>
        </w:rPr>
        <w:t xml:space="preserve">System Center Essentials 2010 mit SQL Server 2008-Technologie </w:t>
      </w:r>
    </w:p>
    <w:p w:rsidR="00170CFB" w:rsidRPr="00C83DF5" w:rsidRDefault="00170CFB" w:rsidP="006D6A83">
      <w:pPr>
        <w:rPr>
          <w:lang w:val="de-DE"/>
        </w:rPr>
      </w:pPr>
      <w:r w:rsidRPr="00C83DF5">
        <w:rPr>
          <w:rFonts w:cs="Tahoma"/>
          <w:color w:val="000000"/>
          <w:szCs w:val="18"/>
          <w:lang w:val="de-DE"/>
        </w:rPr>
        <w:t>Lizenz-Suite für System Center Essentials Plus 2010 Client-Management</w:t>
      </w:r>
    </w:p>
    <w:p w:rsidR="00170CFB" w:rsidRPr="00C83DF5" w:rsidRDefault="00170CFB" w:rsidP="006D6A83">
      <w:pPr>
        <w:rPr>
          <w:lang w:val="de-DE"/>
        </w:rPr>
      </w:pPr>
      <w:r w:rsidRPr="00C83DF5">
        <w:rPr>
          <w:rFonts w:cs="Tahoma"/>
          <w:color w:val="000000"/>
          <w:szCs w:val="18"/>
          <w:lang w:val="de-DE"/>
        </w:rPr>
        <w:t>Lizenz-Suite für System Center Essentials Plus 2010 Server Management</w:t>
      </w:r>
    </w:p>
    <w:p w:rsidR="00170CFB" w:rsidRPr="00C83DF5" w:rsidRDefault="00170CFB" w:rsidP="006D6A83">
      <w:pPr>
        <w:rPr>
          <w:lang w:val="de-DE"/>
        </w:rPr>
      </w:pPr>
      <w:r w:rsidRPr="00C83DF5">
        <w:rPr>
          <w:rFonts w:cs="Tahoma"/>
          <w:color w:val="000000"/>
          <w:szCs w:val="18"/>
          <w:lang w:val="de-DE"/>
        </w:rPr>
        <w:t>System Center Virtual Machine Manager 2008 R2 Workgroup Edition</w:t>
      </w:r>
    </w:p>
    <w:p w:rsidR="00170CFB" w:rsidRPr="00C83DF5" w:rsidRDefault="00170CFB" w:rsidP="006D6A83">
      <w:r w:rsidRPr="00C83DF5">
        <w:rPr>
          <w:rFonts w:cs="Tahoma"/>
          <w:color w:val="000000"/>
          <w:szCs w:val="18"/>
        </w:rPr>
        <w:t>External Connector für Visual Studio</w:t>
      </w:r>
      <w:r w:rsidRPr="00C83DF5">
        <w:rPr>
          <w:rFonts w:cs="Tahoma"/>
          <w:color w:val="000000"/>
          <w:szCs w:val="18"/>
          <w:vertAlign w:val="superscript"/>
        </w:rPr>
        <w:t>®</w:t>
      </w:r>
      <w:r w:rsidRPr="00C83DF5">
        <w:rPr>
          <w:rFonts w:cs="Tahoma"/>
          <w:color w:val="000000"/>
          <w:szCs w:val="18"/>
        </w:rPr>
        <w:t xml:space="preserve"> Team Foundation Server 2012</w:t>
      </w:r>
    </w:p>
    <w:p w:rsidR="004759C6" w:rsidRPr="00C83DF5" w:rsidRDefault="004759C6" w:rsidP="007E466C"/>
    <w:p w:rsidR="0064651F" w:rsidRPr="00C83DF5" w:rsidRDefault="0064651F" w:rsidP="0064651F"/>
    <w:p w:rsidR="00243B33" w:rsidRPr="00F037D5" w:rsidRDefault="000225E7" w:rsidP="00243B33">
      <w:pPr>
        <w:pStyle w:val="Heading2"/>
        <w:ind w:left="0"/>
        <w:jc w:val="both"/>
        <w:rPr>
          <w:rFonts w:ascii="Tahoma" w:hAnsi="Tahoma" w:cs="Tahoma"/>
          <w:color w:val="FF6600"/>
          <w:lang w:val="de-DE"/>
        </w:rPr>
      </w:pPr>
      <w:bookmarkStart w:id="577" w:name="_Toc370983286"/>
      <w:r w:rsidRPr="00F037D5">
        <w:rPr>
          <w:rFonts w:ascii="Tahoma" w:hAnsi="Tahoma" w:cs="Tahoma"/>
          <w:color w:val="FF6600"/>
          <w:lang w:val="de-DE"/>
        </w:rPr>
        <w:t>ÄNDERUNGEN IM FEBRUAR 2013</w:t>
      </w:r>
      <w:bookmarkEnd w:id="577"/>
    </w:p>
    <w:p w:rsidR="00243B33" w:rsidRPr="00F037D5" w:rsidRDefault="00243B33" w:rsidP="00E06050">
      <w:pPr>
        <w:pStyle w:val="Heading2"/>
        <w:ind w:left="0"/>
        <w:jc w:val="both"/>
        <w:rPr>
          <w:rFonts w:ascii="Tahoma" w:hAnsi="Tahoma" w:cs="Tahoma"/>
          <w:color w:val="FF6600"/>
          <w:sz w:val="18"/>
          <w:lang w:val="de-DE"/>
        </w:rPr>
      </w:pPr>
    </w:p>
    <w:p w:rsidR="00662A44" w:rsidRPr="00C83DF5" w:rsidRDefault="00662A44" w:rsidP="00662A44">
      <w:pPr>
        <w:spacing w:after="60"/>
        <w:rPr>
          <w:lang w:val="de-DE"/>
        </w:rPr>
      </w:pPr>
      <w:r w:rsidRPr="00C83DF5">
        <w:rPr>
          <w:b/>
          <w:lang w:val="de-DE"/>
        </w:rPr>
        <w:t>Hinzufügungen</w:t>
      </w:r>
    </w:p>
    <w:p w:rsidR="00662A44" w:rsidRPr="00C83DF5" w:rsidRDefault="00662A44" w:rsidP="00662A44">
      <w:pPr>
        <w:rPr>
          <w:lang w:val="de-DE"/>
        </w:rPr>
      </w:pPr>
      <w:r w:rsidRPr="00C83DF5">
        <w:rPr>
          <w:lang w:val="de-DE"/>
        </w:rPr>
        <w:t xml:space="preserve">Zusätzliche CAL für </w:t>
      </w:r>
      <w:r w:rsidRPr="00C83DF5">
        <w:rPr>
          <w:rFonts w:cs="Tahoma"/>
          <w:color w:val="000000"/>
          <w:szCs w:val="18"/>
          <w:lang w:val="de-DE"/>
        </w:rPr>
        <w:t xml:space="preserve">Microsoft </w:t>
      </w:r>
      <w:r w:rsidRPr="00C83DF5">
        <w:rPr>
          <w:rFonts w:cs="Tahoma"/>
          <w:color w:val="000000"/>
          <w:szCs w:val="20"/>
          <w:lang w:val="de-DE"/>
        </w:rPr>
        <w:t>Dynamics AX 2012 R2 Enterprise (Nutzer &amp; Gerät)</w:t>
      </w:r>
    </w:p>
    <w:p w:rsidR="00662A44" w:rsidRPr="00C83DF5" w:rsidRDefault="00662A44" w:rsidP="00662A44">
      <w:pPr>
        <w:rPr>
          <w:lang w:val="de-DE"/>
        </w:rPr>
      </w:pPr>
      <w:r w:rsidRPr="00C83DF5">
        <w:rPr>
          <w:lang w:val="de-DE"/>
        </w:rPr>
        <w:t xml:space="preserve">CAL für </w:t>
      </w:r>
      <w:r w:rsidRPr="00C83DF5">
        <w:rPr>
          <w:rFonts w:cs="Tahoma"/>
          <w:color w:val="000000"/>
          <w:szCs w:val="18"/>
          <w:lang w:val="de-DE"/>
        </w:rPr>
        <w:t xml:space="preserve">Microsoft </w:t>
      </w:r>
      <w:r w:rsidRPr="00C83DF5">
        <w:rPr>
          <w:rFonts w:cs="Tahoma"/>
          <w:color w:val="000000"/>
          <w:szCs w:val="20"/>
          <w:lang w:val="de-DE"/>
        </w:rPr>
        <w:t>Dynamics AX 2012 R2 Enterprise (Nutzer &amp; Gerät)</w:t>
      </w:r>
    </w:p>
    <w:p w:rsidR="00662A44" w:rsidRPr="00C83DF5" w:rsidRDefault="00662A44" w:rsidP="00662A44">
      <w:pPr>
        <w:rPr>
          <w:lang w:val="de-DE"/>
        </w:rPr>
      </w:pPr>
      <w:r w:rsidRPr="00C83DF5">
        <w:rPr>
          <w:lang w:val="de-DE"/>
        </w:rPr>
        <w:t xml:space="preserve">Zusätzliche Funktions-CAL für </w:t>
      </w:r>
      <w:r w:rsidRPr="00C83DF5">
        <w:rPr>
          <w:rFonts w:cs="Tahoma"/>
          <w:color w:val="000000"/>
          <w:szCs w:val="18"/>
          <w:lang w:val="de-DE"/>
        </w:rPr>
        <w:t xml:space="preserve">Microsoft </w:t>
      </w:r>
      <w:r w:rsidRPr="00C83DF5">
        <w:rPr>
          <w:rFonts w:cs="Tahoma"/>
          <w:color w:val="000000"/>
          <w:szCs w:val="20"/>
          <w:lang w:val="de-DE"/>
        </w:rPr>
        <w:t>Dynamics AX 2012 R2 (Nutzer &amp; Gerät)</w:t>
      </w:r>
    </w:p>
    <w:p w:rsidR="00662A44" w:rsidRPr="00C83DF5" w:rsidRDefault="00662A44" w:rsidP="00662A44">
      <w:pPr>
        <w:rPr>
          <w:lang w:val="de-DE"/>
        </w:rPr>
      </w:pPr>
      <w:r w:rsidRPr="00C83DF5">
        <w:rPr>
          <w:lang w:val="de-DE"/>
        </w:rPr>
        <w:t xml:space="preserve">Funktions-CAL für </w:t>
      </w:r>
      <w:r w:rsidRPr="00C83DF5">
        <w:rPr>
          <w:rFonts w:cs="Tahoma"/>
          <w:color w:val="000000"/>
          <w:szCs w:val="18"/>
          <w:lang w:val="de-DE"/>
        </w:rPr>
        <w:t xml:space="preserve">Microsoft </w:t>
      </w:r>
      <w:r w:rsidRPr="00C83DF5">
        <w:rPr>
          <w:rFonts w:cs="Tahoma"/>
          <w:color w:val="000000"/>
          <w:szCs w:val="20"/>
          <w:lang w:val="de-DE"/>
        </w:rPr>
        <w:t>Dynamics AX 2012 R2 (Nutzer &amp; Gerät)</w:t>
      </w:r>
    </w:p>
    <w:p w:rsidR="00662A44" w:rsidRPr="00C83DF5" w:rsidRDefault="00662A44" w:rsidP="00662A44">
      <w:pPr>
        <w:rPr>
          <w:lang w:val="de-DE"/>
        </w:rPr>
      </w:pPr>
      <w:r w:rsidRPr="00C83DF5">
        <w:rPr>
          <w:lang w:val="de-DE"/>
        </w:rPr>
        <w:t xml:space="preserve">CAL für </w:t>
      </w:r>
      <w:r w:rsidRPr="00C83DF5">
        <w:rPr>
          <w:rFonts w:cs="Tahoma"/>
          <w:color w:val="000000"/>
          <w:szCs w:val="18"/>
          <w:lang w:val="de-DE"/>
        </w:rPr>
        <w:t xml:space="preserve">Microsoft </w:t>
      </w:r>
      <w:r w:rsidRPr="00C83DF5">
        <w:rPr>
          <w:rFonts w:cs="Tahoma"/>
          <w:color w:val="000000"/>
          <w:szCs w:val="20"/>
          <w:lang w:val="de-DE"/>
        </w:rPr>
        <w:t>Dynamics AX 2012 R2 Self-Service (Nutzer &amp; Gerät)</w:t>
      </w:r>
    </w:p>
    <w:p w:rsidR="00662A44" w:rsidRPr="00C83DF5" w:rsidRDefault="00662A44" w:rsidP="00662A44">
      <w:pPr>
        <w:rPr>
          <w:lang w:val="de-DE"/>
        </w:rPr>
      </w:pPr>
      <w:r w:rsidRPr="00C83DF5">
        <w:rPr>
          <w:rFonts w:cs="Tahoma"/>
          <w:color w:val="000000"/>
          <w:szCs w:val="18"/>
          <w:lang w:val="de-DE"/>
        </w:rPr>
        <w:t xml:space="preserve">Microsoft </w:t>
      </w:r>
      <w:r w:rsidRPr="00C83DF5">
        <w:rPr>
          <w:rFonts w:cs="Tahoma"/>
          <w:color w:val="000000"/>
          <w:szCs w:val="20"/>
          <w:lang w:val="de-DE"/>
        </w:rPr>
        <w:t>Dynamics AX 2012 R2 Server</w:t>
      </w:r>
    </w:p>
    <w:p w:rsidR="00662A44" w:rsidRPr="00C83DF5" w:rsidRDefault="00662A44" w:rsidP="00662A44">
      <w:pPr>
        <w:rPr>
          <w:lang w:val="de-DE"/>
        </w:rPr>
      </w:pPr>
      <w:r w:rsidRPr="00C83DF5">
        <w:rPr>
          <w:lang w:val="de-DE"/>
        </w:rPr>
        <w:t xml:space="preserve">Zusätzliche Aufgaben-CAL für </w:t>
      </w:r>
      <w:r w:rsidRPr="00C83DF5">
        <w:rPr>
          <w:rFonts w:cs="Tahoma"/>
          <w:color w:val="000000"/>
          <w:szCs w:val="18"/>
          <w:lang w:val="de-DE"/>
        </w:rPr>
        <w:t xml:space="preserve">Microsoft </w:t>
      </w:r>
      <w:r w:rsidRPr="00C83DF5">
        <w:rPr>
          <w:rFonts w:cs="Tahoma"/>
          <w:color w:val="000000"/>
          <w:szCs w:val="20"/>
          <w:lang w:val="de-DE"/>
        </w:rPr>
        <w:t>Dynamics AX 2012 R2 (Nutzer &amp; Gerät)</w:t>
      </w:r>
    </w:p>
    <w:p w:rsidR="00662A44" w:rsidRPr="00C83DF5" w:rsidRDefault="00662A44" w:rsidP="00662A44">
      <w:pPr>
        <w:keepNext/>
        <w:tabs>
          <w:tab w:val="num" w:pos="720"/>
        </w:tabs>
        <w:outlineLvl w:val="3"/>
        <w:rPr>
          <w:lang w:val="de-DE"/>
        </w:rPr>
      </w:pPr>
      <w:r w:rsidRPr="00C83DF5">
        <w:rPr>
          <w:lang w:val="de-DE"/>
        </w:rPr>
        <w:t xml:space="preserve">Aufgaben-CAL für </w:t>
      </w:r>
      <w:r w:rsidRPr="00C83DF5">
        <w:rPr>
          <w:rFonts w:cs="Tahoma"/>
          <w:color w:val="000000"/>
          <w:szCs w:val="18"/>
          <w:lang w:val="de-DE"/>
        </w:rPr>
        <w:t xml:space="preserve">Microsoft </w:t>
      </w:r>
      <w:r w:rsidRPr="00C83DF5">
        <w:rPr>
          <w:rFonts w:cs="Tahoma"/>
          <w:color w:val="000000"/>
          <w:szCs w:val="20"/>
          <w:lang w:val="de-DE"/>
        </w:rPr>
        <w:t>Dynamics AX 2012 R2 (Nutzer &amp; Gerät)</w:t>
      </w:r>
    </w:p>
    <w:p w:rsidR="00662A44" w:rsidRPr="00F037D5" w:rsidRDefault="00662A44" w:rsidP="00662A44">
      <w:pPr>
        <w:keepNext/>
        <w:tabs>
          <w:tab w:val="num" w:pos="720"/>
        </w:tabs>
        <w:outlineLvl w:val="3"/>
        <w:rPr>
          <w:rFonts w:cs="Tahoma"/>
          <w:color w:val="000000"/>
          <w:szCs w:val="20"/>
          <w:lang w:val="de-DE"/>
        </w:rPr>
      </w:pPr>
    </w:p>
    <w:p w:rsidR="00662A44" w:rsidRPr="00C83DF5" w:rsidRDefault="00662A44" w:rsidP="00662A44">
      <w:pPr>
        <w:spacing w:after="60"/>
        <w:rPr>
          <w:lang w:val="de-DE"/>
        </w:rPr>
      </w:pPr>
      <w:r w:rsidRPr="00C83DF5">
        <w:rPr>
          <w:b/>
          <w:lang w:val="de-DE"/>
        </w:rPr>
        <w:t>Änderungen</w:t>
      </w:r>
    </w:p>
    <w:p w:rsidR="00662A44" w:rsidRPr="00C83DF5" w:rsidRDefault="00662A44" w:rsidP="00662A44">
      <w:pPr>
        <w:keepNext/>
        <w:tabs>
          <w:tab w:val="num" w:pos="720"/>
        </w:tabs>
        <w:outlineLvl w:val="3"/>
        <w:rPr>
          <w:lang w:val="de-DE"/>
        </w:rPr>
      </w:pPr>
      <w:r w:rsidRPr="00C83DF5">
        <w:rPr>
          <w:rFonts w:cs="Tahoma"/>
          <w:color w:val="000000"/>
          <w:szCs w:val="20"/>
          <w:lang w:val="de-DE"/>
        </w:rPr>
        <w:t>Visio 2013 Professional</w:t>
      </w:r>
    </w:p>
    <w:p w:rsidR="00662A44" w:rsidRPr="00F037D5" w:rsidRDefault="00662A44" w:rsidP="00662A44">
      <w:pPr>
        <w:keepNext/>
        <w:tabs>
          <w:tab w:val="num" w:pos="720"/>
        </w:tabs>
        <w:outlineLvl w:val="3"/>
        <w:rPr>
          <w:rFonts w:cs="Tahoma"/>
          <w:color w:val="000000"/>
          <w:szCs w:val="20"/>
          <w:lang w:val="de-DE"/>
        </w:rPr>
      </w:pPr>
    </w:p>
    <w:p w:rsidR="00662A44" w:rsidRPr="00F037D5" w:rsidRDefault="00662A44" w:rsidP="0064651F">
      <w:pPr>
        <w:keepNext/>
        <w:tabs>
          <w:tab w:val="num" w:pos="720"/>
        </w:tabs>
        <w:spacing w:after="60"/>
        <w:outlineLvl w:val="3"/>
        <w:rPr>
          <w:b/>
          <w:lang w:val="de-DE"/>
        </w:rPr>
      </w:pPr>
      <w:r w:rsidRPr="00F037D5">
        <w:rPr>
          <w:b/>
          <w:lang w:val="de-DE"/>
        </w:rPr>
        <w:t>Streichungen</w:t>
      </w:r>
    </w:p>
    <w:p w:rsidR="00662A44" w:rsidRPr="00C83DF5" w:rsidRDefault="00662A44" w:rsidP="00662A44">
      <w:pPr>
        <w:rPr>
          <w:lang w:val="de-DE"/>
        </w:rPr>
      </w:pPr>
      <w:r w:rsidRPr="00C83DF5">
        <w:rPr>
          <w:lang w:val="de-DE"/>
        </w:rPr>
        <w:t xml:space="preserve">Zusätzliche CAL für </w:t>
      </w:r>
      <w:r w:rsidRPr="00C83DF5">
        <w:rPr>
          <w:rFonts w:cs="Tahoma"/>
          <w:color w:val="000000"/>
          <w:szCs w:val="18"/>
          <w:lang w:val="de-DE"/>
        </w:rPr>
        <w:t xml:space="preserve">Microsoft </w:t>
      </w:r>
      <w:r w:rsidRPr="00C83DF5">
        <w:rPr>
          <w:rFonts w:cs="Tahoma"/>
          <w:color w:val="000000"/>
          <w:szCs w:val="20"/>
          <w:lang w:val="de-DE"/>
        </w:rPr>
        <w:t>Dynamics AX 2012 Enterprise (Nutzer &amp; Gerät)</w:t>
      </w:r>
    </w:p>
    <w:p w:rsidR="00662A44" w:rsidRPr="00C83DF5" w:rsidRDefault="00662A44" w:rsidP="00662A44">
      <w:pPr>
        <w:rPr>
          <w:lang w:val="de-DE"/>
        </w:rPr>
      </w:pPr>
      <w:r w:rsidRPr="00C83DF5">
        <w:rPr>
          <w:lang w:val="de-DE"/>
        </w:rPr>
        <w:t xml:space="preserve">CAL für </w:t>
      </w:r>
      <w:r w:rsidRPr="00C83DF5">
        <w:rPr>
          <w:rFonts w:cs="Tahoma"/>
          <w:color w:val="000000"/>
          <w:szCs w:val="18"/>
          <w:lang w:val="de-DE"/>
        </w:rPr>
        <w:t xml:space="preserve">Microsoft </w:t>
      </w:r>
      <w:r w:rsidRPr="00C83DF5">
        <w:rPr>
          <w:rFonts w:cs="Tahoma"/>
          <w:color w:val="000000"/>
          <w:szCs w:val="20"/>
          <w:lang w:val="de-DE"/>
        </w:rPr>
        <w:t>Dynamics AX 2012 Enterprise (Nutzer &amp; Gerät)</w:t>
      </w:r>
    </w:p>
    <w:p w:rsidR="00662A44" w:rsidRPr="00C83DF5" w:rsidRDefault="00662A44" w:rsidP="00662A44">
      <w:pPr>
        <w:rPr>
          <w:lang w:val="de-DE"/>
        </w:rPr>
      </w:pPr>
      <w:r w:rsidRPr="00C83DF5">
        <w:rPr>
          <w:lang w:val="de-DE"/>
        </w:rPr>
        <w:t xml:space="preserve">Zusätzliche Funktions-CAL für </w:t>
      </w:r>
      <w:r w:rsidRPr="00C83DF5">
        <w:rPr>
          <w:rFonts w:cs="Tahoma"/>
          <w:color w:val="000000"/>
          <w:szCs w:val="18"/>
          <w:lang w:val="de-DE"/>
        </w:rPr>
        <w:t xml:space="preserve">Microsoft </w:t>
      </w:r>
      <w:r w:rsidRPr="00C83DF5">
        <w:rPr>
          <w:rFonts w:cs="Tahoma"/>
          <w:color w:val="000000"/>
          <w:szCs w:val="20"/>
          <w:lang w:val="de-DE"/>
        </w:rPr>
        <w:t>Dynamics AX 2012 (Nutzer &amp; Gerät)</w:t>
      </w:r>
    </w:p>
    <w:p w:rsidR="00662A44" w:rsidRPr="00C83DF5" w:rsidRDefault="00662A44" w:rsidP="00662A44">
      <w:pPr>
        <w:rPr>
          <w:lang w:val="de-DE"/>
        </w:rPr>
      </w:pPr>
      <w:r w:rsidRPr="00C83DF5">
        <w:rPr>
          <w:lang w:val="de-DE"/>
        </w:rPr>
        <w:t xml:space="preserve">Funktions-CAL für </w:t>
      </w:r>
      <w:r w:rsidRPr="00C83DF5">
        <w:rPr>
          <w:rFonts w:cs="Tahoma"/>
          <w:color w:val="000000"/>
          <w:szCs w:val="18"/>
          <w:lang w:val="de-DE"/>
        </w:rPr>
        <w:t xml:space="preserve">Microsoft </w:t>
      </w:r>
      <w:r w:rsidRPr="00C83DF5">
        <w:rPr>
          <w:rFonts w:cs="Tahoma"/>
          <w:color w:val="000000"/>
          <w:szCs w:val="20"/>
          <w:lang w:val="de-DE"/>
        </w:rPr>
        <w:t>Dynamics AX 2012 (Nutzer &amp; Gerät)</w:t>
      </w:r>
    </w:p>
    <w:p w:rsidR="00662A44" w:rsidRPr="00C83DF5" w:rsidRDefault="00662A44" w:rsidP="00662A44">
      <w:pPr>
        <w:rPr>
          <w:lang w:val="de-DE"/>
        </w:rPr>
      </w:pPr>
      <w:r w:rsidRPr="00C83DF5">
        <w:rPr>
          <w:lang w:val="de-DE"/>
        </w:rPr>
        <w:t xml:space="preserve">CAL für </w:t>
      </w:r>
      <w:r w:rsidRPr="00C83DF5">
        <w:rPr>
          <w:rFonts w:cs="Tahoma"/>
          <w:color w:val="000000"/>
          <w:szCs w:val="18"/>
          <w:lang w:val="de-DE"/>
        </w:rPr>
        <w:t xml:space="preserve">Microsoft </w:t>
      </w:r>
      <w:r w:rsidRPr="00C83DF5">
        <w:rPr>
          <w:rFonts w:cs="Tahoma"/>
          <w:color w:val="000000"/>
          <w:szCs w:val="20"/>
          <w:lang w:val="de-DE"/>
        </w:rPr>
        <w:t>Dynamics AX 2012 Self-Service (Nutzer &amp; Gerät)</w:t>
      </w:r>
    </w:p>
    <w:p w:rsidR="00662A44" w:rsidRPr="00C83DF5" w:rsidRDefault="00662A44" w:rsidP="00662A44">
      <w:pPr>
        <w:rPr>
          <w:lang w:val="de-DE"/>
        </w:rPr>
      </w:pPr>
      <w:r w:rsidRPr="00C83DF5">
        <w:rPr>
          <w:rFonts w:cs="Tahoma"/>
          <w:color w:val="000000"/>
          <w:szCs w:val="18"/>
          <w:lang w:val="de-DE"/>
        </w:rPr>
        <w:t xml:space="preserve">Microsoft </w:t>
      </w:r>
      <w:r w:rsidRPr="00C83DF5">
        <w:rPr>
          <w:rFonts w:cs="Tahoma"/>
          <w:color w:val="000000"/>
          <w:szCs w:val="20"/>
          <w:lang w:val="de-DE"/>
        </w:rPr>
        <w:t>Dynamics AX 2012 Server</w:t>
      </w:r>
    </w:p>
    <w:p w:rsidR="00662A44" w:rsidRPr="00C83DF5" w:rsidRDefault="00662A44" w:rsidP="00662A44">
      <w:pPr>
        <w:rPr>
          <w:lang w:val="de-DE"/>
        </w:rPr>
      </w:pPr>
      <w:r w:rsidRPr="00C83DF5">
        <w:rPr>
          <w:lang w:val="de-DE"/>
        </w:rPr>
        <w:t xml:space="preserve">Zusätzliche Aufgaben-CAL für </w:t>
      </w:r>
      <w:r w:rsidRPr="00C83DF5">
        <w:rPr>
          <w:rFonts w:cs="Tahoma"/>
          <w:color w:val="000000"/>
          <w:szCs w:val="18"/>
          <w:lang w:val="de-DE"/>
        </w:rPr>
        <w:t xml:space="preserve">Microsoft </w:t>
      </w:r>
      <w:r w:rsidRPr="00C83DF5">
        <w:rPr>
          <w:rFonts w:cs="Tahoma"/>
          <w:color w:val="000000"/>
          <w:szCs w:val="20"/>
          <w:lang w:val="de-DE"/>
        </w:rPr>
        <w:t>Dynamics AX 2012 (Nutzer &amp; Gerät)</w:t>
      </w:r>
    </w:p>
    <w:p w:rsidR="00662A44" w:rsidRPr="00C83DF5" w:rsidRDefault="00662A44" w:rsidP="00662A44">
      <w:pPr>
        <w:rPr>
          <w:lang w:val="de-DE"/>
        </w:rPr>
      </w:pPr>
      <w:r w:rsidRPr="00C83DF5">
        <w:rPr>
          <w:lang w:val="de-DE"/>
        </w:rPr>
        <w:t xml:space="preserve">Aufgaben-CAL für </w:t>
      </w:r>
      <w:r w:rsidRPr="00C83DF5">
        <w:rPr>
          <w:rFonts w:cs="Tahoma"/>
          <w:color w:val="000000"/>
          <w:szCs w:val="18"/>
          <w:lang w:val="de-DE"/>
        </w:rPr>
        <w:t xml:space="preserve">Microsoft </w:t>
      </w:r>
      <w:r w:rsidRPr="00C83DF5">
        <w:rPr>
          <w:rFonts w:cs="Tahoma"/>
          <w:color w:val="000000"/>
          <w:szCs w:val="20"/>
          <w:lang w:val="de-DE"/>
        </w:rPr>
        <w:t>Dynamics AX 2012 (Nutzer &amp; Gerät)</w:t>
      </w:r>
    </w:p>
    <w:p w:rsidR="00243B33" w:rsidRPr="00F037D5" w:rsidRDefault="00243B33" w:rsidP="00B50A5B">
      <w:pPr>
        <w:rPr>
          <w:lang w:val="de-DE"/>
        </w:rPr>
      </w:pPr>
    </w:p>
    <w:p w:rsidR="001C1727" w:rsidRPr="00F037D5" w:rsidRDefault="001C1727" w:rsidP="00292088">
      <w:pPr>
        <w:rPr>
          <w:lang w:val="de-DE"/>
        </w:rPr>
      </w:pPr>
    </w:p>
    <w:p w:rsidR="00E06050" w:rsidRPr="00F037D5" w:rsidRDefault="00E06050" w:rsidP="00E06050">
      <w:pPr>
        <w:pStyle w:val="Heading2"/>
        <w:ind w:left="0"/>
        <w:jc w:val="both"/>
        <w:rPr>
          <w:rFonts w:ascii="Tahoma" w:hAnsi="Tahoma" w:cs="Tahoma"/>
          <w:color w:val="FF6600"/>
          <w:lang w:val="de-DE"/>
        </w:rPr>
      </w:pPr>
      <w:bookmarkStart w:id="578" w:name="_Toc370983287"/>
      <w:r w:rsidRPr="00F037D5">
        <w:rPr>
          <w:rFonts w:ascii="Tahoma" w:hAnsi="Tahoma" w:cs="Tahoma"/>
          <w:color w:val="FF6600"/>
          <w:lang w:val="de-DE"/>
        </w:rPr>
        <w:t>ÄNDERUNGEN IM JANUAR 2013</w:t>
      </w:r>
      <w:bookmarkEnd w:id="578"/>
    </w:p>
    <w:p w:rsidR="00E06050" w:rsidRPr="00F037D5" w:rsidRDefault="00E06050" w:rsidP="00E06050">
      <w:pPr>
        <w:rPr>
          <w:lang w:val="de-DE"/>
        </w:rPr>
      </w:pPr>
    </w:p>
    <w:p w:rsidR="00E06050" w:rsidRPr="00C83DF5" w:rsidRDefault="00E06050" w:rsidP="003E606C">
      <w:pPr>
        <w:spacing w:after="60"/>
        <w:rPr>
          <w:lang w:val="de-DE"/>
        </w:rPr>
      </w:pPr>
      <w:r w:rsidRPr="00C83DF5">
        <w:rPr>
          <w:b/>
          <w:lang w:val="de-DE"/>
        </w:rPr>
        <w:t>Hinzufügungen</w:t>
      </w:r>
    </w:p>
    <w:p w:rsidR="00CC66A0" w:rsidRPr="00C83DF5" w:rsidRDefault="00CC66A0" w:rsidP="00737831">
      <w:pPr>
        <w:keepNext/>
        <w:tabs>
          <w:tab w:val="num" w:pos="720"/>
        </w:tabs>
        <w:outlineLvl w:val="3"/>
        <w:rPr>
          <w:lang w:val="de-DE"/>
        </w:rPr>
      </w:pPr>
      <w:r w:rsidRPr="00C83DF5">
        <w:rPr>
          <w:rFonts w:cs="Tahoma"/>
          <w:color w:val="000000"/>
          <w:szCs w:val="20"/>
          <w:lang w:val="de-DE"/>
        </w:rPr>
        <w:t>Windows MultiPoint Server 2012 Premium mit Windows MultiPoint Server 2012 (CAL) (5 Clients)</w:t>
      </w:r>
    </w:p>
    <w:p w:rsidR="00E06050" w:rsidRPr="00C83DF5" w:rsidRDefault="00CC66A0" w:rsidP="00862623">
      <w:pPr>
        <w:keepNext/>
        <w:tabs>
          <w:tab w:val="num" w:pos="720"/>
        </w:tabs>
        <w:outlineLvl w:val="3"/>
      </w:pPr>
      <w:r w:rsidRPr="00C83DF5">
        <w:rPr>
          <w:rFonts w:cs="Tahoma"/>
          <w:color w:val="000000"/>
          <w:szCs w:val="20"/>
        </w:rPr>
        <w:t>Windows MultiPoint Server 2012 Premium mit Windows MultiPoint Server 2012 (CAL) (5 Clients) mit Windows</w:t>
      </w:r>
    </w:p>
    <w:p w:rsidR="00140B67" w:rsidRPr="00C83DF5" w:rsidRDefault="00140B67" w:rsidP="003E606C">
      <w:pPr>
        <w:spacing w:after="60"/>
      </w:pPr>
    </w:p>
    <w:p w:rsidR="001D63C2" w:rsidRPr="00F037D5" w:rsidRDefault="001D63C2" w:rsidP="003E606C">
      <w:pPr>
        <w:spacing w:after="60"/>
        <w:rPr>
          <w:b/>
          <w:lang w:val="de-DE"/>
        </w:rPr>
      </w:pPr>
      <w:r w:rsidRPr="00F037D5">
        <w:rPr>
          <w:b/>
          <w:lang w:val="de-DE"/>
        </w:rPr>
        <w:t>Änderungen</w:t>
      </w:r>
    </w:p>
    <w:p w:rsidR="001D63C2" w:rsidRPr="00C83DF5" w:rsidRDefault="001D63C2" w:rsidP="00E06050">
      <w:pPr>
        <w:rPr>
          <w:lang w:val="de-DE"/>
        </w:rPr>
      </w:pPr>
      <w:r w:rsidRPr="00C83DF5">
        <w:rPr>
          <w:color w:val="000000"/>
          <w:lang w:val="de-DE"/>
        </w:rPr>
        <w:t>CAL-Suite für Windows Small Business Server 2008 für Premium-Nutzer oder -Geräte</w:t>
      </w:r>
    </w:p>
    <w:p w:rsidR="001D63C2" w:rsidRPr="00C83DF5" w:rsidRDefault="001D63C2" w:rsidP="00E06050">
      <w:pPr>
        <w:rPr>
          <w:lang w:val="de-DE"/>
        </w:rPr>
      </w:pPr>
      <w:r w:rsidRPr="00C83DF5">
        <w:rPr>
          <w:color w:val="000000"/>
          <w:lang w:val="de-DE"/>
        </w:rPr>
        <w:t>CAL-Suite für Windows Small Business Server 2008 für Premium-Nutzer oder -Geräte (5 Clients)</w:t>
      </w:r>
    </w:p>
    <w:p w:rsidR="001D63C2" w:rsidRPr="00C83DF5" w:rsidRDefault="001D63C2" w:rsidP="00E06050">
      <w:pPr>
        <w:rPr>
          <w:lang w:val="de-DE"/>
        </w:rPr>
      </w:pPr>
      <w:r w:rsidRPr="00C83DF5">
        <w:rPr>
          <w:color w:val="000000"/>
          <w:lang w:val="de-DE"/>
        </w:rPr>
        <w:t>CAL-Suite für Windows Small Business Server 2008 für Premium-Nutzer oder -Geräte (20 Clients)</w:t>
      </w:r>
    </w:p>
    <w:p w:rsidR="001D63C2" w:rsidRPr="00C83DF5" w:rsidRDefault="001D63C2" w:rsidP="00E06050">
      <w:r w:rsidRPr="00C83DF5">
        <w:rPr>
          <w:color w:val="000000"/>
        </w:rPr>
        <w:t>CAL-Suite für Windows Small Business Server 2011 (1 Client)</w:t>
      </w:r>
    </w:p>
    <w:p w:rsidR="001D63C2" w:rsidRPr="00C83DF5" w:rsidRDefault="001D63C2" w:rsidP="001D63C2">
      <w:r w:rsidRPr="00C83DF5">
        <w:rPr>
          <w:color w:val="000000"/>
        </w:rPr>
        <w:t>CAL-Suite für Windows Small Business Server 2011 (5 Clients)</w:t>
      </w:r>
    </w:p>
    <w:p w:rsidR="001D63C2" w:rsidRPr="00C83DF5" w:rsidRDefault="001D63C2" w:rsidP="00E06050">
      <w:r w:rsidRPr="00C83DF5">
        <w:rPr>
          <w:color w:val="000000"/>
        </w:rPr>
        <w:lastRenderedPageBreak/>
        <w:t>CAL-Suite für Windows Small Business Server 2011 (20 Clients)</w:t>
      </w:r>
    </w:p>
    <w:p w:rsidR="001D63C2" w:rsidRPr="00C83DF5" w:rsidRDefault="001D63C2" w:rsidP="001D63C2">
      <w:r w:rsidRPr="00C83DF5">
        <w:rPr>
          <w:color w:val="000000"/>
        </w:rPr>
        <w:t>Windows Small Business Server 2011 Standard (5 Clients)</w:t>
      </w:r>
    </w:p>
    <w:p w:rsidR="001D63C2" w:rsidRPr="00C83DF5" w:rsidRDefault="001D63C2" w:rsidP="00E06050">
      <w:r w:rsidRPr="00C83DF5">
        <w:rPr>
          <w:color w:val="000000"/>
        </w:rPr>
        <w:t>Add-On für Windows Small Business Server 2011 Premium (5 Clients)</w:t>
      </w:r>
    </w:p>
    <w:p w:rsidR="001D63C2" w:rsidRPr="00C83DF5" w:rsidRDefault="001D63C2" w:rsidP="00E06050">
      <w:pPr>
        <w:rPr>
          <w:b/>
          <w:color w:val="000000"/>
        </w:rPr>
      </w:pPr>
    </w:p>
    <w:p w:rsidR="00E06050" w:rsidRPr="00C83DF5" w:rsidRDefault="00E06050" w:rsidP="003E606C">
      <w:pPr>
        <w:spacing w:after="60"/>
        <w:rPr>
          <w:lang w:val="de-DE"/>
        </w:rPr>
      </w:pPr>
      <w:r w:rsidRPr="00C83DF5">
        <w:rPr>
          <w:b/>
          <w:lang w:val="de-DE"/>
        </w:rPr>
        <w:t>Streichungen</w:t>
      </w:r>
    </w:p>
    <w:p w:rsidR="00E06050" w:rsidRPr="00C83DF5" w:rsidRDefault="00E06050" w:rsidP="00E06050">
      <w:pPr>
        <w:rPr>
          <w:lang w:val="de-DE"/>
        </w:rPr>
      </w:pPr>
      <w:r w:rsidRPr="00C83DF5">
        <w:rPr>
          <w:color w:val="000000"/>
          <w:lang w:val="de-DE"/>
        </w:rPr>
        <w:t>Client-Management-Lizenz pro Betriebssystemumgebung für Windows Embedded Device Manager 2011</w:t>
      </w:r>
    </w:p>
    <w:p w:rsidR="00E06050" w:rsidRPr="00C83DF5" w:rsidRDefault="00E06050" w:rsidP="00E06050">
      <w:pPr>
        <w:rPr>
          <w:lang w:val="de-DE"/>
        </w:rPr>
      </w:pPr>
      <w:r w:rsidRPr="00C83DF5">
        <w:rPr>
          <w:color w:val="000000"/>
          <w:lang w:val="de-DE"/>
        </w:rPr>
        <w:t>Client-Management-Lizenz pro Nutzer für Windows Embedded Device Manager 2011</w:t>
      </w:r>
    </w:p>
    <w:p w:rsidR="00844BAF" w:rsidRPr="00C83DF5" w:rsidRDefault="00844BAF" w:rsidP="00E06050">
      <w:pPr>
        <w:rPr>
          <w:lang w:val="de-DE"/>
        </w:rPr>
      </w:pPr>
      <w:r w:rsidRPr="00C83DF5">
        <w:rPr>
          <w:rFonts w:cs="Tahoma"/>
          <w:color w:val="000000"/>
          <w:szCs w:val="20"/>
          <w:lang w:val="de-DE"/>
        </w:rPr>
        <w:t>Geräte-CAL für Windows Server 2008 für Windows Essential Server Solutions (5 Clients)</w:t>
      </w:r>
    </w:p>
    <w:p w:rsidR="00844BAF" w:rsidRPr="00C83DF5" w:rsidRDefault="00844BAF" w:rsidP="00E06050">
      <w:pPr>
        <w:rPr>
          <w:lang w:val="de-DE"/>
        </w:rPr>
      </w:pPr>
      <w:r w:rsidRPr="00C83DF5">
        <w:rPr>
          <w:rFonts w:cs="Tahoma"/>
          <w:color w:val="000000"/>
          <w:szCs w:val="20"/>
          <w:lang w:val="de-DE"/>
        </w:rPr>
        <w:t>Nutzer-CAL für Windows Server 2008 für Windows Essential Server Solutions (5 Clients)</w:t>
      </w:r>
    </w:p>
    <w:p w:rsidR="00844BAF" w:rsidRPr="00C83DF5" w:rsidRDefault="00844BAF" w:rsidP="00844BAF">
      <w:pPr>
        <w:keepNext/>
        <w:tabs>
          <w:tab w:val="num" w:pos="720"/>
        </w:tabs>
        <w:outlineLvl w:val="3"/>
      </w:pPr>
      <w:r w:rsidRPr="00C83DF5">
        <w:rPr>
          <w:rFonts w:cs="Tahoma"/>
          <w:color w:val="000000"/>
          <w:szCs w:val="20"/>
        </w:rPr>
        <w:t>Windows MultiPoint Server 2011 Premium mit Windows MultiPoint Server 2011 (CAL) (5 Clients)</w:t>
      </w:r>
    </w:p>
    <w:p w:rsidR="00E06050" w:rsidRPr="00C83DF5" w:rsidRDefault="00844BAF" w:rsidP="00E06050">
      <w:r w:rsidRPr="00C83DF5">
        <w:rPr>
          <w:rFonts w:cs="Tahoma"/>
          <w:color w:val="000000"/>
          <w:szCs w:val="20"/>
        </w:rPr>
        <w:t>Windows MultiPoint Server 2011 Premium mit Windows MultiPoint Server 2011 (CAL) (5 Clients) mit Windows</w:t>
      </w:r>
    </w:p>
    <w:p w:rsidR="00A12176" w:rsidRPr="00C83DF5" w:rsidRDefault="00A12176" w:rsidP="00BA756F">
      <w:pPr>
        <w:pStyle w:val="Heading2"/>
        <w:ind w:left="0"/>
        <w:jc w:val="both"/>
        <w:rPr>
          <w:rFonts w:ascii="Tahoma" w:hAnsi="Tahoma" w:cs="Tahoma"/>
          <w:color w:val="FF6600"/>
          <w:sz w:val="18"/>
          <w:szCs w:val="22"/>
        </w:rPr>
      </w:pPr>
    </w:p>
    <w:p w:rsidR="001C1727" w:rsidRPr="00C83DF5" w:rsidRDefault="001C1727" w:rsidP="00797A9B">
      <w:pPr>
        <w:rPr>
          <w:rFonts w:cs="Tahoma"/>
          <w:b/>
          <w:color w:val="FF6600"/>
          <w:szCs w:val="24"/>
        </w:rPr>
      </w:pPr>
    </w:p>
    <w:p w:rsidR="00173A20" w:rsidRPr="00F037D5" w:rsidRDefault="00173A20" w:rsidP="00BA756F">
      <w:pPr>
        <w:pStyle w:val="Heading2"/>
        <w:ind w:left="0"/>
        <w:jc w:val="both"/>
        <w:rPr>
          <w:rFonts w:ascii="Tahoma" w:hAnsi="Tahoma" w:cs="Tahoma"/>
          <w:color w:val="FF6600"/>
          <w:lang w:val="de-DE"/>
        </w:rPr>
      </w:pPr>
      <w:bookmarkStart w:id="579" w:name="_Toc370983288"/>
      <w:r w:rsidRPr="00F037D5">
        <w:rPr>
          <w:rFonts w:ascii="Tahoma" w:hAnsi="Tahoma" w:cs="Tahoma"/>
          <w:color w:val="FF6600"/>
          <w:lang w:val="de-DE"/>
        </w:rPr>
        <w:t>ÄNDERUNGEN IM DEZEMBER 2012</w:t>
      </w:r>
      <w:bookmarkEnd w:id="567"/>
      <w:bookmarkEnd w:id="579"/>
    </w:p>
    <w:p w:rsidR="00173A20" w:rsidRPr="00F037D5" w:rsidRDefault="00173A20" w:rsidP="00173A20">
      <w:pPr>
        <w:jc w:val="both"/>
        <w:outlineLvl w:val="1"/>
        <w:rPr>
          <w:rFonts w:cs="Tahoma"/>
          <w:b/>
          <w:color w:val="FF6600"/>
          <w:szCs w:val="24"/>
          <w:lang w:val="de-DE"/>
        </w:rPr>
      </w:pPr>
    </w:p>
    <w:p w:rsidR="00173A20" w:rsidRPr="00F037D5" w:rsidRDefault="00173A20" w:rsidP="003E606C">
      <w:pPr>
        <w:spacing w:after="60"/>
        <w:rPr>
          <w:b/>
          <w:lang w:val="de-DE"/>
        </w:rPr>
      </w:pPr>
      <w:r w:rsidRPr="00F037D5">
        <w:rPr>
          <w:b/>
          <w:lang w:val="de-DE"/>
        </w:rPr>
        <w:t>Hinzufügungen</w:t>
      </w:r>
    </w:p>
    <w:p w:rsidR="00173A20" w:rsidRPr="00C83DF5" w:rsidRDefault="00BA756F" w:rsidP="00173A20">
      <w:pPr>
        <w:rPr>
          <w:lang w:val="de-DE"/>
        </w:rPr>
      </w:pPr>
      <w:r w:rsidRPr="00C83DF5">
        <w:rPr>
          <w:color w:val="000000"/>
          <w:lang w:val="de-DE"/>
        </w:rPr>
        <w:t>Access 2013</w:t>
      </w:r>
    </w:p>
    <w:p w:rsidR="00BA756F" w:rsidRPr="00C83DF5" w:rsidRDefault="00BA756F" w:rsidP="00173A20">
      <w:pPr>
        <w:rPr>
          <w:lang w:val="de-DE"/>
        </w:rPr>
      </w:pPr>
      <w:r w:rsidRPr="00C83DF5">
        <w:rPr>
          <w:color w:val="000000"/>
          <w:lang w:val="de-DE"/>
        </w:rPr>
        <w:t>Excel 2013</w:t>
      </w:r>
    </w:p>
    <w:p w:rsidR="00BA756F" w:rsidRPr="00C83DF5" w:rsidRDefault="00BA756F" w:rsidP="00173A20">
      <w:pPr>
        <w:rPr>
          <w:lang w:val="de-DE"/>
        </w:rPr>
      </w:pPr>
      <w:r w:rsidRPr="00C83DF5">
        <w:rPr>
          <w:color w:val="000000"/>
          <w:lang w:val="de-DE"/>
        </w:rPr>
        <w:t>Exchange Enterprise CAL mit Diensten 2013</w:t>
      </w:r>
    </w:p>
    <w:p w:rsidR="00BA756F" w:rsidRPr="00C83DF5" w:rsidRDefault="00BA756F" w:rsidP="00173A20">
      <w:pPr>
        <w:rPr>
          <w:lang w:val="de-DE"/>
        </w:rPr>
      </w:pPr>
      <w:r w:rsidRPr="00C83DF5">
        <w:rPr>
          <w:color w:val="000000"/>
          <w:lang w:val="de-DE"/>
        </w:rPr>
        <w:t>Exchange Enterprise CAL ohne Dienste 2013</w:t>
      </w:r>
    </w:p>
    <w:p w:rsidR="00BA756F" w:rsidRPr="00C83DF5" w:rsidRDefault="00BA756F" w:rsidP="00173A20">
      <w:pPr>
        <w:rPr>
          <w:lang w:val="de-DE"/>
        </w:rPr>
      </w:pPr>
      <w:r w:rsidRPr="00C83DF5">
        <w:rPr>
          <w:color w:val="000000"/>
          <w:lang w:val="de-DE"/>
        </w:rPr>
        <w:t>Exchange Server Enterprise 2013</w:t>
      </w:r>
    </w:p>
    <w:p w:rsidR="00BA756F" w:rsidRPr="00C83DF5" w:rsidRDefault="00BA756F" w:rsidP="00173A20">
      <w:pPr>
        <w:rPr>
          <w:lang w:val="de-DE"/>
        </w:rPr>
      </w:pPr>
      <w:r w:rsidRPr="00C83DF5">
        <w:rPr>
          <w:color w:val="000000"/>
          <w:lang w:val="de-DE"/>
        </w:rPr>
        <w:t>Exchange Server Standard 2013</w:t>
      </w:r>
    </w:p>
    <w:p w:rsidR="00BA756F" w:rsidRPr="00C83DF5" w:rsidRDefault="00BA756F" w:rsidP="00173A20">
      <w:pPr>
        <w:rPr>
          <w:lang w:val="de-DE"/>
        </w:rPr>
      </w:pPr>
      <w:r w:rsidRPr="00C83DF5">
        <w:rPr>
          <w:color w:val="000000"/>
          <w:lang w:val="de-DE"/>
        </w:rPr>
        <w:t>Standard-CAL für Exchange 2013</w:t>
      </w:r>
    </w:p>
    <w:p w:rsidR="00BA756F" w:rsidRPr="00C83DF5" w:rsidRDefault="00BA756F" w:rsidP="00173A20">
      <w:pPr>
        <w:rPr>
          <w:lang w:val="de-DE"/>
        </w:rPr>
      </w:pPr>
      <w:r w:rsidRPr="00C83DF5">
        <w:rPr>
          <w:color w:val="000000"/>
          <w:lang w:val="de-DE"/>
        </w:rPr>
        <w:t>InfoPath 2013</w:t>
      </w:r>
    </w:p>
    <w:p w:rsidR="00BA756F" w:rsidRPr="00C83DF5" w:rsidRDefault="00BA756F" w:rsidP="00173A20">
      <w:pPr>
        <w:rPr>
          <w:lang w:val="de-DE"/>
        </w:rPr>
      </w:pPr>
      <w:r w:rsidRPr="00C83DF5">
        <w:rPr>
          <w:color w:val="000000"/>
          <w:lang w:val="de-DE"/>
        </w:rPr>
        <w:t>Lync 2013</w:t>
      </w:r>
    </w:p>
    <w:p w:rsidR="00BA756F" w:rsidRPr="00C83DF5" w:rsidRDefault="00BA756F" w:rsidP="00173A20">
      <w:pPr>
        <w:rPr>
          <w:lang w:val="de-DE"/>
        </w:rPr>
      </w:pPr>
      <w:r w:rsidRPr="00C83DF5">
        <w:rPr>
          <w:color w:val="000000"/>
          <w:lang w:val="de-DE"/>
        </w:rPr>
        <w:t>Lync Server 2013</w:t>
      </w:r>
    </w:p>
    <w:p w:rsidR="00BA756F" w:rsidRPr="00C83DF5" w:rsidRDefault="00BA756F" w:rsidP="00173A20">
      <w:pPr>
        <w:rPr>
          <w:lang w:val="de-DE"/>
        </w:rPr>
      </w:pPr>
      <w:r w:rsidRPr="00C83DF5">
        <w:rPr>
          <w:color w:val="000000"/>
          <w:lang w:val="de-DE"/>
        </w:rPr>
        <w:t>Enterprise-CAL für Lync Server 2013</w:t>
      </w:r>
    </w:p>
    <w:p w:rsidR="00BA756F" w:rsidRPr="00C83DF5" w:rsidRDefault="00BA756F" w:rsidP="00173A20">
      <w:pPr>
        <w:rPr>
          <w:lang w:val="de-DE"/>
        </w:rPr>
      </w:pPr>
      <w:r w:rsidRPr="00C83DF5">
        <w:rPr>
          <w:color w:val="000000"/>
          <w:lang w:val="de-DE"/>
        </w:rPr>
        <w:t>CAL für Lync Server Plus 2013</w:t>
      </w:r>
    </w:p>
    <w:p w:rsidR="00BA756F" w:rsidRPr="00C83DF5" w:rsidRDefault="00BA756F" w:rsidP="00173A20">
      <w:r w:rsidRPr="00C83DF5">
        <w:rPr>
          <w:color w:val="000000"/>
        </w:rPr>
        <w:t>Standard-CAL für Lync Server 2013</w:t>
      </w:r>
    </w:p>
    <w:p w:rsidR="00BA756F" w:rsidRPr="00C83DF5" w:rsidRDefault="00BA756F" w:rsidP="00173A20">
      <w:r w:rsidRPr="00C83DF5">
        <w:rPr>
          <w:color w:val="000000"/>
        </w:rPr>
        <w:t>Office Home and Student RT 2013</w:t>
      </w:r>
    </w:p>
    <w:p w:rsidR="00BA756F" w:rsidRPr="00C83DF5" w:rsidRDefault="00BA756F" w:rsidP="00173A20">
      <w:r w:rsidRPr="00C83DF5">
        <w:rPr>
          <w:color w:val="000000"/>
        </w:rPr>
        <w:t>Office Multi Language Pack 2013</w:t>
      </w:r>
    </w:p>
    <w:p w:rsidR="00BA756F" w:rsidRPr="00C83DF5" w:rsidRDefault="00BA756F" w:rsidP="00173A20">
      <w:r w:rsidRPr="00C83DF5">
        <w:rPr>
          <w:color w:val="000000"/>
        </w:rPr>
        <w:t>Office Professional Plus 2013</w:t>
      </w:r>
    </w:p>
    <w:p w:rsidR="00BA756F" w:rsidRPr="00C83DF5" w:rsidRDefault="00BA756F" w:rsidP="00173A20">
      <w:r w:rsidRPr="00C83DF5">
        <w:rPr>
          <w:color w:val="000000"/>
        </w:rPr>
        <w:t>Office Standard 2013</w:t>
      </w:r>
    </w:p>
    <w:p w:rsidR="00BA756F" w:rsidRPr="00C83DF5" w:rsidRDefault="00BA756F" w:rsidP="00173A20">
      <w:r w:rsidRPr="00C83DF5">
        <w:rPr>
          <w:color w:val="000000"/>
        </w:rPr>
        <w:t>OneNote 2013</w:t>
      </w:r>
    </w:p>
    <w:p w:rsidR="00BA756F" w:rsidRPr="00C83DF5" w:rsidRDefault="00BA756F" w:rsidP="00173A20">
      <w:r w:rsidRPr="00C83DF5">
        <w:rPr>
          <w:color w:val="000000"/>
        </w:rPr>
        <w:t>Outlook 2013</w:t>
      </w:r>
    </w:p>
    <w:p w:rsidR="00BA756F" w:rsidRPr="00C83DF5" w:rsidRDefault="00BA756F" w:rsidP="00173A20">
      <w:r w:rsidRPr="00C83DF5">
        <w:rPr>
          <w:color w:val="000000"/>
        </w:rPr>
        <w:t>PowerPoint 2013</w:t>
      </w:r>
    </w:p>
    <w:p w:rsidR="00BA756F" w:rsidRPr="00C83DF5" w:rsidRDefault="00BA756F" w:rsidP="00173A20">
      <w:r w:rsidRPr="00C83DF5">
        <w:rPr>
          <w:color w:val="000000"/>
        </w:rPr>
        <w:t>Project Standard 2013</w:t>
      </w:r>
    </w:p>
    <w:p w:rsidR="00BA756F" w:rsidRPr="00C83DF5" w:rsidRDefault="00BA756F" w:rsidP="00173A20">
      <w:r w:rsidRPr="00C83DF5">
        <w:rPr>
          <w:color w:val="000000"/>
        </w:rPr>
        <w:t>Project Professional 2013</w:t>
      </w:r>
    </w:p>
    <w:p w:rsidR="00BA756F" w:rsidRPr="00C83DF5" w:rsidRDefault="00BA756F" w:rsidP="00173A20">
      <w:r w:rsidRPr="00C83DF5">
        <w:rPr>
          <w:color w:val="000000"/>
        </w:rPr>
        <w:t>Project Server 2013</w:t>
      </w:r>
    </w:p>
    <w:p w:rsidR="00BA756F" w:rsidRPr="00C83DF5" w:rsidRDefault="00BA756F" w:rsidP="00173A20">
      <w:r w:rsidRPr="00C83DF5">
        <w:rPr>
          <w:color w:val="000000"/>
        </w:rPr>
        <w:t>CAL für Project Server 2013</w:t>
      </w:r>
    </w:p>
    <w:p w:rsidR="00BA756F" w:rsidRPr="00C83DF5" w:rsidRDefault="00FE3510" w:rsidP="00173A20">
      <w:r w:rsidRPr="00C83DF5">
        <w:rPr>
          <w:color w:val="000000"/>
        </w:rPr>
        <w:t>Publisher 2013</w:t>
      </w:r>
    </w:p>
    <w:p w:rsidR="00FE3510" w:rsidRPr="00C83DF5" w:rsidRDefault="00FE3510" w:rsidP="00173A20">
      <w:r w:rsidRPr="00C83DF5">
        <w:rPr>
          <w:color w:val="000000"/>
        </w:rPr>
        <w:t>Enterprise-CAL für SharePoint 2013</w:t>
      </w:r>
    </w:p>
    <w:p w:rsidR="00FE3510" w:rsidRPr="00C83DF5" w:rsidRDefault="00FE3510" w:rsidP="00173A20">
      <w:r w:rsidRPr="00C83DF5">
        <w:rPr>
          <w:color w:val="000000"/>
        </w:rPr>
        <w:t>SharePoint Server 2013</w:t>
      </w:r>
    </w:p>
    <w:p w:rsidR="00FE3510" w:rsidRPr="00C83DF5" w:rsidRDefault="00FE3510" w:rsidP="00173A20">
      <w:r w:rsidRPr="00C83DF5">
        <w:rPr>
          <w:color w:val="000000"/>
        </w:rPr>
        <w:t>Standard-CAL für SharePoint 2013</w:t>
      </w:r>
    </w:p>
    <w:p w:rsidR="00FE3510" w:rsidRPr="00C83DF5" w:rsidRDefault="00FE3510" w:rsidP="00173A20">
      <w:r w:rsidRPr="00C83DF5">
        <w:rPr>
          <w:color w:val="000000"/>
        </w:rPr>
        <w:t>Visio Professional 2013</w:t>
      </w:r>
    </w:p>
    <w:p w:rsidR="00FE3510" w:rsidRPr="00C83DF5" w:rsidRDefault="00FE3510" w:rsidP="00173A20">
      <w:r w:rsidRPr="00C83DF5">
        <w:rPr>
          <w:color w:val="000000"/>
        </w:rPr>
        <w:t>Visio Standard 2013</w:t>
      </w:r>
    </w:p>
    <w:p w:rsidR="00FE3510" w:rsidRPr="00C83DF5" w:rsidRDefault="00FE3510" w:rsidP="00173A20">
      <w:r w:rsidRPr="00C83DF5">
        <w:rPr>
          <w:color w:val="000000"/>
        </w:rPr>
        <w:t>Word 2013</w:t>
      </w:r>
    </w:p>
    <w:p w:rsidR="00FE3510" w:rsidRPr="00C83DF5" w:rsidRDefault="00FE3510" w:rsidP="00173A20">
      <w:r w:rsidRPr="00C83DF5">
        <w:rPr>
          <w:color w:val="000000"/>
        </w:rPr>
        <w:t>Windows MultiPoint Server Standard 2012</w:t>
      </w:r>
    </w:p>
    <w:p w:rsidR="00FE3510" w:rsidRPr="00C83DF5" w:rsidRDefault="00FE3510" w:rsidP="00173A20">
      <w:r w:rsidRPr="00C83DF5">
        <w:rPr>
          <w:color w:val="000000"/>
        </w:rPr>
        <w:t>Windows MultiPoint Server Premium 2012</w:t>
      </w:r>
    </w:p>
    <w:p w:rsidR="00FE3510" w:rsidRPr="00C83DF5" w:rsidRDefault="00FE3510" w:rsidP="00173A20">
      <w:r w:rsidRPr="00C83DF5">
        <w:rPr>
          <w:color w:val="000000"/>
        </w:rPr>
        <w:t>CAL für Windows MultiPoint Server 2012</w:t>
      </w:r>
    </w:p>
    <w:p w:rsidR="00FE3510" w:rsidRPr="00C83DF5" w:rsidRDefault="00FE3510" w:rsidP="00173A20">
      <w:pPr>
        <w:rPr>
          <w:lang w:val="de-DE"/>
        </w:rPr>
      </w:pPr>
      <w:r w:rsidRPr="00C83DF5">
        <w:rPr>
          <w:color w:val="000000"/>
          <w:lang w:val="de-DE"/>
        </w:rPr>
        <w:t>CAL für Windows MultiPoint Server mit CAL für Windows Server 2012</w:t>
      </w:r>
    </w:p>
    <w:p w:rsidR="006F741C" w:rsidRPr="00C83DF5" w:rsidRDefault="006F741C" w:rsidP="006F741C">
      <w:pPr>
        <w:rPr>
          <w:lang w:val="de-DE"/>
        </w:rPr>
      </w:pPr>
      <w:r w:rsidRPr="00C83DF5">
        <w:rPr>
          <w:color w:val="000000"/>
          <w:lang w:val="de-DE"/>
        </w:rPr>
        <w:t>Windows Intune (Pro Nutzer)</w:t>
      </w:r>
    </w:p>
    <w:p w:rsidR="006F741C" w:rsidRPr="00C83DF5" w:rsidRDefault="006F741C" w:rsidP="00C0119B">
      <w:pPr>
        <w:rPr>
          <w:lang w:val="de-DE"/>
        </w:rPr>
      </w:pPr>
      <w:r w:rsidRPr="00C83DF5">
        <w:rPr>
          <w:color w:val="000000"/>
          <w:lang w:val="de-DE"/>
        </w:rPr>
        <w:t>Windows Intune Add-on für System Center Configuration Manager und System Center Endpoint Protection (pro</w:t>
      </w:r>
      <w:r w:rsidR="00C0119B" w:rsidRPr="00C83DF5">
        <w:rPr>
          <w:color w:val="000000"/>
          <w:lang w:val="de-DE"/>
        </w:rPr>
        <w:t> </w:t>
      </w:r>
      <w:r w:rsidRPr="00C83DF5">
        <w:rPr>
          <w:color w:val="000000"/>
          <w:lang w:val="de-DE"/>
        </w:rPr>
        <w:t>Nutzer)</w:t>
      </w:r>
    </w:p>
    <w:p w:rsidR="00FE3510" w:rsidRPr="00C83DF5" w:rsidRDefault="00FE3510" w:rsidP="00173A20">
      <w:pPr>
        <w:rPr>
          <w:lang w:val="de-DE"/>
        </w:rPr>
      </w:pPr>
      <w:r w:rsidRPr="00C83DF5">
        <w:rPr>
          <w:color w:val="000000"/>
          <w:lang w:val="de-DE"/>
        </w:rPr>
        <w:t>Nutzer-AL für Windows Intune</w:t>
      </w:r>
    </w:p>
    <w:p w:rsidR="00FE3510" w:rsidRPr="00C83DF5" w:rsidRDefault="00FE3510" w:rsidP="00173A20">
      <w:pPr>
        <w:rPr>
          <w:lang w:val="de-DE"/>
        </w:rPr>
      </w:pPr>
      <w:r w:rsidRPr="00C83DF5">
        <w:rPr>
          <w:color w:val="000000"/>
          <w:lang w:val="de-DE"/>
        </w:rPr>
        <w:t>Nutzer-AL für Add-On für Windows Intune</w:t>
      </w:r>
    </w:p>
    <w:p w:rsidR="00FE3510" w:rsidRPr="00C83DF5" w:rsidRDefault="00FE3510" w:rsidP="00173A20">
      <w:pPr>
        <w:rPr>
          <w:lang w:val="de-DE"/>
        </w:rPr>
      </w:pPr>
      <w:r w:rsidRPr="00C83DF5">
        <w:rPr>
          <w:color w:val="000000"/>
          <w:lang w:val="de-DE"/>
        </w:rPr>
        <w:t>Nutzer-AL für Add-On für Windows Intune Extra Storage 1 GB</w:t>
      </w:r>
    </w:p>
    <w:p w:rsidR="00FE3510" w:rsidRPr="00C83DF5" w:rsidRDefault="00FE3510" w:rsidP="00173A20">
      <w:pPr>
        <w:rPr>
          <w:lang w:val="de-DE"/>
        </w:rPr>
      </w:pPr>
      <w:r w:rsidRPr="00C83DF5">
        <w:rPr>
          <w:color w:val="000000"/>
          <w:lang w:val="de-DE"/>
        </w:rPr>
        <w:t>Win Pro mit MDOP 8</w:t>
      </w:r>
    </w:p>
    <w:p w:rsidR="00173A20" w:rsidRPr="00F037D5" w:rsidRDefault="00173A20" w:rsidP="003E4DDB">
      <w:pPr>
        <w:tabs>
          <w:tab w:val="num" w:pos="720"/>
        </w:tabs>
        <w:spacing w:before="60"/>
        <w:outlineLvl w:val="3"/>
        <w:rPr>
          <w:rFonts w:ascii="Trebuchet MS" w:hAnsi="Trebuchet MS"/>
          <w:b/>
          <w:color w:val="000000"/>
          <w:sz w:val="20"/>
          <w:szCs w:val="20"/>
          <w:lang w:val="de-DE"/>
        </w:rPr>
      </w:pPr>
    </w:p>
    <w:p w:rsidR="003E4DDB" w:rsidRPr="00F037D5" w:rsidRDefault="003E4DDB" w:rsidP="003E4DDB">
      <w:pPr>
        <w:tabs>
          <w:tab w:val="num" w:pos="720"/>
        </w:tabs>
        <w:spacing w:before="60"/>
        <w:outlineLvl w:val="3"/>
        <w:rPr>
          <w:rFonts w:ascii="Trebuchet MS" w:hAnsi="Trebuchet MS"/>
          <w:b/>
          <w:color w:val="000000"/>
          <w:sz w:val="20"/>
          <w:szCs w:val="20"/>
          <w:lang w:val="de-DE"/>
        </w:rPr>
      </w:pPr>
    </w:p>
    <w:p w:rsidR="003E4DDB" w:rsidRPr="00F037D5" w:rsidRDefault="003E4DDB" w:rsidP="003E4DDB">
      <w:pPr>
        <w:tabs>
          <w:tab w:val="num" w:pos="720"/>
        </w:tabs>
        <w:spacing w:before="60"/>
        <w:outlineLvl w:val="3"/>
        <w:rPr>
          <w:rFonts w:ascii="Trebuchet MS" w:hAnsi="Trebuchet MS"/>
          <w:b/>
          <w:color w:val="000000"/>
          <w:sz w:val="20"/>
          <w:szCs w:val="20"/>
          <w:lang w:val="de-DE"/>
        </w:rPr>
      </w:pPr>
    </w:p>
    <w:p w:rsidR="00173A20" w:rsidRPr="00F037D5" w:rsidRDefault="00893989" w:rsidP="003E606C">
      <w:pPr>
        <w:spacing w:after="60"/>
        <w:rPr>
          <w:b/>
          <w:lang w:val="de-DE"/>
        </w:rPr>
      </w:pPr>
      <w:r w:rsidRPr="00F037D5">
        <w:rPr>
          <w:b/>
          <w:lang w:val="de-DE"/>
        </w:rPr>
        <w:t>Promotions</w:t>
      </w:r>
    </w:p>
    <w:p w:rsidR="00173A20" w:rsidRPr="00C83DF5" w:rsidRDefault="00FE3510" w:rsidP="00173A20">
      <w:pPr>
        <w:outlineLvl w:val="1"/>
        <w:rPr>
          <w:lang w:val="de-DE"/>
        </w:rPr>
      </w:pPr>
      <w:r w:rsidRPr="00C83DF5">
        <w:rPr>
          <w:rFonts w:cs="Tahoma"/>
          <w:color w:val="000000"/>
          <w:szCs w:val="18"/>
          <w:lang w:val="de-DE"/>
        </w:rPr>
        <w:t>Die folgenden Promotions wurden hinzugefügt:</w:t>
      </w:r>
    </w:p>
    <w:p w:rsidR="00FE3510" w:rsidRPr="00C83DF5" w:rsidRDefault="00A4121E" w:rsidP="00173A20">
      <w:pPr>
        <w:outlineLvl w:val="1"/>
        <w:rPr>
          <w:lang w:val="de-DE"/>
        </w:rPr>
      </w:pPr>
      <w:r w:rsidRPr="00C83DF5">
        <w:rPr>
          <w:rFonts w:cs="Tahoma"/>
          <w:color w:val="000000"/>
          <w:szCs w:val="18"/>
          <w:lang w:val="de-DE"/>
        </w:rPr>
        <w:t>Microsoft Dynamics AX 2012 R2 – Eine Enterprise-CAL kaufen, eine Funktions-CAL dazu</w:t>
      </w:r>
    </w:p>
    <w:p w:rsidR="00A4121E" w:rsidRPr="00C83DF5" w:rsidRDefault="00A4121E" w:rsidP="00173A20">
      <w:pPr>
        <w:outlineLvl w:val="1"/>
        <w:rPr>
          <w:lang w:val="de-DE"/>
        </w:rPr>
      </w:pPr>
      <w:r w:rsidRPr="00C83DF5">
        <w:rPr>
          <w:rFonts w:cs="Tahoma"/>
          <w:color w:val="000000"/>
          <w:szCs w:val="18"/>
          <w:lang w:val="de-DE"/>
        </w:rPr>
        <w:t>Microsoft Dynamics AX 2012 R2 – EA Starter-Promotion</w:t>
      </w:r>
    </w:p>
    <w:p w:rsidR="00A4121E" w:rsidRPr="00C83DF5" w:rsidRDefault="00A4121E" w:rsidP="00173A20">
      <w:pPr>
        <w:outlineLvl w:val="1"/>
        <w:rPr>
          <w:lang w:val="de-DE"/>
        </w:rPr>
      </w:pPr>
      <w:r w:rsidRPr="00C83DF5">
        <w:rPr>
          <w:rFonts w:cs="Tahoma"/>
          <w:color w:val="000000"/>
          <w:szCs w:val="18"/>
          <w:lang w:val="de-DE"/>
        </w:rPr>
        <w:t>Windows Intune neuer PC 20</w:t>
      </w:r>
      <w:r w:rsidR="00855C44">
        <w:rPr>
          <w:rFonts w:cs="Tahoma"/>
          <w:color w:val="000000"/>
          <w:szCs w:val="18"/>
          <w:lang w:val="de-DE"/>
        </w:rPr>
        <w:t>%</w:t>
      </w:r>
      <w:r w:rsidRPr="00C83DF5">
        <w:rPr>
          <w:rFonts w:cs="Tahoma"/>
          <w:color w:val="000000"/>
          <w:szCs w:val="18"/>
          <w:lang w:val="de-DE"/>
        </w:rPr>
        <w:t xml:space="preserve"> Promotion</w:t>
      </w:r>
    </w:p>
    <w:p w:rsidR="00FE3510" w:rsidRPr="00F037D5" w:rsidRDefault="00FE3510" w:rsidP="00173A20">
      <w:pPr>
        <w:outlineLvl w:val="1"/>
        <w:rPr>
          <w:rFonts w:cs="Tahoma"/>
          <w:color w:val="000000"/>
          <w:szCs w:val="18"/>
          <w:lang w:val="de-DE"/>
        </w:rPr>
      </w:pPr>
    </w:p>
    <w:p w:rsidR="00FE3510" w:rsidRPr="00C83DF5" w:rsidRDefault="00FE3510" w:rsidP="00173A20">
      <w:pPr>
        <w:outlineLvl w:val="1"/>
        <w:rPr>
          <w:lang w:val="de-DE"/>
        </w:rPr>
      </w:pPr>
      <w:r w:rsidRPr="00C83DF5">
        <w:rPr>
          <w:rFonts w:cs="Tahoma"/>
          <w:color w:val="000000"/>
          <w:szCs w:val="18"/>
          <w:lang w:val="de-DE"/>
        </w:rPr>
        <w:t>Die folgenden Promotions wurden gelöscht:</w:t>
      </w:r>
    </w:p>
    <w:p w:rsidR="00FE3510" w:rsidRPr="00C83DF5" w:rsidRDefault="00FE3510" w:rsidP="00173A20">
      <w:pPr>
        <w:outlineLvl w:val="1"/>
        <w:rPr>
          <w:lang w:val="de-DE"/>
        </w:rPr>
      </w:pPr>
      <w:r w:rsidRPr="00C83DF5">
        <w:rPr>
          <w:lang w:val="de-DE"/>
        </w:rPr>
        <w:t>Windows Intune neuer PC 20</w:t>
      </w:r>
      <w:r w:rsidR="00855C44">
        <w:rPr>
          <w:lang w:val="de-DE"/>
        </w:rPr>
        <w:t>%</w:t>
      </w:r>
      <w:r w:rsidRPr="00C83DF5">
        <w:rPr>
          <w:lang w:val="de-DE"/>
        </w:rPr>
        <w:t xml:space="preserve"> Promotion</w:t>
      </w:r>
    </w:p>
    <w:p w:rsidR="00173A20" w:rsidRPr="00F037D5" w:rsidRDefault="00173A20" w:rsidP="00173A20">
      <w:pPr>
        <w:outlineLvl w:val="1"/>
        <w:rPr>
          <w:rFonts w:cs="Tahoma"/>
          <w:color w:val="000000"/>
          <w:szCs w:val="18"/>
          <w:lang w:val="de-DE"/>
        </w:rPr>
      </w:pPr>
    </w:p>
    <w:p w:rsidR="00CD7EA6" w:rsidRPr="00F037D5" w:rsidRDefault="00173A20" w:rsidP="003E606C">
      <w:pPr>
        <w:spacing w:after="60"/>
        <w:rPr>
          <w:b/>
          <w:lang w:val="de-DE"/>
        </w:rPr>
      </w:pPr>
      <w:r w:rsidRPr="00F037D5">
        <w:rPr>
          <w:b/>
          <w:lang w:val="de-DE"/>
        </w:rPr>
        <w:t>Streichungen</w:t>
      </w:r>
    </w:p>
    <w:p w:rsidR="00685009" w:rsidRPr="00C83DF5" w:rsidRDefault="00685009" w:rsidP="00685009">
      <w:r w:rsidRPr="00C83DF5">
        <w:rPr>
          <w:color w:val="000000"/>
        </w:rPr>
        <w:t>Access 2010</w:t>
      </w:r>
    </w:p>
    <w:p w:rsidR="00685009" w:rsidRPr="00C83DF5" w:rsidRDefault="00685009" w:rsidP="00685009">
      <w:r w:rsidRPr="00C83DF5">
        <w:rPr>
          <w:color w:val="000000"/>
        </w:rPr>
        <w:t>Duet Enterprise für Microsoft SharePoint und SAP 1.0</w:t>
      </w:r>
    </w:p>
    <w:p w:rsidR="00685009" w:rsidRPr="00C83DF5" w:rsidRDefault="00685009" w:rsidP="00685009">
      <w:r w:rsidRPr="00C83DF5">
        <w:rPr>
          <w:color w:val="000000"/>
        </w:rPr>
        <w:t>Dynamics CRM Onprem Mobile</w:t>
      </w:r>
    </w:p>
    <w:p w:rsidR="00685009" w:rsidRPr="00C83DF5" w:rsidRDefault="00685009" w:rsidP="00685009">
      <w:r w:rsidRPr="00C83DF5">
        <w:rPr>
          <w:color w:val="000000"/>
        </w:rPr>
        <w:t>Dynamics CRM Mobile</w:t>
      </w:r>
    </w:p>
    <w:p w:rsidR="00685009" w:rsidRPr="00C83DF5" w:rsidRDefault="00685009" w:rsidP="00685009">
      <w:r w:rsidRPr="00C83DF5">
        <w:rPr>
          <w:color w:val="000000"/>
        </w:rPr>
        <w:t>Excel 2010</w:t>
      </w:r>
    </w:p>
    <w:p w:rsidR="00685009" w:rsidRPr="00C83DF5" w:rsidRDefault="00685009" w:rsidP="00685009">
      <w:r w:rsidRPr="00C83DF5">
        <w:rPr>
          <w:color w:val="000000"/>
        </w:rPr>
        <w:t>Externer Connector für Exchange Server 2010</w:t>
      </w:r>
    </w:p>
    <w:p w:rsidR="00685009" w:rsidRPr="00C83DF5" w:rsidRDefault="00685009" w:rsidP="00685009">
      <w:r w:rsidRPr="00C83DF5">
        <w:rPr>
          <w:color w:val="000000"/>
        </w:rPr>
        <w:t>FAST Search Server SharePoint</w:t>
      </w:r>
    </w:p>
    <w:p w:rsidR="00685009" w:rsidRPr="00C83DF5" w:rsidRDefault="00685009" w:rsidP="00685009">
      <w:r w:rsidRPr="00C83DF5">
        <w:rPr>
          <w:color w:val="000000"/>
        </w:rPr>
        <w:t>Forefront Protection Suite</w:t>
      </w:r>
    </w:p>
    <w:p w:rsidR="00685009" w:rsidRPr="00C83DF5" w:rsidRDefault="00685009" w:rsidP="00685009">
      <w:r w:rsidRPr="00C83DF5">
        <w:rPr>
          <w:color w:val="000000"/>
        </w:rPr>
        <w:t>Forefront Security Exchange Server</w:t>
      </w:r>
    </w:p>
    <w:p w:rsidR="00685009" w:rsidRPr="00C83DF5" w:rsidRDefault="00685009" w:rsidP="00685009">
      <w:r w:rsidRPr="00C83DF5">
        <w:rPr>
          <w:color w:val="000000"/>
        </w:rPr>
        <w:t>Forefront Security Office Communications Server</w:t>
      </w:r>
    </w:p>
    <w:p w:rsidR="00685009" w:rsidRPr="00C83DF5" w:rsidRDefault="00685009" w:rsidP="00685009">
      <w:r w:rsidRPr="00C83DF5">
        <w:rPr>
          <w:color w:val="000000"/>
        </w:rPr>
        <w:t>Forefront Security SharePoint</w:t>
      </w:r>
    </w:p>
    <w:p w:rsidR="00685009" w:rsidRPr="00C83DF5" w:rsidRDefault="00685009" w:rsidP="00685009">
      <w:r w:rsidRPr="00C83DF5">
        <w:rPr>
          <w:color w:val="000000"/>
        </w:rPr>
        <w:t>Forefront Security Server Management Console</w:t>
      </w:r>
    </w:p>
    <w:p w:rsidR="00685009" w:rsidRPr="00C83DF5" w:rsidRDefault="00685009" w:rsidP="00685009">
      <w:r w:rsidRPr="00C83DF5">
        <w:rPr>
          <w:color w:val="000000"/>
        </w:rPr>
        <w:t>Forefront Security Web</w:t>
      </w:r>
    </w:p>
    <w:p w:rsidR="00685009" w:rsidRPr="00C83DF5" w:rsidRDefault="00685009" w:rsidP="00685009">
      <w:r w:rsidRPr="00C83DF5">
        <w:rPr>
          <w:color w:val="000000"/>
        </w:rPr>
        <w:t>Forefront Threat Management Gateway Enterprise</w:t>
      </w:r>
    </w:p>
    <w:p w:rsidR="00685009" w:rsidRPr="00C83DF5" w:rsidRDefault="00685009" w:rsidP="00685009">
      <w:r w:rsidRPr="00C83DF5">
        <w:rPr>
          <w:color w:val="000000"/>
        </w:rPr>
        <w:t>Forefront Threat Management Gateway Medium Business</w:t>
      </w:r>
    </w:p>
    <w:p w:rsidR="00685009" w:rsidRPr="00C83DF5" w:rsidRDefault="00685009" w:rsidP="00685009">
      <w:r w:rsidRPr="00C83DF5">
        <w:rPr>
          <w:color w:val="000000"/>
        </w:rPr>
        <w:t>Forefront Threat Management Gateway Standard</w:t>
      </w:r>
    </w:p>
    <w:p w:rsidR="00685009" w:rsidRPr="00C83DF5" w:rsidRDefault="00685009" w:rsidP="00685009">
      <w:r w:rsidRPr="00C83DF5">
        <w:rPr>
          <w:color w:val="000000"/>
        </w:rPr>
        <w:t>Forefront Threat Management Gateway Web Protection Service</w:t>
      </w:r>
    </w:p>
    <w:p w:rsidR="00685009" w:rsidRPr="00C83DF5" w:rsidRDefault="00685009" w:rsidP="00685009">
      <w:r w:rsidRPr="00C83DF5">
        <w:rPr>
          <w:color w:val="000000"/>
        </w:rPr>
        <w:t>Forefront Protection 2010 für Exchange Server</w:t>
      </w:r>
    </w:p>
    <w:p w:rsidR="00685009" w:rsidRPr="00C83DF5" w:rsidRDefault="00685009" w:rsidP="00685009">
      <w:r w:rsidRPr="00C83DF5">
        <w:rPr>
          <w:color w:val="000000"/>
        </w:rPr>
        <w:t>Externer Connector für Forefront Protection 2010 für Exchange Server</w:t>
      </w:r>
    </w:p>
    <w:p w:rsidR="00685009" w:rsidRPr="00C83DF5" w:rsidRDefault="00685009" w:rsidP="00685009">
      <w:r w:rsidRPr="00C83DF5">
        <w:rPr>
          <w:color w:val="000000"/>
        </w:rPr>
        <w:t>Forefront Protection SharePoint</w:t>
      </w:r>
    </w:p>
    <w:p w:rsidR="00685009" w:rsidRPr="00C83DF5" w:rsidRDefault="00685009" w:rsidP="00685009">
      <w:r w:rsidRPr="00C83DF5">
        <w:rPr>
          <w:color w:val="000000"/>
        </w:rPr>
        <w:t>Groove Enterprise Services</w:t>
      </w:r>
    </w:p>
    <w:p w:rsidR="00685009" w:rsidRPr="00C83DF5" w:rsidRDefault="00685009" w:rsidP="00685009">
      <w:r w:rsidRPr="00C83DF5">
        <w:rPr>
          <w:color w:val="000000"/>
        </w:rPr>
        <w:t>Groove Server</w:t>
      </w:r>
    </w:p>
    <w:p w:rsidR="00685009" w:rsidRPr="00C83DF5" w:rsidRDefault="00685009" w:rsidP="00685009">
      <w:r w:rsidRPr="00C83DF5">
        <w:rPr>
          <w:color w:val="000000"/>
        </w:rPr>
        <w:t>InfoPath 2010</w:t>
      </w:r>
    </w:p>
    <w:p w:rsidR="00685009" w:rsidRPr="00C83DF5" w:rsidRDefault="00685009" w:rsidP="00685009">
      <w:r w:rsidRPr="00C83DF5">
        <w:rPr>
          <w:color w:val="000000"/>
        </w:rPr>
        <w:t>Lync 2010</w:t>
      </w:r>
    </w:p>
    <w:p w:rsidR="00685009" w:rsidRPr="00C83DF5" w:rsidRDefault="00685009" w:rsidP="00685009">
      <w:r w:rsidRPr="00C83DF5">
        <w:rPr>
          <w:color w:val="000000"/>
        </w:rPr>
        <w:t>Lync Server 2010 Enterprise Edition</w:t>
      </w:r>
    </w:p>
    <w:p w:rsidR="00685009" w:rsidRPr="00C83DF5" w:rsidRDefault="00685009" w:rsidP="00685009">
      <w:r w:rsidRPr="00C83DF5">
        <w:rPr>
          <w:color w:val="000000"/>
        </w:rPr>
        <w:t>Externer Connector für Lync Server 2010 Enterprise</w:t>
      </w:r>
    </w:p>
    <w:p w:rsidR="00685009" w:rsidRPr="00C83DF5" w:rsidRDefault="00685009" w:rsidP="00685009">
      <w:r w:rsidRPr="00C83DF5">
        <w:rPr>
          <w:color w:val="000000"/>
        </w:rPr>
        <w:t>Externer Connector für Lync Server 2010 Plus</w:t>
      </w:r>
    </w:p>
    <w:p w:rsidR="00685009" w:rsidRPr="00C83DF5" w:rsidRDefault="00685009" w:rsidP="00685009">
      <w:r w:rsidRPr="00C83DF5">
        <w:rPr>
          <w:color w:val="000000"/>
        </w:rPr>
        <w:t>Externer Connector für Lync Server 2010</w:t>
      </w:r>
    </w:p>
    <w:p w:rsidR="00685009" w:rsidRPr="00C83DF5" w:rsidRDefault="00685009" w:rsidP="00685009">
      <w:r w:rsidRPr="00C83DF5">
        <w:rPr>
          <w:color w:val="000000"/>
        </w:rPr>
        <w:t>Lync Server 2010 Standard Edition</w:t>
      </w:r>
    </w:p>
    <w:p w:rsidR="00685009" w:rsidRPr="00C83DF5" w:rsidRDefault="00685009" w:rsidP="00685009">
      <w:r w:rsidRPr="00C83DF5">
        <w:rPr>
          <w:color w:val="000000"/>
        </w:rPr>
        <w:t>Office Groove Enterprise Services</w:t>
      </w:r>
    </w:p>
    <w:p w:rsidR="00685009" w:rsidRPr="00C83DF5" w:rsidRDefault="00685009" w:rsidP="00685009">
      <w:r w:rsidRPr="00C83DF5">
        <w:rPr>
          <w:color w:val="000000"/>
        </w:rPr>
        <w:t>Office Multi-Language Pack 2010</w:t>
      </w:r>
    </w:p>
    <w:p w:rsidR="00685009" w:rsidRPr="00C83DF5" w:rsidRDefault="00685009" w:rsidP="00685009">
      <w:r w:rsidRPr="00C83DF5">
        <w:rPr>
          <w:color w:val="000000"/>
        </w:rPr>
        <w:t>Office Professional Plus 2010</w:t>
      </w:r>
    </w:p>
    <w:p w:rsidR="00685009" w:rsidRPr="00C83DF5" w:rsidRDefault="00685009" w:rsidP="00685009">
      <w:r w:rsidRPr="00C83DF5">
        <w:rPr>
          <w:color w:val="000000"/>
        </w:rPr>
        <w:t>Office Standard 2010</w:t>
      </w:r>
    </w:p>
    <w:p w:rsidR="00685009" w:rsidRPr="00C83DF5" w:rsidRDefault="00685009" w:rsidP="00685009">
      <w:r w:rsidRPr="00C83DF5">
        <w:rPr>
          <w:color w:val="000000"/>
        </w:rPr>
        <w:t>Office Small Business Get Genuine</w:t>
      </w:r>
    </w:p>
    <w:p w:rsidR="00685009" w:rsidRPr="00C83DF5" w:rsidRDefault="00685009" w:rsidP="00685009">
      <w:r w:rsidRPr="00C83DF5">
        <w:rPr>
          <w:color w:val="000000"/>
        </w:rPr>
        <w:t>OneNote 2010</w:t>
      </w:r>
    </w:p>
    <w:p w:rsidR="00685009" w:rsidRPr="00C83DF5" w:rsidRDefault="00685009" w:rsidP="00685009">
      <w:r w:rsidRPr="00C83DF5">
        <w:rPr>
          <w:color w:val="000000"/>
        </w:rPr>
        <w:t>Outlook 2010</w:t>
      </w:r>
    </w:p>
    <w:p w:rsidR="00685009" w:rsidRPr="00C83DF5" w:rsidRDefault="00685009" w:rsidP="00685009">
      <w:r w:rsidRPr="00C83DF5">
        <w:rPr>
          <w:color w:val="000000"/>
        </w:rPr>
        <w:t>Outlook mit Business Contact Manager</w:t>
      </w:r>
    </w:p>
    <w:p w:rsidR="00685009" w:rsidRPr="00C83DF5" w:rsidRDefault="00685009" w:rsidP="00685009">
      <w:r w:rsidRPr="00C83DF5">
        <w:rPr>
          <w:color w:val="000000"/>
        </w:rPr>
        <w:t>PowerPoint 2010</w:t>
      </w:r>
    </w:p>
    <w:p w:rsidR="00685009" w:rsidRPr="00C83DF5" w:rsidRDefault="00685009" w:rsidP="00685009">
      <w:r w:rsidRPr="00C83DF5">
        <w:rPr>
          <w:color w:val="000000"/>
        </w:rPr>
        <w:t>Project 2010 Standard</w:t>
      </w:r>
    </w:p>
    <w:p w:rsidR="00685009" w:rsidRPr="00C83DF5" w:rsidRDefault="00685009" w:rsidP="00685009">
      <w:r w:rsidRPr="00C83DF5">
        <w:rPr>
          <w:color w:val="000000"/>
        </w:rPr>
        <w:t>Project 2010 Professional</w:t>
      </w:r>
    </w:p>
    <w:p w:rsidR="00685009" w:rsidRPr="00C83DF5" w:rsidRDefault="00685009" w:rsidP="00685009">
      <w:r w:rsidRPr="00C83DF5">
        <w:rPr>
          <w:color w:val="000000"/>
        </w:rPr>
        <w:t>Search Server 2010</w:t>
      </w:r>
    </w:p>
    <w:p w:rsidR="00685009" w:rsidRPr="00C83DF5" w:rsidRDefault="00685009" w:rsidP="00685009">
      <w:r w:rsidRPr="00C83DF5">
        <w:rPr>
          <w:color w:val="000000"/>
        </w:rPr>
        <w:t>SharePoint Server 2010 for Internet Sites Enterprise</w:t>
      </w:r>
    </w:p>
    <w:p w:rsidR="00685009" w:rsidRPr="00C83DF5" w:rsidRDefault="00685009" w:rsidP="00685009">
      <w:r w:rsidRPr="00C83DF5">
        <w:rPr>
          <w:color w:val="000000"/>
        </w:rPr>
        <w:t>SharePoint Server 2010 for Internet Sites Standard</w:t>
      </w:r>
    </w:p>
    <w:p w:rsidR="00685009" w:rsidRPr="00C83DF5" w:rsidRDefault="00685009" w:rsidP="00685009">
      <w:r w:rsidRPr="00C83DF5">
        <w:rPr>
          <w:color w:val="000000"/>
        </w:rPr>
        <w:t>SharePoint Workspace 2010</w:t>
      </w:r>
    </w:p>
    <w:p w:rsidR="00685009" w:rsidRPr="00C83DF5" w:rsidRDefault="00685009" w:rsidP="00685009">
      <w:r w:rsidRPr="00C83DF5">
        <w:rPr>
          <w:color w:val="000000"/>
        </w:rPr>
        <w:t>Visio 2010 Premium</w:t>
      </w:r>
    </w:p>
    <w:p w:rsidR="00685009" w:rsidRPr="00C83DF5" w:rsidRDefault="00685009" w:rsidP="00685009">
      <w:r w:rsidRPr="00C83DF5">
        <w:rPr>
          <w:color w:val="000000"/>
        </w:rPr>
        <w:lastRenderedPageBreak/>
        <w:t>Visio 2010 Standard</w:t>
      </w:r>
    </w:p>
    <w:p w:rsidR="00685009" w:rsidRPr="00C83DF5" w:rsidRDefault="00685009" w:rsidP="00685009">
      <w:r w:rsidRPr="00C83DF5">
        <w:rPr>
          <w:color w:val="000000"/>
        </w:rPr>
        <w:t>Windows Intune (Pro Gerät)</w:t>
      </w:r>
    </w:p>
    <w:p w:rsidR="00685009" w:rsidRPr="00C83DF5" w:rsidRDefault="00685009" w:rsidP="00685009">
      <w:r w:rsidRPr="00C83DF5">
        <w:rPr>
          <w:color w:val="000000"/>
        </w:rPr>
        <w:t>Add-On für Windows Intune (Pro Gerät)</w:t>
      </w:r>
    </w:p>
    <w:p w:rsidR="00685009" w:rsidRPr="00C83DF5" w:rsidRDefault="00685009" w:rsidP="00685009">
      <w:r w:rsidRPr="00C83DF5">
        <w:rPr>
          <w:color w:val="000000"/>
        </w:rPr>
        <w:t>Windows MultiPoint Server 2011 Standard</w:t>
      </w:r>
    </w:p>
    <w:p w:rsidR="00685009" w:rsidRPr="00C83DF5" w:rsidRDefault="00685009" w:rsidP="00685009">
      <w:r w:rsidRPr="00C83DF5">
        <w:rPr>
          <w:color w:val="000000"/>
        </w:rPr>
        <w:t>Windows MultiPoint Server 2011 Premium</w:t>
      </w:r>
    </w:p>
    <w:p w:rsidR="00685009" w:rsidRPr="00C83DF5" w:rsidRDefault="00685009" w:rsidP="00685009">
      <w:r w:rsidRPr="00C83DF5">
        <w:rPr>
          <w:color w:val="000000"/>
        </w:rPr>
        <w:t>CAL für Windows MultiPoint Server 2011</w:t>
      </w:r>
    </w:p>
    <w:p w:rsidR="00685009" w:rsidRPr="00C83DF5" w:rsidRDefault="00685009" w:rsidP="00685009">
      <w:pPr>
        <w:rPr>
          <w:lang w:val="de-DE"/>
        </w:rPr>
      </w:pPr>
      <w:r w:rsidRPr="00C83DF5">
        <w:rPr>
          <w:color w:val="000000"/>
          <w:lang w:val="de-DE"/>
        </w:rPr>
        <w:t>CAL für Windows MultiPoint Server 2011 mit CAL für Windows Server 2008</w:t>
      </w:r>
    </w:p>
    <w:p w:rsidR="00685009" w:rsidRPr="00C83DF5" w:rsidRDefault="00685009" w:rsidP="00685009">
      <w:r w:rsidRPr="00C83DF5">
        <w:rPr>
          <w:color w:val="000000"/>
        </w:rPr>
        <w:t>CAL für Windows MultiPoint Server 2011 Premium mit Windows MultiPoint Server 2011 (5 Clients)</w:t>
      </w:r>
    </w:p>
    <w:p w:rsidR="00685009" w:rsidRPr="00C83DF5" w:rsidRDefault="00685009" w:rsidP="00685009">
      <w:r w:rsidRPr="00C83DF5">
        <w:rPr>
          <w:color w:val="000000"/>
        </w:rPr>
        <w:t>CAL für Windows MultiPoint Server 2011 Premium mit Windows MultiPoint Server 2011 (5 Clients) mit CAL für Windows Server 2008 (5 Clients)</w:t>
      </w:r>
    </w:p>
    <w:p w:rsidR="00685009" w:rsidRPr="00C83DF5" w:rsidRDefault="00685009" w:rsidP="00685009">
      <w:r w:rsidRPr="00C83DF5">
        <w:rPr>
          <w:color w:val="000000"/>
        </w:rPr>
        <w:t>Word 2010</w:t>
      </w:r>
    </w:p>
    <w:p w:rsidR="00023FE7" w:rsidRPr="007F4157" w:rsidRDefault="000E65CF" w:rsidP="00B939A4">
      <w:pPr>
        <w:rPr>
          <w:rStyle w:val="Heading1Char"/>
        </w:rPr>
      </w:pPr>
      <w:r w:rsidRPr="007F4157">
        <w:rPr>
          <w:rStyle w:val="Heading1Char"/>
          <w:caps w:val="0"/>
        </w:rPr>
        <w:br w:type="page"/>
      </w:r>
      <w:bookmarkStart w:id="580" w:name="_Toc336338180"/>
      <w:bookmarkStart w:id="581" w:name="_Toc370983289"/>
      <w:r w:rsidRPr="007F4157">
        <w:rPr>
          <w:rStyle w:val="Heading1Char"/>
          <w:caps w:val="0"/>
        </w:rPr>
        <w:lastRenderedPageBreak/>
        <w:t>ABSCHNITT 2 – PRODUKTPROMOTIONS</w:t>
      </w:r>
      <w:bookmarkEnd w:id="580"/>
      <w:bookmarkEnd w:id="581"/>
    </w:p>
    <w:p w:rsidR="00023FE7" w:rsidRPr="00C83DF5" w:rsidRDefault="00023FE7" w:rsidP="00510F6B">
      <w:pPr>
        <w:ind w:right="720"/>
        <w:rPr>
          <w:rFonts w:cs="Tahoma"/>
          <w:color w:val="000000"/>
          <w:sz w:val="24"/>
        </w:rPr>
      </w:pPr>
    </w:p>
    <w:p w:rsidR="00187499" w:rsidRPr="00F037D5" w:rsidRDefault="00187499" w:rsidP="005D753D">
      <w:pPr>
        <w:pStyle w:val="Heading2"/>
        <w:spacing w:after="120"/>
        <w:ind w:left="0"/>
        <w:rPr>
          <w:rFonts w:ascii="Tahoma" w:hAnsi="Tahoma" w:cs="Tahoma"/>
          <w:color w:val="FF9429"/>
          <w:lang w:val="de-DE"/>
        </w:rPr>
      </w:pPr>
      <w:bookmarkStart w:id="582" w:name="_Toc336338182"/>
      <w:bookmarkStart w:id="583" w:name="_Toc370983290"/>
      <w:r w:rsidRPr="00F037D5">
        <w:rPr>
          <w:rFonts w:ascii="Tahoma" w:hAnsi="Tahoma" w:cs="Tahoma"/>
          <w:color w:val="FF9429"/>
          <w:lang w:val="de-DE"/>
        </w:rPr>
        <w:t>Microsoft Dynamics AX 2012 R2 – EA Starter-Promotion</w:t>
      </w:r>
      <w:bookmarkEnd w:id="583"/>
    </w:p>
    <w:bookmarkEnd w:id="582"/>
    <w:p w:rsidR="001D214E" w:rsidRPr="00F037D5" w:rsidRDefault="001D214E" w:rsidP="005D753D">
      <w:pPr>
        <w:spacing w:after="120" w:line="276" w:lineRule="auto"/>
        <w:rPr>
          <w:lang w:val="de-DE"/>
        </w:rPr>
      </w:pPr>
      <w:r w:rsidRPr="00F037D5">
        <w:rPr>
          <w:lang w:val="de-DE"/>
        </w:rPr>
        <w:t>Als zeitlich beschränktes Angebot vom 1. März 2013 bis zum 31. Dezember 2013 bietet Microsoft beim Kauf der ersten Lizenz für Microsoft Dynamics AX 2012 R2 Server 3 (drei) Enterprise CALs und 50 (fünfzig) Self-Serve-CALs.</w:t>
      </w:r>
      <w:r w:rsidR="00E71F46" w:rsidRPr="00F037D5">
        <w:rPr>
          <w:lang w:val="de-DE"/>
        </w:rPr>
        <w:t xml:space="preserve"> </w:t>
      </w:r>
      <w:r w:rsidRPr="00F037D5">
        <w:rPr>
          <w:lang w:val="de-DE"/>
        </w:rPr>
        <w:t xml:space="preserve">Diese Promotion wird ausschließlich unter dem Konzernvertrag-Lizenzprogramm angeboten. </w:t>
      </w:r>
    </w:p>
    <w:p w:rsidR="00187499" w:rsidRPr="00C83DF5" w:rsidRDefault="00187499" w:rsidP="003E4DDB">
      <w:pPr>
        <w:spacing w:after="120" w:line="276" w:lineRule="auto"/>
        <w:rPr>
          <w:lang w:val="de-DE"/>
        </w:rPr>
      </w:pPr>
      <w:r w:rsidRPr="00F037D5">
        <w:rPr>
          <w:lang w:val="de-DE"/>
        </w:rPr>
        <w:t xml:space="preserve">Alle im Rahmen dieses Angebots gewährten Lizenzen umfassen Software Assurance. </w:t>
      </w:r>
      <w:r w:rsidRPr="00C83DF5">
        <w:rPr>
          <w:lang w:val="de-DE"/>
        </w:rPr>
        <w:t>Diese gilt bis zum Ablauf von</w:t>
      </w:r>
      <w:r w:rsidR="003E4DDB" w:rsidRPr="00C83DF5">
        <w:rPr>
          <w:lang w:val="de-DE"/>
        </w:rPr>
        <w:t> </w:t>
      </w:r>
      <w:r w:rsidRPr="00C83DF5">
        <w:rPr>
          <w:lang w:val="de-DE"/>
        </w:rPr>
        <w:t>Software Assurance für die qualifizierenden Lizenzen. Danach können die Kunden Software Assurance für die</w:t>
      </w:r>
      <w:r w:rsidR="003E4DDB" w:rsidRPr="00C83DF5">
        <w:rPr>
          <w:lang w:val="de-DE"/>
        </w:rPr>
        <w:t> </w:t>
      </w:r>
      <w:r w:rsidRPr="00C83DF5">
        <w:rPr>
          <w:lang w:val="de-DE"/>
        </w:rPr>
        <w:t xml:space="preserve">gewährten Lizenzen verlängern. </w:t>
      </w:r>
      <w:bookmarkStart w:id="584" w:name="_Toc336338183"/>
      <w:r w:rsidRPr="00C83DF5">
        <w:rPr>
          <w:lang w:val="de-DE"/>
        </w:rPr>
        <w:t>Das Recht zur Nutzung der gewährten Software gilt bis zum Ablauf des Rechts</w:t>
      </w:r>
      <w:r w:rsidR="003E4DDB" w:rsidRPr="00C83DF5">
        <w:rPr>
          <w:lang w:val="de-DE"/>
        </w:rPr>
        <w:t> </w:t>
      </w:r>
      <w:r w:rsidRPr="00C83DF5">
        <w:rPr>
          <w:lang w:val="de-DE"/>
        </w:rPr>
        <w:t>zur Nutzung der Software unter der qualifizierenden Lizenz für Microsoft Dynamics AX 2012 R2 Server. Der</w:t>
      </w:r>
      <w:r w:rsidR="003E4DDB" w:rsidRPr="00C83DF5">
        <w:rPr>
          <w:lang w:val="de-DE"/>
        </w:rPr>
        <w:t> </w:t>
      </w:r>
      <w:r w:rsidRPr="00C83DF5">
        <w:rPr>
          <w:lang w:val="de-DE"/>
        </w:rPr>
        <w:t>Nachweis der</w:t>
      </w:r>
      <w:r w:rsidR="003E4DDB" w:rsidRPr="00C83DF5">
        <w:rPr>
          <w:lang w:val="de-DE"/>
        </w:rPr>
        <w:t> </w:t>
      </w:r>
      <w:r w:rsidRPr="00C83DF5">
        <w:rPr>
          <w:lang w:val="de-DE"/>
        </w:rPr>
        <w:t>qualifizierenden Serverlizenz und dieser Produkthinweis belegen das Recht des Kunden, Lizenzen</w:t>
      </w:r>
      <w:r w:rsidR="003E4DDB" w:rsidRPr="00C83DF5">
        <w:rPr>
          <w:lang w:val="de-DE"/>
        </w:rPr>
        <w:t> </w:t>
      </w:r>
      <w:r w:rsidRPr="00C83DF5">
        <w:rPr>
          <w:lang w:val="de-DE"/>
        </w:rPr>
        <w:t>für Microsoft</w:t>
      </w:r>
      <w:r w:rsidR="003E4DDB" w:rsidRPr="00C83DF5">
        <w:rPr>
          <w:lang w:val="de-DE"/>
        </w:rPr>
        <w:t> </w:t>
      </w:r>
      <w:r w:rsidRPr="00C83DF5">
        <w:rPr>
          <w:lang w:val="de-DE"/>
        </w:rPr>
        <w:t>Dynamics AX 2012 R2 unter den Bestimmungen dieses Angebots zu verwenden. Im</w:t>
      </w:r>
      <w:r w:rsidR="003E4DDB" w:rsidRPr="00C83DF5">
        <w:rPr>
          <w:lang w:val="de-DE"/>
        </w:rPr>
        <w:t> </w:t>
      </w:r>
      <w:r w:rsidRPr="00C83DF5">
        <w:rPr>
          <w:lang w:val="de-DE"/>
        </w:rPr>
        <w:t>Rahmen</w:t>
      </w:r>
      <w:r w:rsidR="003E4DDB" w:rsidRPr="00C83DF5">
        <w:rPr>
          <w:lang w:val="de-DE"/>
        </w:rPr>
        <w:t> </w:t>
      </w:r>
      <w:r w:rsidRPr="00C83DF5">
        <w:rPr>
          <w:lang w:val="de-DE"/>
        </w:rPr>
        <w:t>dieses Angebots gewährte Lizenzen dürfen nicht getrennt von den zugehörigen qualifizierenden Lizenzen</w:t>
      </w:r>
      <w:r w:rsidR="003E4DDB" w:rsidRPr="00C83DF5">
        <w:rPr>
          <w:lang w:val="de-DE"/>
        </w:rPr>
        <w:t> </w:t>
      </w:r>
      <w:r w:rsidRPr="00C83DF5">
        <w:rPr>
          <w:lang w:val="de-DE"/>
        </w:rPr>
        <w:t>übertragen werden.</w:t>
      </w:r>
    </w:p>
    <w:bookmarkEnd w:id="584"/>
    <w:p w:rsidR="00491DAC" w:rsidRPr="00C83DF5" w:rsidRDefault="00491DAC" w:rsidP="005D753D">
      <w:pPr>
        <w:spacing w:after="120" w:line="276" w:lineRule="auto"/>
      </w:pPr>
      <w:r w:rsidRPr="00C83DF5">
        <w:t>Plus-, EAP-, ECI- und Open Value-Programme.</w:t>
      </w:r>
    </w:p>
    <w:p w:rsidR="00505713" w:rsidRPr="00C83DF5" w:rsidRDefault="00505713" w:rsidP="005D753D">
      <w:pPr>
        <w:spacing w:after="120" w:line="276" w:lineRule="auto"/>
        <w:rPr>
          <w:rFonts w:cs="Tahoma"/>
          <w:color w:val="000000" w:themeColor="text1"/>
          <w:szCs w:val="18"/>
        </w:rPr>
      </w:pPr>
    </w:p>
    <w:p w:rsidR="00505713" w:rsidRPr="00F037D5" w:rsidRDefault="00505713" w:rsidP="00505713">
      <w:pPr>
        <w:pStyle w:val="Heading2"/>
        <w:spacing w:after="120"/>
        <w:ind w:left="0"/>
        <w:rPr>
          <w:rFonts w:ascii="Tahoma" w:eastAsia="Times New Roman" w:hAnsi="Tahoma" w:cs="Tahoma"/>
          <w:color w:val="FF9429"/>
          <w:lang w:val="de-DE"/>
        </w:rPr>
      </w:pPr>
      <w:bookmarkStart w:id="585" w:name="_Toc370983291"/>
      <w:r w:rsidRPr="00F037D5">
        <w:rPr>
          <w:rFonts w:ascii="Tahoma" w:eastAsia="Times New Roman" w:hAnsi="Tahoma" w:cs="Tahoma"/>
          <w:color w:val="FF9429"/>
          <w:lang w:val="de-DE"/>
        </w:rPr>
        <w:t>Promotion für Windows Intune und das Add-On für Intune</w:t>
      </w:r>
      <w:bookmarkEnd w:id="585"/>
    </w:p>
    <w:p w:rsidR="00505713" w:rsidRPr="00C83DF5" w:rsidRDefault="00505713" w:rsidP="00505713">
      <w:pPr>
        <w:spacing w:after="120" w:line="276" w:lineRule="auto"/>
        <w:rPr>
          <w:lang w:val="de-DE"/>
        </w:rPr>
      </w:pPr>
      <w:r w:rsidRPr="00C83DF5">
        <w:rPr>
          <w:lang w:val="de-DE"/>
        </w:rPr>
        <w:t>Zwischen dem 1. September 2013 und dem 30. Juni 2014 bietet Microsoft Kunden, die Office 365 Suites (E/A/G) oder eigenständige Produktnummern (d. h. Exchange Online) über Konzern-Volumenlizenzprogramme erwerben, 30</w:t>
      </w:r>
      <w:r w:rsidR="00855C44">
        <w:rPr>
          <w:lang w:val="de-DE"/>
        </w:rPr>
        <w:t>%</w:t>
      </w:r>
      <w:r w:rsidRPr="00C83DF5">
        <w:rPr>
          <w:lang w:val="de-DE"/>
        </w:rPr>
        <w:t xml:space="preserve"> Ermäßigung auf Intune und das Add-On für Intune für System Center Configuration Manager und System Center Endpoint Protection.</w:t>
      </w:r>
      <w:r w:rsidR="00E71F46" w:rsidRPr="00C83DF5">
        <w:rPr>
          <w:lang w:val="de-DE"/>
        </w:rPr>
        <w:t xml:space="preserve"> </w:t>
      </w:r>
      <w:r w:rsidRPr="00C83DF5">
        <w:rPr>
          <w:lang w:val="de-DE"/>
        </w:rPr>
        <w:t>Dieses Angebot gilt für Kunden mit einer Organisationsgröße von mindestens 250 Arbeitsplätzen. Es richtet sich an Kunden der EA-, EAS- und EES-Programme. Zu den Zielgruppensegmenten gehören EPG Commercial, Government, Education sowie SMS&amp;P Commercial, Government, Education.</w:t>
      </w:r>
    </w:p>
    <w:p w:rsidR="00505713" w:rsidRPr="00F037D5" w:rsidRDefault="00505713" w:rsidP="003E4DDB">
      <w:pPr>
        <w:spacing w:after="120" w:line="276" w:lineRule="auto"/>
        <w:rPr>
          <w:rFonts w:cs="Tahoma"/>
          <w:color w:val="000000" w:themeColor="text1"/>
          <w:szCs w:val="18"/>
          <w:lang w:val="de-DE"/>
        </w:rPr>
      </w:pPr>
    </w:p>
    <w:p w:rsidR="00505713" w:rsidRPr="00F037D5" w:rsidRDefault="00505713" w:rsidP="00505713">
      <w:pPr>
        <w:pStyle w:val="Heading2"/>
        <w:spacing w:after="120"/>
        <w:ind w:left="0"/>
        <w:rPr>
          <w:rFonts w:ascii="Tahoma" w:eastAsia="Times New Roman" w:hAnsi="Tahoma" w:cs="Tahoma"/>
          <w:color w:val="FF9429"/>
          <w:lang w:val="de-DE"/>
        </w:rPr>
      </w:pPr>
      <w:bookmarkStart w:id="586" w:name="_Toc370983292"/>
      <w:r w:rsidRPr="00F037D5">
        <w:rPr>
          <w:rFonts w:ascii="Tahoma" w:eastAsia="Times New Roman" w:hAnsi="Tahoma" w:cs="Tahoma"/>
          <w:color w:val="FF9429"/>
          <w:lang w:val="de-DE"/>
        </w:rPr>
        <w:t>Schnellere Einführung von Windows Azure</w:t>
      </w:r>
      <w:bookmarkEnd w:id="586"/>
    </w:p>
    <w:p w:rsidR="00505713" w:rsidRPr="00C83DF5" w:rsidRDefault="00505713" w:rsidP="00505713">
      <w:pPr>
        <w:spacing w:after="120" w:line="276" w:lineRule="auto"/>
        <w:rPr>
          <w:lang w:val="de-DE"/>
        </w:rPr>
      </w:pPr>
      <w:r w:rsidRPr="00C83DF5">
        <w:rPr>
          <w:lang w:val="de-DE"/>
        </w:rPr>
        <w:t>Zwischen dem 1. November 2013 und dem 30. Juni 2014 bietet Microsoft Kunden, die einen bestimmten Schwellenwert für im Voraus einzugehende Finanzielle Verpflichtungen erreichen, drei Arten von Promotion-Gutschriften im Zusammenhang mit Finanziellen Verpflichtungen:</w:t>
      </w:r>
      <w:r w:rsidR="00E71F46" w:rsidRPr="00C83DF5">
        <w:rPr>
          <w:lang w:val="de-DE"/>
        </w:rPr>
        <w:t xml:space="preserve"> </w:t>
      </w:r>
    </w:p>
    <w:p w:rsidR="00505713" w:rsidRPr="00C83DF5" w:rsidRDefault="00505713" w:rsidP="00505713">
      <w:pPr>
        <w:pStyle w:val="ListParagraph"/>
        <w:numPr>
          <w:ilvl w:val="0"/>
          <w:numId w:val="143"/>
        </w:numPr>
        <w:spacing w:after="120" w:line="276" w:lineRule="auto"/>
        <w:rPr>
          <w:lang w:val="de-DE"/>
        </w:rPr>
      </w:pPr>
      <w:r w:rsidRPr="00C83DF5">
        <w:rPr>
          <w:rFonts w:ascii="Tahoma" w:hAnsi="Tahoma" w:cs="Tahoma"/>
          <w:sz w:val="18"/>
          <w:lang w:val="de-DE"/>
        </w:rPr>
        <w:t>Bei einer finanziellen Verpflichtung im Voraus ab 50.000 US-Dollar besteht Anspruch auf eine zusätzliche Promotion-Gutschrift in Höhe von 2.500 US-Dollar im Zusammenhang mit finanziellen Verpflichtungen.</w:t>
      </w:r>
    </w:p>
    <w:p w:rsidR="00505713" w:rsidRPr="00C83DF5" w:rsidRDefault="00505713" w:rsidP="00505713">
      <w:pPr>
        <w:pStyle w:val="ListParagraph"/>
        <w:numPr>
          <w:ilvl w:val="0"/>
          <w:numId w:val="143"/>
        </w:numPr>
        <w:spacing w:after="120" w:line="276" w:lineRule="auto"/>
        <w:rPr>
          <w:lang w:val="de-DE"/>
        </w:rPr>
      </w:pPr>
      <w:r w:rsidRPr="00C83DF5">
        <w:rPr>
          <w:rFonts w:ascii="Tahoma" w:hAnsi="Tahoma" w:cs="Tahoma"/>
          <w:sz w:val="18"/>
          <w:lang w:val="de-DE"/>
        </w:rPr>
        <w:t>Bei einer finanziellen Verpflichtung im Voraus ab 100.000 US-Dollar besteht Anspruch auf eine zusätzliche Promotion-Gutschrift in Höhe von 8.000 US-Dollar im Zusammenhang mit finanziellen Verpflichtungen.</w:t>
      </w:r>
    </w:p>
    <w:p w:rsidR="00505713" w:rsidRPr="00C83DF5" w:rsidRDefault="00505713" w:rsidP="00505713">
      <w:pPr>
        <w:pStyle w:val="ListParagraph"/>
        <w:numPr>
          <w:ilvl w:val="0"/>
          <w:numId w:val="143"/>
        </w:numPr>
        <w:spacing w:after="120" w:line="276" w:lineRule="auto"/>
        <w:rPr>
          <w:lang w:val="de-DE"/>
        </w:rPr>
      </w:pPr>
      <w:r w:rsidRPr="00C83DF5">
        <w:rPr>
          <w:rFonts w:ascii="Tahoma" w:hAnsi="Tahoma" w:cs="Tahoma"/>
          <w:sz w:val="18"/>
          <w:lang w:val="de-DE"/>
        </w:rPr>
        <w:t>Bei einer finanziellen Verpflichtung im Voraus ab 200.000 US-Dollar besteht Anspruch auf eine zusätzliche Promotion-Gutschrift in Höhe von 20.000 US-Dollar im Zusammenhang mit finanziellen Verpflichtungen.</w:t>
      </w:r>
    </w:p>
    <w:p w:rsidR="00505713" w:rsidRPr="00C83DF5" w:rsidRDefault="00505713" w:rsidP="004964BB">
      <w:pPr>
        <w:spacing w:after="120" w:line="276" w:lineRule="auto"/>
        <w:rPr>
          <w:lang w:val="de-DE"/>
        </w:rPr>
      </w:pPr>
      <w:r w:rsidRPr="00C83DF5">
        <w:rPr>
          <w:lang w:val="de-DE"/>
        </w:rPr>
        <w:t>Kunden dürfen diese Werbeangebote nicht kombinieren, um sich für zusätzliche Gutschriften zu qualifizieren.</w:t>
      </w:r>
      <w:r w:rsidR="00E71F46" w:rsidRPr="00C83DF5">
        <w:rPr>
          <w:lang w:val="de-DE"/>
        </w:rPr>
        <w:t xml:space="preserve"> </w:t>
      </w:r>
      <w:r w:rsidRPr="00C83DF5">
        <w:rPr>
          <w:lang w:val="de-DE"/>
        </w:rPr>
        <w:t>Kunden, die sich zu 150.000 US-Dollar im Voraus verpflichten, haben weiterhin nur Anspruch auf die Promotion-Gutschrift in Höhe von 8.000 US-Dollar; ebenso haben Kunden, die sich zu 300.000 US-Dollar verpflichten, nur Anspruch auf die Promotion-Gutschrift in Höhe von 20.000 US-Dollar.</w:t>
      </w:r>
      <w:r w:rsidR="00E71F46" w:rsidRPr="00C83DF5">
        <w:rPr>
          <w:lang w:val="de-DE"/>
        </w:rPr>
        <w:t xml:space="preserve"> </w:t>
      </w:r>
      <w:r w:rsidRPr="00C83DF5">
        <w:rPr>
          <w:lang w:val="de-DE"/>
        </w:rPr>
        <w:t>Alle Promotion-Gutschriften im Zusammenhang mit finanziellen Verpflichtungen werden dem Konto des Kunden für die Finanzielle Verpflichtung im Rahmen des EA</w:t>
      </w:r>
      <w:r w:rsidR="004964BB" w:rsidRPr="00C83DF5">
        <w:rPr>
          <w:lang w:val="de-DE"/>
        </w:rPr>
        <w:t> </w:t>
      </w:r>
      <w:r w:rsidRPr="00C83DF5">
        <w:rPr>
          <w:lang w:val="de-DE"/>
        </w:rPr>
        <w:t>hinzugefügt, sobald das Kundenpreisblatt mit den entsprechenden SKUs der Promotion-Gutschriften und dem zugehörigen, im Voraus erfolgenden Erwerb von Finanziellen Verpflichtungen verarbeitet wird.</w:t>
      </w:r>
      <w:r w:rsidR="00E71F46" w:rsidRPr="00C83DF5">
        <w:rPr>
          <w:lang w:val="de-DE"/>
        </w:rPr>
        <w:t xml:space="preserve"> </w:t>
      </w:r>
      <w:r w:rsidRPr="00C83DF5">
        <w:rPr>
          <w:lang w:val="de-DE"/>
        </w:rPr>
        <w:t xml:space="preserve">Dieses Angebot ist für Kunden der EA-, EAS-, EAP-, EWA- und zukünftigen SCE-Programme verfügbar. </w:t>
      </w:r>
    </w:p>
    <w:p w:rsidR="00505713" w:rsidRPr="00C83DF5" w:rsidRDefault="00505713" w:rsidP="00505713">
      <w:pPr>
        <w:rPr>
          <w:lang w:val="de-DE"/>
        </w:rPr>
      </w:pPr>
    </w:p>
    <w:p w:rsidR="00266CF2" w:rsidRPr="00C83DF5" w:rsidRDefault="00266CF2" w:rsidP="00505713">
      <w:pPr>
        <w:rPr>
          <w:lang w:val="de-DE"/>
        </w:rPr>
      </w:pPr>
    </w:p>
    <w:p w:rsidR="00266CF2" w:rsidRPr="00C83DF5" w:rsidRDefault="00266CF2" w:rsidP="00505713">
      <w:pPr>
        <w:rPr>
          <w:lang w:val="de-DE"/>
        </w:rPr>
      </w:pPr>
    </w:p>
    <w:p w:rsidR="00505713" w:rsidRPr="00F037D5" w:rsidRDefault="00505713" w:rsidP="00505713">
      <w:pPr>
        <w:pStyle w:val="Heading2"/>
        <w:spacing w:after="120"/>
        <w:ind w:left="0"/>
        <w:rPr>
          <w:rFonts w:ascii="Tahoma" w:eastAsia="Times New Roman" w:hAnsi="Tahoma" w:cs="Tahoma"/>
          <w:color w:val="FF9429"/>
          <w:lang w:val="de-DE"/>
        </w:rPr>
      </w:pPr>
      <w:bookmarkStart w:id="587" w:name="_Toc370983293"/>
      <w:r w:rsidRPr="00F037D5">
        <w:rPr>
          <w:rFonts w:ascii="Tahoma" w:eastAsia="Times New Roman" w:hAnsi="Tahoma" w:cs="Tahoma"/>
          <w:color w:val="FF9429"/>
          <w:lang w:val="de-DE"/>
        </w:rPr>
        <w:lastRenderedPageBreak/>
        <w:t>Promotion für Visual Studio Test Pro mit MSDN</w:t>
      </w:r>
      <w:bookmarkEnd w:id="587"/>
    </w:p>
    <w:p w:rsidR="00505713" w:rsidRPr="00F037D5" w:rsidRDefault="00505713" w:rsidP="00266CF2">
      <w:pPr>
        <w:rPr>
          <w:lang w:val="de-DE"/>
        </w:rPr>
      </w:pPr>
      <w:r w:rsidRPr="00F037D5">
        <w:rPr>
          <w:lang w:val="de-DE"/>
        </w:rPr>
        <w:t>Zwischen dem 1. Oktober 2013 und dem 30. Juni 2014 bietet Microsoft Kunden, die Visual Studio 2013 Test Pro mit</w:t>
      </w:r>
      <w:r w:rsidR="00266CF2" w:rsidRPr="00F037D5">
        <w:rPr>
          <w:lang w:val="de-DE"/>
        </w:rPr>
        <w:t> </w:t>
      </w:r>
      <w:r w:rsidRPr="00F037D5">
        <w:rPr>
          <w:lang w:val="de-DE"/>
        </w:rPr>
        <w:t>MSDN über Konzern-Volumenlizenzprogramme erwerben, 35</w:t>
      </w:r>
      <w:r w:rsidR="00855C44">
        <w:rPr>
          <w:lang w:val="de-DE"/>
        </w:rPr>
        <w:t>%</w:t>
      </w:r>
      <w:r w:rsidRPr="00F037D5">
        <w:rPr>
          <w:lang w:val="de-DE"/>
        </w:rPr>
        <w:t xml:space="preserve"> Ermäßigung.</w:t>
      </w:r>
      <w:r w:rsidR="00E71F46" w:rsidRPr="00F037D5">
        <w:rPr>
          <w:lang w:val="de-DE"/>
        </w:rPr>
        <w:t xml:space="preserve"> </w:t>
      </w:r>
      <w:r w:rsidRPr="00F037D5">
        <w:rPr>
          <w:lang w:val="de-DE"/>
        </w:rPr>
        <w:t>Diese Angebot gilt nur für den Neuerwerb und steht Kunden der EA-, EAP-, Select Plus- und Open Value-Programme zur Verfügung. Zu den Zielkundensegmenten gehören EPG Commercial, SMS&amp;P Corporate Accounts und Verwaltung.</w:t>
      </w:r>
    </w:p>
    <w:p w:rsidR="00505713" w:rsidRPr="00C83DF5" w:rsidRDefault="00505713" w:rsidP="00505713">
      <w:pPr>
        <w:rPr>
          <w:lang w:val="de-DE"/>
        </w:rPr>
      </w:pPr>
    </w:p>
    <w:p w:rsidR="00505713" w:rsidRPr="00C83DF5" w:rsidRDefault="00505713" w:rsidP="00505713">
      <w:pPr>
        <w:rPr>
          <w:lang w:val="de-DE"/>
        </w:rPr>
      </w:pPr>
    </w:p>
    <w:p w:rsidR="00505713" w:rsidRPr="00F037D5" w:rsidRDefault="00505713" w:rsidP="00505713">
      <w:pPr>
        <w:pStyle w:val="Heading2"/>
        <w:spacing w:after="120"/>
        <w:ind w:left="0"/>
        <w:rPr>
          <w:rFonts w:ascii="Tahoma" w:eastAsia="Times New Roman" w:hAnsi="Tahoma" w:cs="Tahoma"/>
          <w:color w:val="FF9429"/>
          <w:lang w:val="de-DE"/>
        </w:rPr>
      </w:pPr>
      <w:bookmarkStart w:id="588" w:name="_Toc370983294"/>
      <w:r w:rsidRPr="00F037D5">
        <w:rPr>
          <w:rFonts w:ascii="Tahoma" w:eastAsia="Times New Roman" w:hAnsi="Tahoma" w:cs="Tahoma"/>
          <w:color w:val="FF9429"/>
          <w:lang w:val="de-DE"/>
        </w:rPr>
        <w:t>Starthilfe für Server- und Cloud-Beitritt GJ 2014</w:t>
      </w:r>
      <w:bookmarkEnd w:id="588"/>
    </w:p>
    <w:p w:rsidR="00505713" w:rsidRPr="00C83DF5" w:rsidRDefault="00505713" w:rsidP="00266CF2">
      <w:pPr>
        <w:rPr>
          <w:lang w:val="de-DE"/>
        </w:rPr>
      </w:pPr>
      <w:r w:rsidRPr="00F037D5">
        <w:rPr>
          <w:lang w:val="de-DE"/>
        </w:rPr>
        <w:t>Zwischen dem 1. November 2013 und dem 30. Juni 2014 bietet Microsoft Kunden, die L&amp;SA oder auch nur SA für Core Infrastructure Suite Data Center über Konzern-Volumenlizenzprogramme erwerben, 15</w:t>
      </w:r>
      <w:r w:rsidR="00855C44">
        <w:rPr>
          <w:lang w:val="de-DE"/>
        </w:rPr>
        <w:t>%</w:t>
      </w:r>
      <w:r w:rsidRPr="00F037D5">
        <w:rPr>
          <w:lang w:val="de-DE"/>
        </w:rPr>
        <w:t xml:space="preserve"> Ermäßigung.</w:t>
      </w:r>
      <w:r w:rsidR="00E71F46" w:rsidRPr="00F037D5">
        <w:rPr>
          <w:lang w:val="de-DE"/>
        </w:rPr>
        <w:t xml:space="preserve"> </w:t>
      </w:r>
      <w:r w:rsidRPr="00C83DF5">
        <w:rPr>
          <w:lang w:val="de-DE"/>
        </w:rPr>
        <w:t>Diese</w:t>
      </w:r>
      <w:r w:rsidR="00266CF2" w:rsidRPr="00C83DF5">
        <w:rPr>
          <w:lang w:val="de-DE"/>
        </w:rPr>
        <w:t> </w:t>
      </w:r>
      <w:r w:rsidRPr="00C83DF5">
        <w:rPr>
          <w:lang w:val="de-DE"/>
        </w:rPr>
        <w:t xml:space="preserve">Angebot ist auf den Neuerwerb beschränkt und steht Kunden aller Kundensegmente über das Server- und Cloud-Beitrittsprogramm zur Verfügung. </w:t>
      </w:r>
    </w:p>
    <w:p w:rsidR="00505713" w:rsidRPr="00C83DF5" w:rsidRDefault="00505713" w:rsidP="00505713">
      <w:pPr>
        <w:rPr>
          <w:lang w:val="de-DE"/>
        </w:rPr>
      </w:pPr>
    </w:p>
    <w:p w:rsidR="00505713" w:rsidRPr="00C83DF5" w:rsidRDefault="00505713" w:rsidP="00505713">
      <w:pPr>
        <w:rPr>
          <w:lang w:val="de-DE"/>
        </w:rPr>
      </w:pPr>
    </w:p>
    <w:p w:rsidR="00505713" w:rsidRPr="00F037D5" w:rsidRDefault="00505713" w:rsidP="00505713">
      <w:pPr>
        <w:pStyle w:val="Heading2"/>
        <w:spacing w:after="120"/>
        <w:ind w:left="0"/>
        <w:rPr>
          <w:rFonts w:ascii="Tahoma" w:eastAsia="Times New Roman" w:hAnsi="Tahoma" w:cs="Tahoma"/>
          <w:color w:val="FF9429"/>
          <w:lang w:val="de-DE"/>
        </w:rPr>
      </w:pPr>
      <w:bookmarkStart w:id="589" w:name="_Toc370983295"/>
      <w:r w:rsidRPr="00F037D5">
        <w:rPr>
          <w:rFonts w:ascii="Tahoma" w:eastAsia="Times New Roman" w:hAnsi="Tahoma" w:cs="Tahoma"/>
          <w:color w:val="FF9429"/>
          <w:lang w:val="de-DE"/>
        </w:rPr>
        <w:t>Projekt- und Portfoliomanagement im Rahmen der Cloud-Promotion</w:t>
      </w:r>
      <w:bookmarkEnd w:id="589"/>
    </w:p>
    <w:p w:rsidR="00505713" w:rsidRPr="00F037D5" w:rsidRDefault="00505713" w:rsidP="00CA1594">
      <w:pPr>
        <w:rPr>
          <w:lang w:val="de-DE"/>
        </w:rPr>
      </w:pPr>
      <w:r w:rsidRPr="00F037D5">
        <w:rPr>
          <w:lang w:val="de-DE"/>
        </w:rPr>
        <w:t>Zwischen dem 1. Oktober 2013 und dem 31. März 2014 bietet Microsoft Kunden, die Project Online und Project</w:t>
      </w:r>
      <w:r w:rsidR="00CA1594" w:rsidRPr="00F037D5">
        <w:rPr>
          <w:lang w:val="de-DE"/>
        </w:rPr>
        <w:t> </w:t>
      </w:r>
      <w:r w:rsidRPr="00F037D5">
        <w:rPr>
          <w:lang w:val="de-DE"/>
        </w:rPr>
        <w:t>Online mit Project Pro für Office365 über Konzern-Volumenlizenzprogramme oder das Microsoft Online Services-Portal erwerben, bis zu 25</w:t>
      </w:r>
      <w:r w:rsidR="00855C44">
        <w:rPr>
          <w:lang w:val="de-DE"/>
        </w:rPr>
        <w:t>%</w:t>
      </w:r>
      <w:r w:rsidRPr="00F037D5">
        <w:rPr>
          <w:lang w:val="de-DE"/>
        </w:rPr>
        <w:t xml:space="preserve"> Ermäßigung.</w:t>
      </w:r>
      <w:r w:rsidR="00E71F46" w:rsidRPr="00F037D5">
        <w:rPr>
          <w:lang w:val="de-DE"/>
        </w:rPr>
        <w:t xml:space="preserve"> </w:t>
      </w:r>
      <w:r w:rsidRPr="00C83DF5">
        <w:rPr>
          <w:lang w:val="de-DE"/>
        </w:rPr>
        <w:t>Dieses Angebot gilt für Kunden mit einer Organisationsgröße von</w:t>
      </w:r>
      <w:r w:rsidR="00CA1594" w:rsidRPr="00C83DF5">
        <w:rPr>
          <w:lang w:val="de-DE"/>
        </w:rPr>
        <w:t> </w:t>
      </w:r>
      <w:r w:rsidRPr="00C83DF5">
        <w:rPr>
          <w:lang w:val="de-DE"/>
        </w:rPr>
        <w:t xml:space="preserve">mindestens 200 Arbeitsplätzen. </w:t>
      </w:r>
      <w:r w:rsidRPr="00F037D5">
        <w:rPr>
          <w:lang w:val="de-DE"/>
        </w:rPr>
        <w:t>Dieses Angebot steht Kunden der EA-, EAS- und MOSP-Programme zur Verfügung. Zu den Zielkundensegmenten gehören EPG Commercial und SMS&amp;P Commercial.</w:t>
      </w:r>
    </w:p>
    <w:p w:rsidR="00676723" w:rsidRPr="00C83DF5" w:rsidRDefault="00676723" w:rsidP="005D753D">
      <w:pPr>
        <w:spacing w:after="120" w:line="276" w:lineRule="auto"/>
        <w:rPr>
          <w:lang w:val="de-DE"/>
        </w:rPr>
      </w:pPr>
      <w:r w:rsidRPr="00C83DF5">
        <w:rPr>
          <w:color w:val="000000" w:themeColor="text1"/>
          <w:szCs w:val="18"/>
          <w:lang w:val="de-DE"/>
        </w:rPr>
        <w:br w:type="page"/>
      </w:r>
    </w:p>
    <w:p w:rsidR="00023FE7" w:rsidRPr="00F037D5" w:rsidRDefault="00714962" w:rsidP="00B0065F">
      <w:pPr>
        <w:pStyle w:val="Heading1"/>
        <w:rPr>
          <w:lang w:val="de-DE"/>
        </w:rPr>
      </w:pPr>
      <w:bookmarkStart w:id="590" w:name="_Abschnitt_3_–"/>
      <w:bookmarkStart w:id="591" w:name="_Toc336338188"/>
      <w:bookmarkStart w:id="592" w:name="_Toc370983296"/>
      <w:bookmarkEnd w:id="590"/>
      <w:r w:rsidRPr="00F037D5">
        <w:rPr>
          <w:lang w:val="de-DE"/>
        </w:rPr>
        <w:lastRenderedPageBreak/>
        <w:t>Abschnitt 3 – Bestimmungen des Volumenlizenzprogramms</w:t>
      </w:r>
      <w:bookmarkEnd w:id="591"/>
      <w:bookmarkEnd w:id="592"/>
    </w:p>
    <w:p w:rsidR="00E64551" w:rsidRPr="00F037D5" w:rsidRDefault="00E64551" w:rsidP="00456002">
      <w:pPr>
        <w:pStyle w:val="Heading3"/>
        <w:ind w:right="720"/>
        <w:rPr>
          <w:rFonts w:ascii="Tahoma" w:hAnsi="Tahoma" w:cs="Tahoma"/>
          <w:sz w:val="24"/>
          <w:szCs w:val="22"/>
          <w:lang w:val="de-DE"/>
        </w:rPr>
      </w:pPr>
      <w:bookmarkStart w:id="593" w:name="_Toc323159724"/>
    </w:p>
    <w:p w:rsidR="00456002" w:rsidRPr="00F037D5" w:rsidRDefault="00456002" w:rsidP="00171F3B">
      <w:pPr>
        <w:pStyle w:val="Heading3"/>
        <w:rPr>
          <w:rFonts w:ascii="Tahoma" w:hAnsi="Tahoma" w:cs="Tahoma"/>
          <w:sz w:val="24"/>
          <w:szCs w:val="22"/>
          <w:lang w:val="de-DE"/>
        </w:rPr>
      </w:pPr>
      <w:bookmarkStart w:id="594" w:name="_Toc336338189"/>
      <w:bookmarkStart w:id="595" w:name="_Toc370983297"/>
      <w:r w:rsidRPr="00F037D5">
        <w:rPr>
          <w:rFonts w:ascii="Tahoma" w:hAnsi="Tahoma" w:cs="Tahoma"/>
          <w:sz w:val="24"/>
          <w:szCs w:val="22"/>
          <w:lang w:val="de-DE"/>
        </w:rPr>
        <w:t>Anwendbare Volumenlizenzprogramme</w:t>
      </w:r>
      <w:bookmarkEnd w:id="594"/>
      <w:bookmarkEnd w:id="595"/>
      <w:r w:rsidRPr="00F037D5">
        <w:rPr>
          <w:rFonts w:ascii="Tahoma" w:hAnsi="Tahoma" w:cs="Tahoma"/>
          <w:sz w:val="24"/>
          <w:szCs w:val="22"/>
          <w:lang w:val="de-DE"/>
        </w:rPr>
        <w:t xml:space="preserve"> </w:t>
      </w:r>
      <w:bookmarkEnd w:id="593"/>
    </w:p>
    <w:p w:rsidR="00E64551" w:rsidRPr="00C83DF5" w:rsidRDefault="00E64551" w:rsidP="003E606C">
      <w:pPr>
        <w:rPr>
          <w:lang w:val="de-DE"/>
        </w:rPr>
      </w:pPr>
    </w:p>
    <w:p w:rsidR="00456002" w:rsidRPr="00C83DF5" w:rsidRDefault="00456002" w:rsidP="00456002">
      <w:pPr>
        <w:rPr>
          <w:lang w:val="de-DE"/>
        </w:rPr>
      </w:pPr>
      <w:r w:rsidRPr="00C83DF5">
        <w:rPr>
          <w:rFonts w:cs="Tahoma"/>
          <w:lang w:val="de-DE"/>
        </w:rPr>
        <w:t>Dieser Abschnitt gilt für die folgenden Volumenlizenzprogramme, einschließlich, sofern verfügbar, der Versionen Forschung &amp; Lehre, Charity und Verwaltung.</w:t>
      </w:r>
    </w:p>
    <w:p w:rsidR="00510F6B" w:rsidRPr="00C83DF5" w:rsidRDefault="00510F6B" w:rsidP="00456002">
      <w:pPr>
        <w:rPr>
          <w:lang w:val="de-DE"/>
        </w:rPr>
      </w:pPr>
    </w:p>
    <w:p w:rsidR="00456002" w:rsidRPr="00C83DF5" w:rsidRDefault="00456002" w:rsidP="00822871">
      <w:pPr>
        <w:numPr>
          <w:ilvl w:val="0"/>
          <w:numId w:val="19"/>
        </w:numPr>
        <w:spacing w:after="60"/>
      </w:pPr>
      <w:r w:rsidRPr="00C83DF5">
        <w:rPr>
          <w:rFonts w:cs="Tahoma"/>
        </w:rPr>
        <w:t>Open-Lizenz</w:t>
      </w:r>
    </w:p>
    <w:p w:rsidR="00456002" w:rsidRPr="00C83DF5" w:rsidRDefault="00456002" w:rsidP="00822871">
      <w:pPr>
        <w:numPr>
          <w:ilvl w:val="0"/>
          <w:numId w:val="19"/>
        </w:numPr>
        <w:spacing w:after="60"/>
      </w:pPr>
      <w:r w:rsidRPr="00C83DF5">
        <w:rPr>
          <w:rFonts w:cs="Tahoma"/>
        </w:rPr>
        <w:t xml:space="preserve">Open Value </w:t>
      </w:r>
    </w:p>
    <w:p w:rsidR="00456002" w:rsidRPr="00C83DF5" w:rsidRDefault="00456002" w:rsidP="00822871">
      <w:pPr>
        <w:numPr>
          <w:ilvl w:val="0"/>
          <w:numId w:val="19"/>
        </w:numPr>
        <w:spacing w:after="60"/>
      </w:pPr>
      <w:r w:rsidRPr="00C83DF5">
        <w:rPr>
          <w:rFonts w:cs="Tahoma"/>
        </w:rPr>
        <w:t xml:space="preserve">Open Value Subscription </w:t>
      </w:r>
    </w:p>
    <w:p w:rsidR="00456002" w:rsidRPr="00C83DF5" w:rsidRDefault="00456002" w:rsidP="00822871">
      <w:pPr>
        <w:numPr>
          <w:ilvl w:val="0"/>
          <w:numId w:val="19"/>
        </w:numPr>
        <w:spacing w:after="60"/>
      </w:pPr>
      <w:r w:rsidRPr="00C83DF5">
        <w:rPr>
          <w:rFonts w:cs="Tahoma"/>
        </w:rPr>
        <w:t xml:space="preserve">Select </w:t>
      </w:r>
    </w:p>
    <w:p w:rsidR="00456002" w:rsidRPr="00C83DF5" w:rsidRDefault="00456002" w:rsidP="00822871">
      <w:pPr>
        <w:numPr>
          <w:ilvl w:val="0"/>
          <w:numId w:val="19"/>
        </w:numPr>
        <w:spacing w:after="60"/>
      </w:pPr>
      <w:r w:rsidRPr="00C83DF5">
        <w:rPr>
          <w:rFonts w:cs="Tahoma"/>
        </w:rPr>
        <w:t xml:space="preserve">Select Plus </w:t>
      </w:r>
    </w:p>
    <w:p w:rsidR="0091793D" w:rsidRPr="00C83DF5" w:rsidRDefault="00F84FA6" w:rsidP="00822871">
      <w:pPr>
        <w:numPr>
          <w:ilvl w:val="0"/>
          <w:numId w:val="19"/>
        </w:numPr>
        <w:spacing w:after="60"/>
      </w:pPr>
      <w:r w:rsidRPr="00C83DF5">
        <w:rPr>
          <w:rFonts w:cs="Tahoma"/>
          <w:szCs w:val="18"/>
        </w:rPr>
        <w:t xml:space="preserve">Konzernbeitritt </w:t>
      </w:r>
    </w:p>
    <w:p w:rsidR="0091793D" w:rsidRPr="00C83DF5" w:rsidRDefault="00F84FA6" w:rsidP="00822871">
      <w:pPr>
        <w:numPr>
          <w:ilvl w:val="0"/>
          <w:numId w:val="19"/>
        </w:numPr>
        <w:spacing w:after="60"/>
      </w:pPr>
      <w:r w:rsidRPr="00C83DF5">
        <w:rPr>
          <w:rFonts w:cs="Tahoma"/>
          <w:szCs w:val="18"/>
        </w:rPr>
        <w:t>Konzern-Abonnement-Beitritt</w:t>
      </w:r>
    </w:p>
    <w:p w:rsidR="00892A1D" w:rsidRPr="00C83DF5" w:rsidRDefault="00892A1D" w:rsidP="00822871">
      <w:pPr>
        <w:numPr>
          <w:ilvl w:val="0"/>
          <w:numId w:val="19"/>
        </w:numPr>
        <w:spacing w:after="60"/>
      </w:pPr>
      <w:r w:rsidRPr="00C83DF5">
        <w:rPr>
          <w:rFonts w:cs="Tahoma"/>
        </w:rPr>
        <w:t>Server- und Cloud-Beitritt</w:t>
      </w:r>
    </w:p>
    <w:p w:rsidR="00B215EA" w:rsidRPr="00C83DF5" w:rsidRDefault="00B215EA" w:rsidP="00822871">
      <w:pPr>
        <w:numPr>
          <w:ilvl w:val="0"/>
          <w:numId w:val="19"/>
        </w:numPr>
        <w:spacing w:after="60"/>
      </w:pPr>
      <w:r w:rsidRPr="00C83DF5">
        <w:rPr>
          <w:rFonts w:cs="Tahoma"/>
          <w:szCs w:val="18"/>
        </w:rPr>
        <w:t>Campus- und School-Vertrag</w:t>
      </w:r>
    </w:p>
    <w:p w:rsidR="0091793D" w:rsidRPr="00C83DF5" w:rsidRDefault="0091793D" w:rsidP="0091793D">
      <w:pPr>
        <w:pStyle w:val="Heading3"/>
        <w:ind w:right="720"/>
        <w:rPr>
          <w:rFonts w:ascii="Tahoma" w:hAnsi="Tahoma" w:cs="Tahoma"/>
          <w:b w:val="0"/>
          <w:sz w:val="18"/>
          <w:szCs w:val="22"/>
        </w:rPr>
      </w:pPr>
    </w:p>
    <w:p w:rsidR="0091793D" w:rsidRPr="00C83DF5" w:rsidRDefault="0091793D" w:rsidP="00845265">
      <w:pPr>
        <w:pStyle w:val="Heading3"/>
        <w:ind w:right="720"/>
        <w:rPr>
          <w:rFonts w:ascii="Tahoma" w:hAnsi="Tahoma" w:cs="Tahoma"/>
          <w:sz w:val="24"/>
          <w:szCs w:val="22"/>
        </w:rPr>
      </w:pPr>
      <w:bookmarkStart w:id="596" w:name="_Toc336338190"/>
      <w:bookmarkStart w:id="597" w:name="_Toc370983298"/>
      <w:r w:rsidRPr="00C83DF5">
        <w:rPr>
          <w:rFonts w:ascii="Tahoma" w:hAnsi="Tahoma" w:cs="Tahoma"/>
          <w:sz w:val="24"/>
          <w:szCs w:val="22"/>
        </w:rPr>
        <w:t>Punkte und Mindestbestellmengen</w:t>
      </w:r>
      <w:bookmarkEnd w:id="596"/>
      <w:bookmarkEnd w:id="597"/>
    </w:p>
    <w:p w:rsidR="00BA4C27" w:rsidRPr="00C83DF5" w:rsidRDefault="00BA4C27" w:rsidP="003E606C"/>
    <w:p w:rsidR="00BA4C27" w:rsidRPr="00C83DF5" w:rsidRDefault="00BA4C27" w:rsidP="00171F3B">
      <w:pPr>
        <w:pStyle w:val="AppendixBodyText"/>
        <w:rPr>
          <w:lang w:val="de-DE"/>
        </w:rPr>
      </w:pPr>
      <w:r w:rsidRPr="00C83DF5">
        <w:rPr>
          <w:rFonts w:ascii="Tahoma" w:hAnsi="Tahoma" w:cs="Tahoma"/>
          <w:sz w:val="18"/>
          <w:lang w:val="de-DE"/>
        </w:rPr>
        <w:t>Für Select, Select Plus und Open-Lizenz gilt eine „Punktzahl“, die den von Microsoft zugewiesenen Punktwert für jede</w:t>
      </w:r>
      <w:r w:rsidR="00171F3B" w:rsidRPr="00C83DF5">
        <w:rPr>
          <w:rFonts w:ascii="Tahoma" w:hAnsi="Tahoma" w:cs="Tahoma"/>
          <w:sz w:val="18"/>
          <w:lang w:val="de-DE"/>
        </w:rPr>
        <w:t> </w:t>
      </w:r>
      <w:r w:rsidRPr="00C83DF5">
        <w:rPr>
          <w:rFonts w:ascii="Tahoma" w:hAnsi="Tahoma" w:cs="Tahoma"/>
          <w:sz w:val="18"/>
          <w:lang w:val="de-DE"/>
        </w:rPr>
        <w:t>Lizenz angibt. Mit diesen Punktzahlen wird das Volumenpreislevel für den Vertrag eines Kunden berechnet. Wenn einem bestimmten Produkt die Punktzahl „0“ zugewiesen ist, bedeutet dies, dass das Produkt im angegebenen Programm angeboten wird, aber den Punktwert null hat.</w:t>
      </w:r>
      <w:r w:rsidR="00E71F46" w:rsidRPr="00C83DF5">
        <w:rPr>
          <w:rFonts w:ascii="Tahoma" w:hAnsi="Tahoma" w:cs="Tahoma"/>
          <w:sz w:val="18"/>
          <w:lang w:val="de-DE"/>
        </w:rPr>
        <w:t xml:space="preserve"> </w:t>
      </w:r>
      <w:r w:rsidRPr="00C83DF5">
        <w:rPr>
          <w:rFonts w:ascii="Tahoma" w:hAnsi="Tahoma" w:cs="Tahoma"/>
          <w:sz w:val="18"/>
          <w:lang w:val="de-DE"/>
        </w:rPr>
        <w:t>Nachfolgend ist die Zuordnung der Punktzahlen zu den Lizenzen für die Zwecke der Mindestbestellanforderung für Open/Open Value/Open Value Subscription aufgeführt:</w:t>
      </w:r>
    </w:p>
    <w:p w:rsidR="00E64551" w:rsidRPr="00F037D5" w:rsidRDefault="00E64551" w:rsidP="00E64551">
      <w:pPr>
        <w:pStyle w:val="AppendixBodyText"/>
        <w:ind w:right="720"/>
        <w:rPr>
          <w:rFonts w:ascii="Tahoma" w:hAnsi="Tahoma" w:cs="Tahoma"/>
          <w:color w:val="000000"/>
          <w:sz w:val="18"/>
          <w:szCs w:val="18"/>
          <w:highlight w:val="yellow"/>
          <w:lang w:val="de-DE" w:eastAsia="ja-JP"/>
        </w:rPr>
      </w:pPr>
    </w:p>
    <w:p w:rsidR="00456002" w:rsidRPr="00C83DF5" w:rsidRDefault="00456002" w:rsidP="00822871">
      <w:pPr>
        <w:numPr>
          <w:ilvl w:val="0"/>
          <w:numId w:val="19"/>
        </w:numPr>
        <w:spacing w:after="60"/>
      </w:pPr>
      <w:r w:rsidRPr="00C83DF5">
        <w:rPr>
          <w:rFonts w:cs="Tahoma"/>
        </w:rPr>
        <w:t xml:space="preserve">Standardlizenz: 1 Lizenz </w:t>
      </w:r>
    </w:p>
    <w:p w:rsidR="00456002" w:rsidRPr="00C83DF5" w:rsidRDefault="00456002" w:rsidP="00822871">
      <w:pPr>
        <w:numPr>
          <w:ilvl w:val="0"/>
          <w:numId w:val="19"/>
        </w:numPr>
        <w:spacing w:after="60"/>
      </w:pPr>
      <w:r w:rsidRPr="00C83DF5">
        <w:rPr>
          <w:rFonts w:cs="Tahoma"/>
        </w:rPr>
        <w:t xml:space="preserve">Upgrade: 1 Lizenz </w:t>
      </w:r>
    </w:p>
    <w:p w:rsidR="00456002" w:rsidRPr="00C83DF5" w:rsidRDefault="00456002" w:rsidP="00822871">
      <w:pPr>
        <w:numPr>
          <w:ilvl w:val="0"/>
          <w:numId w:val="19"/>
        </w:numPr>
        <w:spacing w:after="60"/>
      </w:pPr>
      <w:r w:rsidRPr="00C83DF5">
        <w:rPr>
          <w:rFonts w:cs="Tahoma"/>
        </w:rPr>
        <w:t xml:space="preserve">Software Assurance: 1 Lizenz </w:t>
      </w:r>
    </w:p>
    <w:p w:rsidR="00456002" w:rsidRPr="00C83DF5" w:rsidRDefault="00456002" w:rsidP="00822871">
      <w:pPr>
        <w:numPr>
          <w:ilvl w:val="0"/>
          <w:numId w:val="19"/>
        </w:numPr>
        <w:spacing w:after="60"/>
      </w:pPr>
      <w:r w:rsidRPr="00C83DF5">
        <w:rPr>
          <w:rFonts w:cs="Tahoma"/>
        </w:rPr>
        <w:t xml:space="preserve">Lizenz und Software Assurance: 2 Lizenzen </w:t>
      </w:r>
    </w:p>
    <w:p w:rsidR="00456002" w:rsidRPr="00C83DF5" w:rsidRDefault="00456002" w:rsidP="00822871">
      <w:pPr>
        <w:numPr>
          <w:ilvl w:val="0"/>
          <w:numId w:val="19"/>
        </w:numPr>
        <w:spacing w:after="60"/>
      </w:pPr>
      <w:r w:rsidRPr="00C83DF5">
        <w:rPr>
          <w:rFonts w:cs="Tahoma"/>
        </w:rPr>
        <w:t>Upgrade und Software Assurance: 2 Lizenzen</w:t>
      </w:r>
    </w:p>
    <w:p w:rsidR="00456002" w:rsidRPr="00C83DF5" w:rsidRDefault="00456002" w:rsidP="00822871">
      <w:pPr>
        <w:numPr>
          <w:ilvl w:val="0"/>
          <w:numId w:val="19"/>
        </w:numPr>
        <w:spacing w:after="60"/>
      </w:pPr>
      <w:r w:rsidRPr="00C83DF5">
        <w:rPr>
          <w:rFonts w:cs="Tahoma"/>
        </w:rPr>
        <w:t xml:space="preserve">Work-at-Home-Lizenz: 1 Lizenz </w:t>
      </w:r>
    </w:p>
    <w:p w:rsidR="00456002" w:rsidRPr="00C83DF5" w:rsidRDefault="00456002" w:rsidP="00822871">
      <w:pPr>
        <w:numPr>
          <w:ilvl w:val="0"/>
          <w:numId w:val="19"/>
        </w:numPr>
        <w:spacing w:after="60"/>
      </w:pPr>
      <w:r w:rsidRPr="00C83DF5">
        <w:rPr>
          <w:rFonts w:cs="Tahoma"/>
        </w:rPr>
        <w:t>Step Up-Lizenz: 1 Lizenz</w:t>
      </w:r>
    </w:p>
    <w:p w:rsidR="00456002" w:rsidRPr="00C83DF5" w:rsidRDefault="002435BA" w:rsidP="00822871">
      <w:pPr>
        <w:numPr>
          <w:ilvl w:val="0"/>
          <w:numId w:val="19"/>
        </w:numPr>
        <w:spacing w:after="60"/>
      </w:pPr>
      <w:r w:rsidRPr="00C83DF5">
        <w:rPr>
          <w:rFonts w:cs="Tahoma"/>
        </w:rPr>
        <w:t>Gebühren: 1 Lizenz</w:t>
      </w:r>
    </w:p>
    <w:p w:rsidR="00456002" w:rsidRPr="00C83DF5" w:rsidRDefault="00456002" w:rsidP="00822871">
      <w:pPr>
        <w:numPr>
          <w:ilvl w:val="0"/>
          <w:numId w:val="19"/>
        </w:numPr>
        <w:spacing w:after="60"/>
      </w:pPr>
      <w:r w:rsidRPr="00C83DF5">
        <w:rPr>
          <w:rFonts w:cs="Tahoma"/>
        </w:rPr>
        <w:t>Abonnementlizenz: 1 Lizenz</w:t>
      </w:r>
    </w:p>
    <w:p w:rsidR="00456002" w:rsidRDefault="00456002" w:rsidP="00E64551">
      <w:pPr>
        <w:pStyle w:val="Heading2"/>
        <w:ind w:left="0"/>
        <w:rPr>
          <w:rFonts w:ascii="Tahoma" w:hAnsi="Tahoma" w:cs="Tahoma"/>
          <w:b w:val="0"/>
          <w:sz w:val="18"/>
        </w:rPr>
      </w:pPr>
    </w:p>
    <w:p w:rsidR="00750F48" w:rsidRDefault="00750F48" w:rsidP="00750F48"/>
    <w:p w:rsidR="00750F48" w:rsidRDefault="00750F48" w:rsidP="00750F48"/>
    <w:p w:rsidR="00750F48" w:rsidRDefault="00750F48" w:rsidP="00750F48"/>
    <w:p w:rsidR="00750F48" w:rsidRDefault="00750F48" w:rsidP="00750F48"/>
    <w:p w:rsidR="00750F48" w:rsidRDefault="00750F48" w:rsidP="00750F48"/>
    <w:p w:rsidR="00750F48" w:rsidRDefault="00750F48" w:rsidP="00750F48"/>
    <w:p w:rsidR="00750F48" w:rsidRDefault="00750F48" w:rsidP="00750F48"/>
    <w:p w:rsidR="00750F48" w:rsidRDefault="00750F48" w:rsidP="00750F48"/>
    <w:p w:rsidR="00750F48" w:rsidRDefault="00750F48" w:rsidP="00750F48"/>
    <w:p w:rsidR="00750F48" w:rsidRDefault="00750F48" w:rsidP="00750F48"/>
    <w:p w:rsidR="00750F48" w:rsidRDefault="00750F48" w:rsidP="00750F48"/>
    <w:p w:rsidR="00750F48" w:rsidRDefault="00750F48" w:rsidP="00750F48"/>
    <w:p w:rsidR="00750F48" w:rsidRPr="00750F48" w:rsidRDefault="00750F48" w:rsidP="00750F48"/>
    <w:p w:rsidR="00E64551" w:rsidRPr="00C83DF5" w:rsidRDefault="00456002" w:rsidP="009C0DC9">
      <w:pPr>
        <w:pStyle w:val="Heading2"/>
        <w:ind w:left="0"/>
        <w:rPr>
          <w:rFonts w:ascii="Tahoma" w:hAnsi="Tahoma" w:cs="Tahoma"/>
        </w:rPr>
      </w:pPr>
      <w:bookmarkStart w:id="598" w:name="_Toc336338191"/>
      <w:bookmarkStart w:id="599" w:name="_Toc323159726"/>
      <w:bookmarkStart w:id="600" w:name="_Toc370983299"/>
      <w:r w:rsidRPr="00C83DF5">
        <w:rPr>
          <w:rFonts w:ascii="Tahoma" w:hAnsi="Tahoma" w:cs="Tahoma"/>
        </w:rPr>
        <w:lastRenderedPageBreak/>
        <w:t>Mindestbestellanforderungen</w:t>
      </w:r>
      <w:bookmarkEnd w:id="598"/>
      <w:bookmarkEnd w:id="600"/>
    </w:p>
    <w:bookmarkEnd w:id="599"/>
    <w:p w:rsidR="00456002" w:rsidRPr="00C83DF5" w:rsidRDefault="00456002" w:rsidP="00456002">
      <w:pPr>
        <w:rPr>
          <w:rFonts w:cs="Tahoma"/>
          <w:lang w:eastAsia="ja-JP"/>
        </w:rPr>
      </w:pPr>
    </w:p>
    <w:tbl>
      <w:tblPr>
        <w:tblW w:w="936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68"/>
        <w:gridCol w:w="6901"/>
      </w:tblGrid>
      <w:tr w:rsidR="00456002" w:rsidRPr="00C83DF5" w:rsidTr="003C68AA">
        <w:trPr>
          <w:tblHeader/>
        </w:trPr>
        <w:tc>
          <w:tcPr>
            <w:tcW w:w="2468" w:type="dxa"/>
            <w:shd w:val="clear" w:color="auto" w:fill="FABF8F"/>
          </w:tcPr>
          <w:p w:rsidR="00456002" w:rsidRPr="00C83DF5" w:rsidRDefault="00456002" w:rsidP="005C647E">
            <w:pPr>
              <w:pStyle w:val="AppendixBodyText"/>
              <w:ind w:right="720"/>
              <w:jc w:val="center"/>
              <w:rPr>
                <w:rFonts w:ascii="Tahoma" w:hAnsi="Tahoma" w:cs="Tahoma"/>
                <w:b/>
                <w:color w:val="000000"/>
                <w:sz w:val="22"/>
                <w:szCs w:val="18"/>
                <w:lang w:eastAsia="ja-JP"/>
              </w:rPr>
            </w:pPr>
            <w:r w:rsidRPr="00C83DF5">
              <w:rPr>
                <w:rFonts w:ascii="Tahoma" w:hAnsi="Tahoma" w:cs="Tahoma"/>
                <w:b/>
                <w:color w:val="000000"/>
                <w:sz w:val="22"/>
                <w:szCs w:val="18"/>
              </w:rPr>
              <w:t>Programme</w:t>
            </w:r>
          </w:p>
        </w:tc>
        <w:tc>
          <w:tcPr>
            <w:tcW w:w="6901" w:type="dxa"/>
            <w:shd w:val="clear" w:color="auto" w:fill="FABF8F"/>
          </w:tcPr>
          <w:p w:rsidR="00456002" w:rsidRPr="00C83DF5" w:rsidRDefault="00456002" w:rsidP="005C647E">
            <w:pPr>
              <w:pStyle w:val="AppendixBodyText"/>
              <w:ind w:right="720"/>
              <w:jc w:val="center"/>
              <w:rPr>
                <w:rFonts w:ascii="Tahoma" w:hAnsi="Tahoma" w:cs="Tahoma"/>
                <w:b/>
                <w:color w:val="000000"/>
                <w:sz w:val="22"/>
                <w:szCs w:val="18"/>
                <w:lang w:eastAsia="ja-JP"/>
              </w:rPr>
            </w:pPr>
            <w:r w:rsidRPr="00C83DF5">
              <w:rPr>
                <w:rFonts w:ascii="Tahoma" w:hAnsi="Tahoma" w:cs="Tahoma"/>
                <w:b/>
                <w:color w:val="000000"/>
                <w:sz w:val="22"/>
                <w:szCs w:val="18"/>
              </w:rPr>
              <w:t>Mindestbestellanforderungen</w:t>
            </w:r>
          </w:p>
        </w:tc>
      </w:tr>
      <w:tr w:rsidR="00456002" w:rsidRPr="004D388E" w:rsidTr="003C68AA">
        <w:tc>
          <w:tcPr>
            <w:tcW w:w="2468" w:type="dxa"/>
            <w:shd w:val="clear" w:color="auto" w:fill="auto"/>
          </w:tcPr>
          <w:p w:rsidR="00456002" w:rsidRPr="00C83DF5" w:rsidRDefault="00456002" w:rsidP="006F15F5">
            <w:pPr>
              <w:pStyle w:val="AppendixBodyText"/>
              <w:spacing w:before="60"/>
              <w:ind w:right="-88"/>
              <w:rPr>
                <w:rFonts w:ascii="Tahoma" w:hAnsi="Tahoma" w:cs="Tahoma"/>
                <w:b/>
                <w:color w:val="000000"/>
                <w:sz w:val="18"/>
                <w:szCs w:val="18"/>
                <w:lang w:eastAsia="ja-JP"/>
              </w:rPr>
            </w:pPr>
            <w:r w:rsidRPr="00C83DF5">
              <w:rPr>
                <w:rFonts w:ascii="Tahoma" w:hAnsi="Tahoma" w:cs="Tahoma"/>
                <w:b/>
                <w:color w:val="000000"/>
                <w:szCs w:val="18"/>
              </w:rPr>
              <w:t>Open-Lizenz, Open Value und Open Value Subscription (Commercial und Verwaltung)</w:t>
            </w:r>
          </w:p>
        </w:tc>
        <w:tc>
          <w:tcPr>
            <w:tcW w:w="6901" w:type="dxa"/>
            <w:shd w:val="clear" w:color="auto" w:fill="auto"/>
          </w:tcPr>
          <w:p w:rsidR="00456002" w:rsidRPr="00C83DF5" w:rsidRDefault="004B6D8C" w:rsidP="00A70464">
            <w:pPr>
              <w:pStyle w:val="AppendixBodyText"/>
              <w:spacing w:before="60"/>
              <w:ind w:right="720"/>
              <w:rPr>
                <w:lang w:val="de-DE"/>
              </w:rPr>
            </w:pPr>
            <w:r w:rsidRPr="00C83DF5">
              <w:rPr>
                <w:rFonts w:ascii="Tahoma" w:hAnsi="Tahoma" w:cs="Tahoma"/>
                <w:b/>
                <w:sz w:val="18"/>
                <w:lang w:val="de-DE"/>
              </w:rPr>
              <w:t>Open-Lizenz</w:t>
            </w:r>
          </w:p>
          <w:p w:rsidR="00456002" w:rsidRPr="00C83DF5" w:rsidRDefault="00456002" w:rsidP="00750F48">
            <w:pPr>
              <w:pStyle w:val="AppendixBodyText"/>
              <w:ind w:right="18"/>
              <w:rPr>
                <w:lang w:val="de-DE"/>
              </w:rPr>
            </w:pPr>
            <w:r w:rsidRPr="00C83DF5">
              <w:rPr>
                <w:rFonts w:ascii="Tahoma" w:hAnsi="Tahoma" w:cs="Tahoma"/>
                <w:sz w:val="18"/>
                <w:lang w:val="de-DE"/>
              </w:rPr>
              <w:t>Für Open-Lizenz ist eine Mindestbestellung von 5 Lizenzen, 5 SA oder eine Kombination aus beidem erforderlich, um eine Autorisierungsnummer zu erhalten.</w:t>
            </w:r>
            <w:r w:rsidR="00E71F46" w:rsidRPr="00C83DF5">
              <w:rPr>
                <w:rFonts w:ascii="Tahoma" w:hAnsi="Tahoma" w:cs="Tahoma"/>
                <w:sz w:val="18"/>
                <w:lang w:val="de-DE"/>
              </w:rPr>
              <w:t xml:space="preserve"> </w:t>
            </w:r>
            <w:r w:rsidRPr="00C83DF5">
              <w:rPr>
                <w:rFonts w:ascii="Tahoma" w:hAnsi="Tahoma" w:cs="Tahoma"/>
                <w:sz w:val="18"/>
                <w:lang w:val="de-DE"/>
              </w:rPr>
              <w:t>Beispiel: 2 Lizenzen und Software Assurance und 1 Standardlizenz würden die für die Teilnahme an einem der Programme erforderliche Mindestbestellmenge von 5</w:t>
            </w:r>
            <w:r w:rsidR="00750F48">
              <w:rPr>
                <w:rFonts w:ascii="Tahoma" w:hAnsi="Tahoma" w:cs="Tahoma"/>
                <w:sz w:val="18"/>
                <w:lang w:val="de-DE"/>
              </w:rPr>
              <w:t> </w:t>
            </w:r>
            <w:r w:rsidRPr="00C83DF5">
              <w:rPr>
                <w:rFonts w:ascii="Tahoma" w:hAnsi="Tahoma" w:cs="Tahoma"/>
                <w:sz w:val="18"/>
                <w:lang w:val="de-DE"/>
              </w:rPr>
              <w:t xml:space="preserve">Lizenzen erfüllen. </w:t>
            </w:r>
          </w:p>
          <w:p w:rsidR="00456002" w:rsidRPr="00750F48" w:rsidRDefault="00456002" w:rsidP="006F15F5">
            <w:pPr>
              <w:pStyle w:val="AppendixBodyText"/>
              <w:spacing w:after="0"/>
              <w:ind w:right="18"/>
              <w:rPr>
                <w:rFonts w:ascii="Tahoma" w:hAnsi="Tahoma" w:cs="Tahoma"/>
                <w:sz w:val="18"/>
                <w:lang w:val="de-DE" w:eastAsia="ja-JP"/>
              </w:rPr>
            </w:pPr>
          </w:p>
          <w:p w:rsidR="004B6D8C" w:rsidRPr="00C83DF5" w:rsidRDefault="00456002" w:rsidP="006F15F5">
            <w:pPr>
              <w:pStyle w:val="AppendixBodyText"/>
              <w:ind w:right="18"/>
            </w:pPr>
            <w:r w:rsidRPr="00C83DF5">
              <w:rPr>
                <w:rFonts w:ascii="Tahoma" w:hAnsi="Tahoma" w:cs="Tahoma"/>
                <w:b/>
                <w:sz w:val="18"/>
              </w:rPr>
              <w:t>Open Value und Open Value Subscription</w:t>
            </w:r>
          </w:p>
          <w:p w:rsidR="00456002" w:rsidRPr="00C83DF5" w:rsidRDefault="00456002" w:rsidP="00750F48">
            <w:pPr>
              <w:pStyle w:val="AppendixBodyText"/>
              <w:ind w:right="-9"/>
              <w:rPr>
                <w:lang w:val="de-DE"/>
              </w:rPr>
            </w:pPr>
            <w:r w:rsidRPr="00C83DF5">
              <w:rPr>
                <w:rFonts w:ascii="Tahoma" w:hAnsi="Tahoma" w:cs="Tahoma"/>
                <w:sz w:val="18"/>
                <w:lang w:val="de-DE"/>
              </w:rPr>
              <w:t>Für Open Value-Lizenz ist eine Mindestbestellung von 5 U&amp;SA, 5 L&amp;SA, 5 SA, 5</w:t>
            </w:r>
            <w:r w:rsidR="006F15F5" w:rsidRPr="00C83DF5">
              <w:rPr>
                <w:rFonts w:ascii="Tahoma" w:hAnsi="Tahoma" w:cs="Tahoma"/>
                <w:sz w:val="18"/>
                <w:lang w:val="de-DE"/>
              </w:rPr>
              <w:t> </w:t>
            </w:r>
            <w:r w:rsidRPr="00C83DF5">
              <w:rPr>
                <w:rFonts w:ascii="Tahoma" w:hAnsi="Tahoma" w:cs="Tahoma"/>
                <w:sz w:val="18"/>
                <w:lang w:val="de-DE"/>
              </w:rPr>
              <w:t>Abonnementlizenzen oder eine Kombination daraus erforderlich, um einen Vertrag</w:t>
            </w:r>
            <w:r w:rsidR="006F15F5" w:rsidRPr="00C83DF5">
              <w:rPr>
                <w:rFonts w:ascii="Tahoma" w:hAnsi="Tahoma" w:cs="Tahoma"/>
                <w:sz w:val="18"/>
                <w:lang w:val="de-DE"/>
              </w:rPr>
              <w:t> </w:t>
            </w:r>
            <w:r w:rsidRPr="00C83DF5">
              <w:rPr>
                <w:rFonts w:ascii="Tahoma" w:hAnsi="Tahoma" w:cs="Tahoma"/>
                <w:sz w:val="18"/>
                <w:lang w:val="de-DE"/>
              </w:rPr>
              <w:t xml:space="preserve">zu schließen. </w:t>
            </w:r>
          </w:p>
          <w:p w:rsidR="00456002" w:rsidRPr="00C83DF5" w:rsidRDefault="00456002" w:rsidP="00750F48">
            <w:pPr>
              <w:pStyle w:val="AppendixBodyText"/>
              <w:spacing w:after="0"/>
              <w:ind w:right="-9"/>
              <w:rPr>
                <w:lang w:val="de-DE"/>
              </w:rPr>
            </w:pPr>
          </w:p>
          <w:p w:rsidR="00456002" w:rsidRPr="00C83DF5" w:rsidRDefault="00456002" w:rsidP="00750F48">
            <w:pPr>
              <w:pStyle w:val="AppendixBodyText"/>
              <w:spacing w:after="0"/>
              <w:ind w:right="-9"/>
              <w:rPr>
                <w:lang w:val="de-DE"/>
              </w:rPr>
            </w:pPr>
            <w:r w:rsidRPr="00C83DF5">
              <w:rPr>
                <w:rFonts w:ascii="Tahoma" w:hAnsi="Tahoma" w:cs="Tahoma"/>
                <w:b/>
                <w:sz w:val="18"/>
                <w:lang w:val="de-DE"/>
              </w:rPr>
              <w:t>Anmerkung:</w:t>
            </w:r>
            <w:r w:rsidRPr="00C83DF5">
              <w:rPr>
                <w:rFonts w:ascii="Tahoma" w:hAnsi="Tahoma" w:cs="Tahoma"/>
                <w:sz w:val="18"/>
                <w:lang w:val="de-DE"/>
              </w:rPr>
              <w:t xml:space="preserve"> Für bestimmte Produkte in Open und Open Value genügt eine einzelne Lizenz der Mindestanforderung von 5 Lizenzen.</w:t>
            </w:r>
            <w:r w:rsidR="00E71F46" w:rsidRPr="00C83DF5">
              <w:rPr>
                <w:rFonts w:ascii="Tahoma" w:hAnsi="Tahoma" w:cs="Tahoma"/>
                <w:sz w:val="18"/>
                <w:lang w:val="de-DE"/>
              </w:rPr>
              <w:t xml:space="preserve"> </w:t>
            </w:r>
            <w:r w:rsidRPr="00C83DF5">
              <w:rPr>
                <w:rFonts w:ascii="Tahoma" w:hAnsi="Tahoma" w:cs="Tahoma"/>
                <w:sz w:val="18"/>
                <w:lang w:val="de-DE"/>
              </w:rPr>
              <w:t>Welche Produkte für diese</w:t>
            </w:r>
            <w:r w:rsidR="006F15F5" w:rsidRPr="00C83DF5">
              <w:rPr>
                <w:rFonts w:ascii="Tahoma" w:hAnsi="Tahoma" w:cs="Tahoma"/>
                <w:sz w:val="18"/>
                <w:lang w:val="de-DE"/>
              </w:rPr>
              <w:t> </w:t>
            </w:r>
            <w:r w:rsidRPr="00C83DF5">
              <w:rPr>
                <w:rFonts w:ascii="Tahoma" w:hAnsi="Tahoma" w:cs="Tahoma"/>
                <w:sz w:val="18"/>
                <w:lang w:val="de-DE"/>
              </w:rPr>
              <w:t>Ausnahme qualifiziert sind, erfahren Sie in den einzelnen Produkthinweisen.</w:t>
            </w:r>
          </w:p>
          <w:p w:rsidR="00A51838" w:rsidRPr="00C83DF5" w:rsidRDefault="00A51838" w:rsidP="00A51838">
            <w:pPr>
              <w:pStyle w:val="AppendixBodyText"/>
              <w:spacing w:after="0"/>
              <w:ind w:right="720"/>
              <w:rPr>
                <w:rFonts w:ascii="Tahoma" w:hAnsi="Tahoma" w:cs="Tahoma"/>
                <w:sz w:val="18"/>
                <w:lang w:val="de-DE" w:eastAsia="ja-JP"/>
              </w:rPr>
            </w:pPr>
          </w:p>
        </w:tc>
      </w:tr>
      <w:tr w:rsidR="00456002" w:rsidRPr="004D388E" w:rsidTr="003C68AA">
        <w:tc>
          <w:tcPr>
            <w:tcW w:w="2468" w:type="dxa"/>
            <w:shd w:val="clear" w:color="auto" w:fill="auto"/>
          </w:tcPr>
          <w:p w:rsidR="00456002" w:rsidRPr="00C83DF5" w:rsidRDefault="00456002" w:rsidP="00E155C0">
            <w:pPr>
              <w:pStyle w:val="AppendixBodyText"/>
              <w:spacing w:before="60"/>
              <w:rPr>
                <w:rFonts w:ascii="Tahoma" w:hAnsi="Tahoma" w:cs="Tahoma"/>
                <w:b/>
                <w:color w:val="000000"/>
                <w:szCs w:val="18"/>
                <w:lang w:eastAsia="ja-JP"/>
              </w:rPr>
            </w:pPr>
            <w:r w:rsidRPr="00C83DF5">
              <w:rPr>
                <w:rFonts w:ascii="Tahoma" w:hAnsi="Tahoma" w:cs="Tahoma"/>
                <w:b/>
                <w:color w:val="000000"/>
                <w:szCs w:val="18"/>
              </w:rPr>
              <w:t>Open Value Subscription – ES</w:t>
            </w:r>
          </w:p>
        </w:tc>
        <w:tc>
          <w:tcPr>
            <w:tcW w:w="6901" w:type="dxa"/>
            <w:shd w:val="clear" w:color="auto" w:fill="auto"/>
          </w:tcPr>
          <w:p w:rsidR="009D5C93" w:rsidRPr="00C83DF5" w:rsidRDefault="00456002" w:rsidP="00BB6087">
            <w:pPr>
              <w:spacing w:before="60"/>
              <w:rPr>
                <w:lang w:val="de-DE"/>
              </w:rPr>
            </w:pPr>
            <w:r w:rsidRPr="00C83DF5">
              <w:rPr>
                <w:rFonts w:cs="Tahoma"/>
                <w:szCs w:val="18"/>
                <w:lang w:val="de-DE"/>
              </w:rPr>
              <w:t>Für Open Value Subscription – ES erfordert mindestens ein Desktop-Plattformprodukt für eine Organisationsweite Anzahl von mindestens 5 ODER mindestens ein Desktop-Plattformprodukt für eine Studentenanzahl von mindestens</w:t>
            </w:r>
            <w:r w:rsidR="00BD016D">
              <w:rPr>
                <w:rFonts w:cs="Tahoma"/>
                <w:szCs w:val="18"/>
                <w:lang w:val="de-DE"/>
              </w:rPr>
              <w:t> </w:t>
            </w:r>
            <w:r w:rsidRPr="00C83DF5">
              <w:rPr>
                <w:rFonts w:cs="Tahoma"/>
                <w:szCs w:val="18"/>
                <w:lang w:val="de-DE"/>
              </w:rPr>
              <w:t>5.</w:t>
            </w:r>
          </w:p>
          <w:p w:rsidR="00230E01" w:rsidRPr="00C83DF5" w:rsidRDefault="00230E01" w:rsidP="00230E01">
            <w:pPr>
              <w:rPr>
                <w:rFonts w:cs="Tahoma"/>
                <w:szCs w:val="18"/>
                <w:lang w:val="de-DE"/>
              </w:rPr>
            </w:pPr>
          </w:p>
        </w:tc>
      </w:tr>
      <w:tr w:rsidR="00456002" w:rsidRPr="004D388E" w:rsidTr="003C68AA">
        <w:tc>
          <w:tcPr>
            <w:tcW w:w="2468" w:type="dxa"/>
            <w:shd w:val="clear" w:color="auto" w:fill="auto"/>
          </w:tcPr>
          <w:p w:rsidR="00456002" w:rsidRPr="00C83DF5" w:rsidRDefault="00456002" w:rsidP="00A70464">
            <w:pPr>
              <w:pStyle w:val="AppendixBodyText"/>
              <w:spacing w:before="60"/>
              <w:ind w:right="720"/>
              <w:rPr>
                <w:rFonts w:ascii="Tahoma" w:hAnsi="Tahoma" w:cs="Tahoma"/>
                <w:b/>
                <w:color w:val="000000"/>
                <w:szCs w:val="18"/>
                <w:lang w:eastAsia="ja-JP"/>
              </w:rPr>
            </w:pPr>
            <w:r w:rsidRPr="00C83DF5">
              <w:rPr>
                <w:rFonts w:ascii="Tahoma" w:hAnsi="Tahoma" w:cs="Tahoma"/>
                <w:b/>
                <w:color w:val="000000"/>
                <w:szCs w:val="18"/>
              </w:rPr>
              <w:t>Select</w:t>
            </w:r>
          </w:p>
        </w:tc>
        <w:tc>
          <w:tcPr>
            <w:tcW w:w="6901" w:type="dxa"/>
            <w:shd w:val="clear" w:color="auto" w:fill="auto"/>
          </w:tcPr>
          <w:p w:rsidR="00456002" w:rsidRPr="00C83DF5" w:rsidRDefault="00456002" w:rsidP="00E155C0">
            <w:pPr>
              <w:pStyle w:val="AppendixBodyText"/>
              <w:spacing w:before="60" w:after="0"/>
              <w:rPr>
                <w:lang w:val="de-DE"/>
              </w:rPr>
            </w:pPr>
            <w:r w:rsidRPr="00C83DF5">
              <w:rPr>
                <w:rFonts w:ascii="Tahoma" w:hAnsi="Tahoma" w:cs="Tahoma"/>
                <w:color w:val="000000"/>
                <w:sz w:val="18"/>
                <w:szCs w:val="18"/>
                <w:lang w:val="de-DE"/>
              </w:rPr>
              <w:t>Für Select ist eine Mindestbestellung von 1.500 Punkten pro Pool über die Vertragslaufzeit erforderlich.</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Wenn ein qualifizierender Vertrag bereitgestellt wird,</w:t>
            </w:r>
            <w:r w:rsidR="00E155C0">
              <w:rPr>
                <w:rFonts w:ascii="Tahoma" w:hAnsi="Tahoma" w:cs="Tahoma"/>
                <w:color w:val="000000"/>
                <w:sz w:val="18"/>
                <w:szCs w:val="18"/>
                <w:lang w:val="de-DE"/>
              </w:rPr>
              <w:t> </w:t>
            </w:r>
            <w:r w:rsidRPr="00C83DF5">
              <w:rPr>
                <w:rFonts w:ascii="Tahoma" w:hAnsi="Tahoma" w:cs="Tahoma"/>
                <w:color w:val="000000"/>
                <w:sz w:val="18"/>
                <w:szCs w:val="18"/>
                <w:lang w:val="de-DE"/>
              </w:rPr>
              <w:t>kann auf Mindestbestellanforderungen verzichtet werden.</w:t>
            </w:r>
          </w:p>
          <w:p w:rsidR="00230E01" w:rsidRPr="00C83DF5" w:rsidRDefault="00230E01" w:rsidP="00230E01">
            <w:pPr>
              <w:pStyle w:val="AppendixBodyText"/>
              <w:spacing w:after="0"/>
              <w:ind w:right="720"/>
              <w:rPr>
                <w:rFonts w:ascii="Tahoma" w:hAnsi="Tahoma" w:cs="Tahoma"/>
                <w:color w:val="000000"/>
                <w:sz w:val="18"/>
                <w:szCs w:val="18"/>
                <w:lang w:val="de-DE" w:eastAsia="ja-JP"/>
              </w:rPr>
            </w:pPr>
          </w:p>
        </w:tc>
      </w:tr>
      <w:tr w:rsidR="00456002" w:rsidRPr="00687587" w:rsidTr="003C68AA">
        <w:tc>
          <w:tcPr>
            <w:tcW w:w="2468" w:type="dxa"/>
            <w:shd w:val="clear" w:color="auto" w:fill="auto"/>
          </w:tcPr>
          <w:p w:rsidR="00456002" w:rsidRPr="00C83DF5" w:rsidRDefault="00456002" w:rsidP="00A70464">
            <w:pPr>
              <w:pStyle w:val="AppendixBodyText"/>
              <w:spacing w:before="60"/>
              <w:ind w:right="720"/>
              <w:rPr>
                <w:rFonts w:ascii="Tahoma" w:hAnsi="Tahoma" w:cs="Tahoma"/>
                <w:b/>
                <w:color w:val="000000"/>
                <w:szCs w:val="18"/>
                <w:lang w:eastAsia="ja-JP"/>
              </w:rPr>
            </w:pPr>
            <w:r w:rsidRPr="00C83DF5">
              <w:rPr>
                <w:rFonts w:ascii="Tahoma" w:hAnsi="Tahoma" w:cs="Tahoma"/>
                <w:b/>
                <w:color w:val="000000"/>
                <w:szCs w:val="18"/>
              </w:rPr>
              <w:t>Select Plus</w:t>
            </w:r>
          </w:p>
        </w:tc>
        <w:tc>
          <w:tcPr>
            <w:tcW w:w="6901" w:type="dxa"/>
            <w:shd w:val="clear" w:color="auto" w:fill="auto"/>
          </w:tcPr>
          <w:p w:rsidR="00456002" w:rsidRPr="00C83DF5" w:rsidRDefault="00456002" w:rsidP="00BF2B29">
            <w:pPr>
              <w:pStyle w:val="AppendixBodyText"/>
              <w:spacing w:before="60"/>
              <w:ind w:right="18"/>
              <w:rPr>
                <w:lang w:val="de-DE"/>
              </w:rPr>
            </w:pPr>
            <w:r w:rsidRPr="00C83DF5">
              <w:rPr>
                <w:rFonts w:ascii="Tahoma" w:hAnsi="Tahoma" w:cs="Tahoma"/>
                <w:color w:val="000000"/>
                <w:sz w:val="18"/>
                <w:szCs w:val="18"/>
                <w:lang w:val="de-DE"/>
              </w:rPr>
              <w:t>Für Select Plus ist während des ersten Jahres eine Mindestbestellmenge von</w:t>
            </w:r>
            <w:r w:rsidR="00BF2B29">
              <w:rPr>
                <w:rFonts w:ascii="Tahoma" w:hAnsi="Tahoma" w:cs="Tahoma"/>
                <w:color w:val="000000"/>
                <w:sz w:val="18"/>
                <w:szCs w:val="18"/>
                <w:lang w:val="de-DE"/>
              </w:rPr>
              <w:t> </w:t>
            </w:r>
            <w:r w:rsidRPr="00C83DF5">
              <w:rPr>
                <w:rFonts w:ascii="Tahoma" w:hAnsi="Tahoma" w:cs="Tahoma"/>
                <w:color w:val="000000"/>
                <w:sz w:val="18"/>
                <w:szCs w:val="18"/>
                <w:lang w:val="de-DE"/>
              </w:rPr>
              <w:t>500 Punkten pro Pool erforderlich.</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Wenn ein qualifizierender Vertrag bereitgestellt</w:t>
            </w:r>
            <w:r w:rsidR="00BF2B29">
              <w:rPr>
                <w:rFonts w:ascii="Tahoma" w:hAnsi="Tahoma" w:cs="Tahoma"/>
                <w:color w:val="000000"/>
                <w:sz w:val="18"/>
                <w:szCs w:val="18"/>
                <w:lang w:val="de-DE"/>
              </w:rPr>
              <w:t> </w:t>
            </w:r>
            <w:r w:rsidRPr="00C83DF5">
              <w:rPr>
                <w:rFonts w:ascii="Tahoma" w:hAnsi="Tahoma" w:cs="Tahoma"/>
                <w:color w:val="000000"/>
                <w:sz w:val="18"/>
                <w:szCs w:val="18"/>
                <w:lang w:val="de-DE"/>
              </w:rPr>
              <w:t>wird, kann auf diese Mindestbestellmenge verzichtet werden.</w:t>
            </w:r>
          </w:p>
          <w:p w:rsidR="00456002" w:rsidRPr="00BF2B29" w:rsidRDefault="00456002" w:rsidP="00A70464">
            <w:pPr>
              <w:pStyle w:val="AppendixBodyText"/>
              <w:spacing w:after="0"/>
              <w:ind w:right="720"/>
              <w:rPr>
                <w:rFonts w:ascii="Tahoma" w:hAnsi="Tahoma" w:cs="Tahoma"/>
                <w:color w:val="000000"/>
                <w:sz w:val="18"/>
                <w:szCs w:val="18"/>
                <w:lang w:val="de-DE" w:eastAsia="ja-JP"/>
              </w:rPr>
            </w:pPr>
          </w:p>
          <w:p w:rsidR="00456002" w:rsidRPr="00F037D5" w:rsidRDefault="00456002" w:rsidP="004B6D8C">
            <w:pPr>
              <w:spacing w:after="60"/>
              <w:rPr>
                <w:b/>
                <w:lang w:val="de-DE"/>
              </w:rPr>
            </w:pPr>
            <w:bookmarkStart w:id="601" w:name="_Toc323159727"/>
            <w:r w:rsidRPr="00F037D5">
              <w:rPr>
                <w:b/>
                <w:lang w:val="de-DE"/>
              </w:rPr>
              <w:t>Preislevels für Select Plus</w:t>
            </w:r>
            <w:bookmarkEnd w:id="601"/>
          </w:p>
          <w:p w:rsidR="00456002" w:rsidRPr="00C83DF5" w:rsidRDefault="00456002" w:rsidP="005C647E">
            <w:pPr>
              <w:rPr>
                <w:lang w:val="de-DE"/>
              </w:rPr>
            </w:pPr>
            <w:r w:rsidRPr="00C83DF5">
              <w:rPr>
                <w:rFonts w:cs="Tahoma"/>
                <w:szCs w:val="18"/>
                <w:lang w:val="de-DE"/>
              </w:rPr>
              <w:t xml:space="preserve">Kunden sind für das Select Plus-Programm qualifiziert, wenn sie eines der drei folgenden Kriterien erfüllen: </w:t>
            </w:r>
          </w:p>
          <w:p w:rsidR="00406CB0" w:rsidRPr="00F037D5" w:rsidRDefault="00406CB0" w:rsidP="00A70464">
            <w:pPr>
              <w:rPr>
                <w:rFonts w:cs="Tahoma"/>
                <w:szCs w:val="18"/>
                <w:lang w:val="de-DE"/>
              </w:rPr>
            </w:pPr>
          </w:p>
          <w:p w:rsidR="00456002" w:rsidRPr="00C83DF5" w:rsidRDefault="00456002" w:rsidP="00346F4B">
            <w:pPr>
              <w:numPr>
                <w:ilvl w:val="0"/>
                <w:numId w:val="64"/>
              </w:numPr>
              <w:spacing w:after="60"/>
              <w:rPr>
                <w:lang w:val="de-DE"/>
              </w:rPr>
            </w:pPr>
            <w:r w:rsidRPr="00C83DF5">
              <w:rPr>
                <w:lang w:val="de-DE"/>
              </w:rPr>
              <w:t>Der Kunde verfügt über einen aktiven Konzernbeitritt unter einem separaten Konzernvertrag oder einen Konzern-Abonnement-Beitritt unter einem Konzern-Abonnement-Vertrag (Kunden aus Forschung &amp; Lehre können einen aktiven Campus- und School-Vertrag oder einen aktiven Beitritt für Bildungslösungen als qualifizierenden Vertrag verwenden).</w:t>
            </w:r>
          </w:p>
          <w:p w:rsidR="00456002" w:rsidRPr="00C83DF5" w:rsidRDefault="00456002" w:rsidP="000549B5">
            <w:pPr>
              <w:numPr>
                <w:ilvl w:val="0"/>
                <w:numId w:val="64"/>
              </w:numPr>
              <w:spacing w:after="60"/>
              <w:rPr>
                <w:lang w:val="de-DE"/>
              </w:rPr>
            </w:pPr>
            <w:r w:rsidRPr="00C83DF5">
              <w:rPr>
                <w:lang w:val="de-DE"/>
              </w:rPr>
              <w:t>Der Kunde gibt eine Bestellung ab, die für jeden vom Kunden während des</w:t>
            </w:r>
            <w:r w:rsidR="000549B5">
              <w:rPr>
                <w:lang w:val="de-DE"/>
              </w:rPr>
              <w:t> </w:t>
            </w:r>
            <w:r w:rsidRPr="00C83DF5">
              <w:rPr>
                <w:lang w:val="de-DE"/>
              </w:rPr>
              <w:t xml:space="preserve">ersten Jahres ausgewählten Produktpool mindestens 500 Punkten entspricht. </w:t>
            </w:r>
          </w:p>
          <w:p w:rsidR="00456002" w:rsidRPr="00C83DF5" w:rsidRDefault="00456002" w:rsidP="000549B5">
            <w:pPr>
              <w:numPr>
                <w:ilvl w:val="0"/>
                <w:numId w:val="64"/>
              </w:numPr>
              <w:spacing w:after="60"/>
              <w:rPr>
                <w:lang w:val="de-DE"/>
              </w:rPr>
            </w:pPr>
            <w:r w:rsidRPr="00C83DF5">
              <w:rPr>
                <w:lang w:val="de-DE"/>
              </w:rPr>
              <w:t>Der Kunde gibt einen Vertrag an, bei dem während der 12 Monate vor dem</w:t>
            </w:r>
            <w:r w:rsidR="000549B5">
              <w:rPr>
                <w:lang w:val="de-DE"/>
              </w:rPr>
              <w:t> </w:t>
            </w:r>
            <w:r w:rsidRPr="00C83DF5">
              <w:rPr>
                <w:lang w:val="de-DE"/>
              </w:rPr>
              <w:t xml:space="preserve">Wirksamkeitsdatum des Select Plus-Vertrages des Kunden die Mindestbestellmenge erfüllt war. </w:t>
            </w:r>
          </w:p>
          <w:p w:rsidR="00456002" w:rsidRPr="007047D4" w:rsidRDefault="00456002" w:rsidP="00A70464">
            <w:pPr>
              <w:rPr>
                <w:color w:val="1F497D"/>
                <w:lang w:val="de-DE"/>
              </w:rPr>
            </w:pPr>
          </w:p>
          <w:p w:rsidR="00456002" w:rsidRPr="00C83DF5" w:rsidRDefault="00456002" w:rsidP="005C647E">
            <w:pPr>
              <w:rPr>
                <w:lang w:val="de-DE"/>
              </w:rPr>
            </w:pPr>
            <w:r w:rsidRPr="00C83DF5">
              <w:rPr>
                <w:rFonts w:cs="Tahoma"/>
                <w:szCs w:val="18"/>
                <w:lang w:val="de-DE"/>
              </w:rPr>
              <w:t xml:space="preserve">Bei den Optionen 2 und 3 oben ist der Kunde verpflichtet, zum Zeitpunkt der Einhaltungsprüfung in jedem vom Kunden gewählten Produktpool über mindestens 500 Punkte zu verfügen. </w:t>
            </w:r>
          </w:p>
          <w:p w:rsidR="00750F48" w:rsidRPr="00F037D5" w:rsidRDefault="00750F48" w:rsidP="007047D4">
            <w:pPr>
              <w:rPr>
                <w:rFonts w:cs="Tahoma"/>
                <w:szCs w:val="18"/>
                <w:lang w:val="de-DE"/>
              </w:rPr>
            </w:pPr>
          </w:p>
          <w:p w:rsidR="00750F48" w:rsidRPr="00F037D5" w:rsidRDefault="00750F48" w:rsidP="007047D4">
            <w:pPr>
              <w:rPr>
                <w:rFonts w:cs="Tahoma"/>
                <w:szCs w:val="18"/>
                <w:lang w:val="de-DE"/>
              </w:rPr>
            </w:pPr>
          </w:p>
          <w:p w:rsidR="00750F48" w:rsidRPr="00F037D5" w:rsidRDefault="00750F48" w:rsidP="007047D4">
            <w:pPr>
              <w:rPr>
                <w:rFonts w:cs="Tahoma"/>
                <w:szCs w:val="18"/>
                <w:lang w:val="de-DE"/>
              </w:rPr>
            </w:pPr>
          </w:p>
          <w:p w:rsidR="00456002" w:rsidRPr="00C83DF5" w:rsidRDefault="00456002" w:rsidP="00F05D80">
            <w:pPr>
              <w:rPr>
                <w:lang w:val="de-DE"/>
              </w:rPr>
            </w:pPr>
            <w:r w:rsidRPr="00C83DF5">
              <w:rPr>
                <w:rFonts w:cs="Tahoma"/>
                <w:szCs w:val="18"/>
                <w:lang w:val="de-DE"/>
              </w:rPr>
              <w:lastRenderedPageBreak/>
              <w:t>Die Preise des Kunden basieren auf einem Vertrag zwischen dem Kunden und dem</w:t>
            </w:r>
            <w:r w:rsidR="007047D4">
              <w:rPr>
                <w:rFonts w:cs="Tahoma"/>
                <w:szCs w:val="18"/>
                <w:lang w:val="de-DE"/>
              </w:rPr>
              <w:t> </w:t>
            </w:r>
            <w:r w:rsidRPr="00C83DF5">
              <w:rPr>
                <w:rFonts w:cs="Tahoma"/>
                <w:szCs w:val="18"/>
                <w:lang w:val="de-DE"/>
              </w:rPr>
              <w:t>Handelspartner des Kunden.</w:t>
            </w:r>
            <w:r w:rsidR="00E71F46" w:rsidRPr="00C83DF5">
              <w:rPr>
                <w:rFonts w:cs="Tahoma"/>
                <w:szCs w:val="18"/>
                <w:lang w:val="de-DE"/>
              </w:rPr>
              <w:t xml:space="preserve"> </w:t>
            </w:r>
            <w:r w:rsidRPr="00C83DF5">
              <w:rPr>
                <w:rFonts w:cs="Tahoma"/>
                <w:szCs w:val="18"/>
                <w:lang w:val="de-DE"/>
              </w:rPr>
              <w:t>Microsoft stellt jedoch dem Handelspartner die</w:t>
            </w:r>
            <w:r w:rsidR="00F05D80">
              <w:rPr>
                <w:rFonts w:cs="Tahoma"/>
                <w:szCs w:val="18"/>
                <w:lang w:val="de-DE"/>
              </w:rPr>
              <w:t> </w:t>
            </w:r>
            <w:r w:rsidRPr="00C83DF5">
              <w:rPr>
                <w:rFonts w:cs="Tahoma"/>
                <w:szCs w:val="18"/>
                <w:lang w:val="de-DE"/>
              </w:rPr>
              <w:t>folgenden Kriterien für Preise und Punkte als Orientierungshilfe für Endkundenpreise zur Verfügung:</w:t>
            </w:r>
            <w:r w:rsidR="00E71F46" w:rsidRPr="00C83DF5">
              <w:rPr>
                <w:rFonts w:cs="Tahoma"/>
                <w:szCs w:val="18"/>
                <w:lang w:val="de-DE"/>
              </w:rPr>
              <w:t xml:space="preserve"> </w:t>
            </w:r>
          </w:p>
          <w:p w:rsidR="00456002" w:rsidRPr="00C83DF5" w:rsidRDefault="00456002" w:rsidP="005C647E">
            <w:pPr>
              <w:rPr>
                <w:lang w:val="de-DE"/>
              </w:rPr>
            </w:pPr>
          </w:p>
          <w:tbl>
            <w:tblPr>
              <w:tblW w:w="0" w:type="auto"/>
              <w:jc w:val="center"/>
              <w:tblLayout w:type="fixed"/>
              <w:tblCellMar>
                <w:left w:w="0" w:type="dxa"/>
                <w:right w:w="0" w:type="dxa"/>
              </w:tblCellMar>
              <w:tblLook w:val="04A0" w:firstRow="1" w:lastRow="0" w:firstColumn="1" w:lastColumn="0" w:noHBand="0" w:noVBand="1"/>
            </w:tblPr>
            <w:tblGrid>
              <w:gridCol w:w="2710"/>
              <w:gridCol w:w="3339"/>
            </w:tblGrid>
            <w:tr w:rsidR="0056573A" w:rsidRPr="00687587" w:rsidTr="00CF0DC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56573A" w:rsidRPr="00750F48" w:rsidRDefault="0056573A" w:rsidP="004D63A2">
                  <w:pPr>
                    <w:jc w:val="center"/>
                    <w:rPr>
                      <w:rFonts w:cs="Tahoma"/>
                      <w:b/>
                      <w:sz w:val="20"/>
                      <w:szCs w:val="18"/>
                      <w:lang w:val="de-DE"/>
                    </w:rPr>
                  </w:pPr>
                  <w:r w:rsidRPr="00750F48">
                    <w:rPr>
                      <w:rFonts w:cs="Tahoma"/>
                      <w:b/>
                      <w:sz w:val="20"/>
                      <w:szCs w:val="18"/>
                      <w:lang w:val="de-DE"/>
                    </w:rPr>
                    <w:t>Select Plus-Preislevel –Commercial</w:t>
                  </w:r>
                </w:p>
              </w:tc>
              <w:tc>
                <w:tcPr>
                  <w:tcW w:w="333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56573A" w:rsidRPr="00750F48" w:rsidRDefault="0056573A" w:rsidP="004D63A2">
                  <w:pPr>
                    <w:jc w:val="center"/>
                    <w:rPr>
                      <w:rFonts w:cs="Tahoma"/>
                      <w:b/>
                      <w:sz w:val="20"/>
                      <w:szCs w:val="18"/>
                      <w:lang w:val="de-DE"/>
                    </w:rPr>
                  </w:pPr>
                  <w:r w:rsidRPr="00750F48">
                    <w:rPr>
                      <w:rFonts w:cs="Tahoma"/>
                      <w:b/>
                      <w:sz w:val="20"/>
                      <w:szCs w:val="18"/>
                      <w:lang w:val="de-DE"/>
                    </w:rPr>
                    <w:t>Jährliche Mindestpunktanzahl pro Pool</w:t>
                  </w:r>
                </w:p>
              </w:tc>
            </w:tr>
            <w:tr w:rsidR="0056573A" w:rsidRPr="00687587" w:rsidTr="00CF0DC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6573A" w:rsidRPr="00750F48" w:rsidRDefault="0056573A" w:rsidP="004D63A2">
                  <w:pPr>
                    <w:jc w:val="center"/>
                    <w:rPr>
                      <w:rFonts w:cs="Tahoma"/>
                      <w:szCs w:val="18"/>
                      <w:lang w:val="de-DE"/>
                    </w:rPr>
                  </w:pPr>
                  <w:r w:rsidRPr="00750F48">
                    <w:rPr>
                      <w:rFonts w:cs="Tahoma"/>
                      <w:szCs w:val="18"/>
                      <w:lang w:val="de-DE"/>
                    </w:rPr>
                    <w:t>A</w:t>
                  </w:r>
                </w:p>
              </w:tc>
              <w:tc>
                <w:tcPr>
                  <w:tcW w:w="333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6573A" w:rsidRPr="00750F48" w:rsidRDefault="0056573A" w:rsidP="004D63A2">
                  <w:pPr>
                    <w:jc w:val="center"/>
                    <w:rPr>
                      <w:rFonts w:cs="Tahoma"/>
                      <w:szCs w:val="18"/>
                      <w:lang w:val="de-DE"/>
                    </w:rPr>
                  </w:pPr>
                  <w:r w:rsidRPr="00750F48">
                    <w:rPr>
                      <w:rFonts w:cs="Tahoma"/>
                      <w:szCs w:val="18"/>
                      <w:lang w:val="de-DE"/>
                    </w:rPr>
                    <w:t>500</w:t>
                  </w:r>
                </w:p>
              </w:tc>
            </w:tr>
            <w:tr w:rsidR="0056573A" w:rsidRPr="00687587" w:rsidTr="00CF0DC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6573A" w:rsidRPr="00750F48" w:rsidRDefault="0056573A" w:rsidP="004D63A2">
                  <w:pPr>
                    <w:jc w:val="center"/>
                    <w:rPr>
                      <w:rFonts w:cs="Tahoma"/>
                      <w:szCs w:val="18"/>
                      <w:lang w:val="de-DE"/>
                    </w:rPr>
                  </w:pPr>
                  <w:r w:rsidRPr="00750F48">
                    <w:rPr>
                      <w:rFonts w:cs="Tahoma"/>
                      <w:szCs w:val="18"/>
                      <w:lang w:val="de-DE"/>
                    </w:rPr>
                    <w:t>B</w:t>
                  </w:r>
                </w:p>
              </w:tc>
              <w:tc>
                <w:tcPr>
                  <w:tcW w:w="333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6573A" w:rsidRPr="00750F48" w:rsidRDefault="0056573A" w:rsidP="00750F48">
                  <w:pPr>
                    <w:jc w:val="center"/>
                    <w:rPr>
                      <w:rFonts w:cs="Tahoma"/>
                      <w:szCs w:val="18"/>
                      <w:lang w:val="de-DE"/>
                    </w:rPr>
                  </w:pPr>
                  <w:r w:rsidRPr="00750F48">
                    <w:rPr>
                      <w:rFonts w:cs="Tahoma"/>
                      <w:szCs w:val="18"/>
                      <w:lang w:val="de-DE"/>
                    </w:rPr>
                    <w:t>4</w:t>
                  </w:r>
                  <w:r w:rsidR="00750F48">
                    <w:rPr>
                      <w:rFonts w:cs="Tahoma"/>
                      <w:szCs w:val="18"/>
                      <w:lang w:val="de-DE"/>
                    </w:rPr>
                    <w:t>.</w:t>
                  </w:r>
                  <w:r w:rsidRPr="00750F48">
                    <w:rPr>
                      <w:rFonts w:cs="Tahoma"/>
                      <w:szCs w:val="18"/>
                      <w:lang w:val="de-DE"/>
                    </w:rPr>
                    <w:t>000</w:t>
                  </w:r>
                </w:p>
              </w:tc>
            </w:tr>
            <w:tr w:rsidR="0056573A" w:rsidRPr="00687587" w:rsidTr="00CF0DC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6573A" w:rsidRPr="00750F48" w:rsidRDefault="0056573A" w:rsidP="004D63A2">
                  <w:pPr>
                    <w:jc w:val="center"/>
                    <w:rPr>
                      <w:rFonts w:cs="Tahoma"/>
                      <w:szCs w:val="18"/>
                      <w:lang w:val="de-DE"/>
                    </w:rPr>
                  </w:pPr>
                  <w:r w:rsidRPr="00750F48">
                    <w:rPr>
                      <w:rFonts w:cs="Tahoma"/>
                      <w:szCs w:val="18"/>
                      <w:lang w:val="de-DE"/>
                    </w:rPr>
                    <w:t>C</w:t>
                  </w:r>
                </w:p>
              </w:tc>
              <w:tc>
                <w:tcPr>
                  <w:tcW w:w="333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6573A" w:rsidRPr="00750F48" w:rsidRDefault="0056573A" w:rsidP="00750F48">
                  <w:pPr>
                    <w:jc w:val="center"/>
                    <w:rPr>
                      <w:rFonts w:cs="Tahoma"/>
                      <w:szCs w:val="18"/>
                      <w:lang w:val="de-DE"/>
                    </w:rPr>
                  </w:pPr>
                  <w:r w:rsidRPr="00750F48">
                    <w:rPr>
                      <w:rFonts w:cs="Tahoma"/>
                      <w:szCs w:val="18"/>
                      <w:lang w:val="de-DE"/>
                    </w:rPr>
                    <w:t>10</w:t>
                  </w:r>
                  <w:r w:rsidR="00750F48">
                    <w:rPr>
                      <w:rFonts w:cs="Tahoma"/>
                      <w:szCs w:val="18"/>
                      <w:lang w:val="de-DE"/>
                    </w:rPr>
                    <w:t>.</w:t>
                  </w:r>
                  <w:r w:rsidRPr="00750F48">
                    <w:rPr>
                      <w:rFonts w:cs="Tahoma"/>
                      <w:szCs w:val="18"/>
                      <w:lang w:val="de-DE"/>
                    </w:rPr>
                    <w:t>000</w:t>
                  </w:r>
                </w:p>
              </w:tc>
            </w:tr>
            <w:tr w:rsidR="0056573A" w:rsidRPr="00687587" w:rsidTr="00CF0DC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6573A" w:rsidRPr="00750F48" w:rsidRDefault="0056573A" w:rsidP="004D63A2">
                  <w:pPr>
                    <w:jc w:val="center"/>
                    <w:rPr>
                      <w:rFonts w:cs="Tahoma"/>
                      <w:szCs w:val="18"/>
                      <w:lang w:val="de-DE"/>
                    </w:rPr>
                  </w:pPr>
                  <w:r w:rsidRPr="00750F48">
                    <w:rPr>
                      <w:rFonts w:cs="Tahoma"/>
                      <w:szCs w:val="18"/>
                      <w:lang w:val="de-DE"/>
                    </w:rPr>
                    <w:t>D</w:t>
                  </w:r>
                </w:p>
              </w:tc>
              <w:tc>
                <w:tcPr>
                  <w:tcW w:w="333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6573A" w:rsidRPr="00750F48" w:rsidRDefault="0056573A" w:rsidP="00750F48">
                  <w:pPr>
                    <w:jc w:val="center"/>
                    <w:rPr>
                      <w:rFonts w:cs="Tahoma"/>
                      <w:szCs w:val="18"/>
                      <w:lang w:val="de-DE"/>
                    </w:rPr>
                  </w:pPr>
                  <w:r w:rsidRPr="00750F48">
                    <w:rPr>
                      <w:rFonts w:cs="Tahoma"/>
                      <w:szCs w:val="18"/>
                      <w:lang w:val="de-DE"/>
                    </w:rPr>
                    <w:t>25</w:t>
                  </w:r>
                  <w:r w:rsidR="00750F48">
                    <w:rPr>
                      <w:rFonts w:cs="Tahoma"/>
                      <w:szCs w:val="18"/>
                      <w:lang w:val="de-DE"/>
                    </w:rPr>
                    <w:t>.</w:t>
                  </w:r>
                  <w:r w:rsidRPr="00750F48">
                    <w:rPr>
                      <w:rFonts w:cs="Tahoma"/>
                      <w:szCs w:val="18"/>
                      <w:lang w:val="de-DE"/>
                    </w:rPr>
                    <w:t>000</w:t>
                  </w:r>
                </w:p>
              </w:tc>
            </w:tr>
          </w:tbl>
          <w:p w:rsidR="00456002" w:rsidRPr="00C83DF5" w:rsidRDefault="00A4190C" w:rsidP="0056573A">
            <w:pPr>
              <w:pStyle w:val="AppendixBodyText"/>
              <w:spacing w:after="0"/>
              <w:ind w:left="605" w:right="18"/>
              <w:rPr>
                <w:lang w:val="de-DE"/>
              </w:rPr>
            </w:pPr>
            <w:r w:rsidRPr="00C83DF5">
              <w:rPr>
                <w:rFonts w:ascii="Tahoma" w:hAnsi="Tahoma" w:cs="Times New Roman"/>
                <w:i/>
                <w:sz w:val="16"/>
                <w:lang w:val="de-DE"/>
              </w:rPr>
              <w:t>Anmerkung: Wenn der Kunde Punkte besitzt, die die Mindestpunktanzahl des Preislevels übersteigen, werden diese auf das nächste Jahr übertragen und bei der Einhaltungsprüfung für das Jahr berücksichtigt. Wenn der Kunde beispielsweise bei der jährlichen Einhaltungsprüfung 4.500 Punkte besitzt, werden 500 Punkte auf das nächste Jahr übertragen und bei der Einhaltung für das Jahr berücksichtigt.</w:t>
            </w:r>
          </w:p>
          <w:p w:rsidR="00230E01" w:rsidRPr="00C83DF5" w:rsidRDefault="00230E01" w:rsidP="00230E01">
            <w:pPr>
              <w:pStyle w:val="AppendixBodyText"/>
              <w:spacing w:after="0"/>
              <w:ind w:left="605" w:right="720"/>
              <w:rPr>
                <w:rFonts w:ascii="Tahoma" w:hAnsi="Tahoma" w:cs="Tahoma"/>
                <w:color w:val="000000"/>
                <w:sz w:val="18"/>
                <w:szCs w:val="18"/>
                <w:lang w:val="de-DE" w:eastAsia="ja-JP"/>
              </w:rPr>
            </w:pPr>
          </w:p>
        </w:tc>
      </w:tr>
      <w:tr w:rsidR="00456002" w:rsidRPr="00687587" w:rsidTr="003C68AA">
        <w:tc>
          <w:tcPr>
            <w:tcW w:w="2468" w:type="dxa"/>
            <w:shd w:val="clear" w:color="auto" w:fill="auto"/>
          </w:tcPr>
          <w:p w:rsidR="00456002" w:rsidRPr="00C83DF5" w:rsidRDefault="00B215EA" w:rsidP="00A70464">
            <w:pPr>
              <w:pStyle w:val="AppendixBodyText"/>
              <w:spacing w:before="60"/>
              <w:ind w:right="720"/>
              <w:rPr>
                <w:rFonts w:ascii="Tahoma" w:hAnsi="Tahoma" w:cs="Tahoma"/>
                <w:b/>
                <w:color w:val="000000"/>
                <w:szCs w:val="18"/>
                <w:lang w:eastAsia="ja-JP"/>
              </w:rPr>
            </w:pPr>
            <w:r w:rsidRPr="00C83DF5">
              <w:rPr>
                <w:rFonts w:ascii="Tahoma" w:hAnsi="Tahoma" w:cs="Tahoma"/>
                <w:b/>
                <w:color w:val="000000"/>
                <w:szCs w:val="18"/>
              </w:rPr>
              <w:lastRenderedPageBreak/>
              <w:t>Campus- und School-Vertrag</w:t>
            </w:r>
          </w:p>
        </w:tc>
        <w:tc>
          <w:tcPr>
            <w:tcW w:w="6901" w:type="dxa"/>
            <w:shd w:val="clear" w:color="auto" w:fill="auto"/>
          </w:tcPr>
          <w:p w:rsidR="00456002" w:rsidRPr="00C83DF5" w:rsidRDefault="00456002" w:rsidP="003C68AA">
            <w:pPr>
              <w:pStyle w:val="AppendixBodyText"/>
              <w:spacing w:before="60"/>
              <w:ind w:right="-9"/>
              <w:rPr>
                <w:lang w:val="de-DE"/>
              </w:rPr>
            </w:pPr>
            <w:r w:rsidRPr="00C83DF5">
              <w:rPr>
                <w:rFonts w:ascii="Tahoma" w:hAnsi="Tahoma" w:cs="Tahoma"/>
                <w:sz w:val="18"/>
                <w:lang w:val="de-DE"/>
              </w:rPr>
              <w:t>Für den Campus- und School-</w:t>
            </w:r>
            <w:r w:rsidRPr="00C83DF5">
              <w:rPr>
                <w:rFonts w:ascii="Tahoma" w:hAnsi="Tahoma" w:cs="Tahoma"/>
                <w:b/>
                <w:sz w:val="18"/>
                <w:lang w:val="de-DE"/>
              </w:rPr>
              <w:t xml:space="preserve"> </w:t>
            </w:r>
            <w:r w:rsidRPr="00C83DF5">
              <w:rPr>
                <w:rFonts w:ascii="Tahoma" w:hAnsi="Tahoma" w:cs="Tahoma"/>
                <w:sz w:val="18"/>
                <w:lang w:val="de-DE"/>
              </w:rPr>
              <w:t>Vertrag ist eine Mindestbestellmenge von 300</w:t>
            </w:r>
            <w:r w:rsidR="003C68AA">
              <w:rPr>
                <w:rFonts w:ascii="Tahoma" w:hAnsi="Tahoma" w:cs="Tahoma"/>
                <w:sz w:val="18"/>
                <w:lang w:val="de-DE"/>
              </w:rPr>
              <w:t> </w:t>
            </w:r>
            <w:r w:rsidRPr="00C83DF5">
              <w:rPr>
                <w:rFonts w:ascii="Tahoma" w:hAnsi="Tahoma" w:cs="Tahoma"/>
                <w:sz w:val="18"/>
                <w:lang w:val="de-DE"/>
              </w:rPr>
              <w:t>Einheiten erforderlich.</w:t>
            </w:r>
            <w:r w:rsidR="00E71F46" w:rsidRPr="00C83DF5">
              <w:rPr>
                <w:rFonts w:ascii="Tahoma" w:hAnsi="Tahoma" w:cs="Tahoma"/>
                <w:sz w:val="18"/>
                <w:lang w:val="de-DE"/>
              </w:rPr>
              <w:t xml:space="preserve"> </w:t>
            </w:r>
            <w:r w:rsidRPr="00C83DF5">
              <w:rPr>
                <w:rFonts w:ascii="Tahoma" w:hAnsi="Tahoma" w:cs="Tahoma"/>
                <w:sz w:val="18"/>
                <w:lang w:val="de-DE"/>
              </w:rPr>
              <w:t>Die Einheiten werden durch Multiplizieren der Gesamtzahl der ausgewählten Anwendungs-, System- und CAL-Produkte mit der</w:t>
            </w:r>
            <w:r w:rsidR="003C68AA">
              <w:rPr>
                <w:rFonts w:ascii="Tahoma" w:hAnsi="Tahoma" w:cs="Tahoma"/>
                <w:sz w:val="18"/>
                <w:lang w:val="de-DE"/>
              </w:rPr>
              <w:t> </w:t>
            </w:r>
            <w:r w:rsidRPr="00C83DF5">
              <w:rPr>
                <w:rFonts w:ascii="Tahoma" w:hAnsi="Tahoma" w:cs="Tahoma"/>
                <w:sz w:val="18"/>
                <w:lang w:val="de-DE"/>
              </w:rPr>
              <w:t>Gesamtzahl der berechtigten PCs bzw. berechtigten FTE-Nutzer/Mitarbeiter bestimmt. Beachten Sie, dass die Mindestbestellanforderung nach geografischer Region variieren kann.</w:t>
            </w:r>
          </w:p>
          <w:p w:rsidR="00406CB0" w:rsidRPr="00C83DF5" w:rsidRDefault="00406CB0" w:rsidP="003C68AA">
            <w:pPr>
              <w:pStyle w:val="AppendixBodyText"/>
              <w:spacing w:after="0"/>
              <w:ind w:right="-9"/>
              <w:rPr>
                <w:lang w:val="de-DE"/>
              </w:rPr>
            </w:pPr>
          </w:p>
          <w:p w:rsidR="009D5C93" w:rsidRPr="00C83DF5" w:rsidRDefault="00456002" w:rsidP="003C68AA">
            <w:pPr>
              <w:tabs>
                <w:tab w:val="left" w:pos="8640"/>
              </w:tabs>
              <w:ind w:right="-9"/>
              <w:rPr>
                <w:lang w:val="de-DE"/>
              </w:rPr>
            </w:pPr>
            <w:r w:rsidRPr="00C83DF5">
              <w:rPr>
                <w:rFonts w:cs="Tahoma"/>
                <w:b/>
                <w:bCs/>
                <w:color w:val="000000"/>
                <w:szCs w:val="20"/>
                <w:lang w:val="de-DE"/>
              </w:rPr>
              <w:t>Anmerkung:</w:t>
            </w:r>
            <w:r w:rsidRPr="00C83DF5">
              <w:rPr>
                <w:rFonts w:cs="Tahoma"/>
                <w:color w:val="000000"/>
                <w:szCs w:val="20"/>
                <w:lang w:val="de-DE"/>
              </w:rPr>
              <w:t xml:space="preserve"> Kunden mit Campus- und School-Vertrag sind nicht berechtigt, Anwendungs-, System-, Abonnementlizenz- (Nutzer/Gerät) und CAL-Produkte nur für einen Teil der im Abonnement enthaltenen PCs auszuwählen, </w:t>
            </w:r>
            <w:r w:rsidRPr="00C83DF5">
              <w:rPr>
                <w:rFonts w:cs="Tahoma"/>
                <w:color w:val="000000"/>
                <w:szCs w:val="18"/>
                <w:lang w:val="de-DE"/>
              </w:rPr>
              <w:t>sofern dies nicht ausdrücklich in der Produktliste in den Hinweisen auf die Produktbedingungen angegeben ist</w:t>
            </w:r>
            <w:r w:rsidRPr="00C83DF5">
              <w:rPr>
                <w:rFonts w:cs="Tahoma"/>
                <w:color w:val="000000"/>
                <w:szCs w:val="20"/>
                <w:lang w:val="de-DE"/>
              </w:rPr>
              <w:t>. Wenn beispielsweise das Abonnement für insgesamt 100 PCs gilt, gelten die ausgewählten Anwendungs-, System-, Abonnementlizenz- (Nutzer/Gerät) und CAL-Produkte für alle 100 PCs, selbst wenn ein bestimmtes Produkt nur auf einem Teil dieser PCs ausgeführt wird.</w:t>
            </w:r>
          </w:p>
          <w:p w:rsidR="00230E01" w:rsidRPr="00C83DF5" w:rsidRDefault="00230E01" w:rsidP="00230E01">
            <w:pPr>
              <w:tabs>
                <w:tab w:val="left" w:pos="8640"/>
              </w:tabs>
              <w:ind w:right="720"/>
              <w:rPr>
                <w:rFonts w:cs="Tahoma"/>
                <w:color w:val="000000"/>
                <w:szCs w:val="20"/>
                <w:lang w:val="de-DE" w:eastAsia="ja-JP"/>
              </w:rPr>
            </w:pPr>
          </w:p>
        </w:tc>
      </w:tr>
      <w:tr w:rsidR="00456002" w:rsidRPr="004D388E" w:rsidTr="003C68AA">
        <w:tc>
          <w:tcPr>
            <w:tcW w:w="2468" w:type="dxa"/>
            <w:shd w:val="clear" w:color="auto" w:fill="auto"/>
          </w:tcPr>
          <w:p w:rsidR="00456002" w:rsidRPr="00C83DF5" w:rsidRDefault="00456002" w:rsidP="00B215EA">
            <w:pPr>
              <w:pStyle w:val="AppendixBodyText"/>
              <w:spacing w:before="60"/>
              <w:ind w:right="720"/>
              <w:rPr>
                <w:rFonts w:ascii="Tahoma" w:hAnsi="Tahoma" w:cs="Tahoma"/>
                <w:b/>
                <w:color w:val="000000"/>
                <w:sz w:val="18"/>
                <w:szCs w:val="18"/>
                <w:lang w:val="de-DE" w:eastAsia="ja-JP"/>
              </w:rPr>
            </w:pPr>
            <w:r w:rsidRPr="00C83DF5">
              <w:rPr>
                <w:rFonts w:ascii="Tahoma" w:hAnsi="Tahoma" w:cs="Tahoma"/>
                <w:b/>
                <w:lang w:val="de-DE"/>
              </w:rPr>
              <w:t>Konzernbeitritt und Konzern-Abonnement-Beitritt</w:t>
            </w:r>
          </w:p>
        </w:tc>
        <w:tc>
          <w:tcPr>
            <w:tcW w:w="6901" w:type="dxa"/>
            <w:shd w:val="clear" w:color="auto" w:fill="auto"/>
          </w:tcPr>
          <w:p w:rsidR="00456002" w:rsidRPr="00C83DF5" w:rsidRDefault="00456002" w:rsidP="00A70464">
            <w:pPr>
              <w:spacing w:before="60"/>
              <w:rPr>
                <w:lang w:val="de-DE"/>
              </w:rPr>
            </w:pPr>
            <w:r w:rsidRPr="00C83DF5">
              <w:rPr>
                <w:lang w:val="de-DE"/>
              </w:rPr>
              <w:t>Für den für Konzernvertrag (EA) und den Konzern-Abonnement-Vertrag (ESA) sind mindestens 250 Qualifizierte Geräte/Desktops oder Qualifizierte Nutzer erforderlich.</w:t>
            </w:r>
          </w:p>
          <w:p w:rsidR="00456002" w:rsidRPr="00F037D5" w:rsidRDefault="00456002" w:rsidP="00A70464">
            <w:pPr>
              <w:rPr>
                <w:lang w:val="de-DE" w:eastAsia="ja-JP"/>
              </w:rPr>
            </w:pPr>
          </w:p>
          <w:p w:rsidR="0091793D" w:rsidRPr="00C83DF5" w:rsidRDefault="0091793D" w:rsidP="004B6D8C">
            <w:pPr>
              <w:spacing w:after="60"/>
              <w:rPr>
                <w:lang w:val="de-DE"/>
              </w:rPr>
            </w:pPr>
            <w:r w:rsidRPr="00C83DF5">
              <w:rPr>
                <w:b/>
                <w:lang w:val="de-DE"/>
              </w:rPr>
              <w:t>Qualifiziertes Gerät/Qualifizierter Desktop</w:t>
            </w:r>
          </w:p>
          <w:p w:rsidR="0091793D" w:rsidRPr="00C83DF5" w:rsidRDefault="0091793D" w:rsidP="00003D41">
            <w:pPr>
              <w:rPr>
                <w:lang w:val="de-DE"/>
              </w:rPr>
            </w:pPr>
            <w:bookmarkStart w:id="602" w:name="_Toc323159729"/>
            <w:bookmarkStart w:id="603" w:name="_Toc325313134"/>
            <w:bookmarkStart w:id="604" w:name="_Toc325609169"/>
            <w:r w:rsidRPr="00C83DF5">
              <w:rPr>
                <w:lang w:val="de-DE"/>
              </w:rPr>
              <w:t xml:space="preserve">Ungeachtet gegenteiliger Bestimmungen in Ihrem Volumenlizenzvertrag umfassen Qualifizierte Geräte/Desktops keine </w:t>
            </w:r>
            <w:r w:rsidRPr="00C83DF5">
              <w:rPr>
                <w:iCs/>
                <w:lang w:val="de-DE"/>
              </w:rPr>
              <w:t>qualifizierenden Geräte Dritter,</w:t>
            </w:r>
            <w:r w:rsidRPr="00C83DF5">
              <w:rPr>
                <w:lang w:val="de-DE"/>
              </w:rPr>
              <w:t xml:space="preserve"> von denen Ihre Nutzer unter Roaming-Nutzungsrechten ausschließlich für folgende Zwecke auf die Software zugreifen und sie nutzen:</w:t>
            </w:r>
            <w:bookmarkEnd w:id="602"/>
            <w:bookmarkEnd w:id="603"/>
            <w:bookmarkEnd w:id="604"/>
          </w:p>
          <w:p w:rsidR="00456002" w:rsidRPr="00F037D5" w:rsidRDefault="00456002" w:rsidP="00A70464">
            <w:pPr>
              <w:rPr>
                <w:lang w:val="de-DE"/>
              </w:rPr>
            </w:pPr>
          </w:p>
          <w:p w:rsidR="00406CB0" w:rsidRPr="00C83DF5" w:rsidRDefault="00456002" w:rsidP="00346F4B">
            <w:pPr>
              <w:numPr>
                <w:ilvl w:val="0"/>
                <w:numId w:val="64"/>
              </w:numPr>
              <w:spacing w:after="60"/>
            </w:pPr>
            <w:r w:rsidRPr="00C83DF5">
              <w:t xml:space="preserve">Windows Software Assurance, </w:t>
            </w:r>
          </w:p>
          <w:p w:rsidR="00456002" w:rsidRPr="00C83DF5" w:rsidRDefault="00456002" w:rsidP="00346F4B">
            <w:pPr>
              <w:numPr>
                <w:ilvl w:val="0"/>
                <w:numId w:val="64"/>
              </w:numPr>
              <w:spacing w:after="60"/>
            </w:pPr>
            <w:r w:rsidRPr="00C83DF5">
              <w:t xml:space="preserve">Windows Virtual Desktop Access, </w:t>
            </w:r>
          </w:p>
          <w:p w:rsidR="00456002" w:rsidRPr="00C83DF5" w:rsidRDefault="00456002" w:rsidP="00346F4B">
            <w:pPr>
              <w:numPr>
                <w:ilvl w:val="0"/>
                <w:numId w:val="64"/>
              </w:numPr>
              <w:spacing w:after="60"/>
            </w:pPr>
            <w:r w:rsidRPr="00C83DF5">
              <w:t xml:space="preserve">Virtual Desktop Infrastructure Suites, </w:t>
            </w:r>
          </w:p>
          <w:p w:rsidR="00456002" w:rsidRPr="00C83DF5" w:rsidRDefault="00456002" w:rsidP="00346F4B">
            <w:pPr>
              <w:numPr>
                <w:ilvl w:val="0"/>
                <w:numId w:val="64"/>
              </w:numPr>
              <w:spacing w:after="60"/>
            </w:pPr>
            <w:r w:rsidRPr="00C83DF5">
              <w:t xml:space="preserve">MDOP für Software Assurance und </w:t>
            </w:r>
          </w:p>
          <w:p w:rsidR="00456002" w:rsidRPr="00C83DF5" w:rsidRDefault="00456002" w:rsidP="00346F4B">
            <w:pPr>
              <w:numPr>
                <w:ilvl w:val="0"/>
                <w:numId w:val="64"/>
              </w:numPr>
              <w:spacing w:after="60"/>
              <w:rPr>
                <w:lang w:val="de-DE"/>
              </w:rPr>
            </w:pPr>
            <w:r w:rsidRPr="00C83DF5">
              <w:rPr>
                <w:lang w:val="de-DE"/>
              </w:rPr>
              <w:t>Software Assurance für alle Editionen von Office, Project und Visio einschließlich Roaming-Nutzungsrechten.</w:t>
            </w:r>
            <w:r w:rsidR="00E71F46" w:rsidRPr="00C83DF5">
              <w:rPr>
                <w:lang w:val="de-DE"/>
              </w:rPr>
              <w:t xml:space="preserve"> </w:t>
            </w:r>
          </w:p>
          <w:p w:rsidR="00750F48" w:rsidRDefault="00750F48" w:rsidP="00A70464">
            <w:pPr>
              <w:rPr>
                <w:lang w:val="de-DE"/>
              </w:rPr>
            </w:pPr>
          </w:p>
          <w:p w:rsidR="003C68AA" w:rsidRDefault="003C68AA" w:rsidP="00A70464">
            <w:pPr>
              <w:rPr>
                <w:lang w:val="de-DE"/>
              </w:rPr>
            </w:pPr>
          </w:p>
          <w:p w:rsidR="00750F48" w:rsidRPr="00C83DF5" w:rsidRDefault="00750F48" w:rsidP="00A70464">
            <w:pPr>
              <w:rPr>
                <w:lang w:val="de-DE"/>
              </w:rPr>
            </w:pPr>
          </w:p>
          <w:p w:rsidR="00456002" w:rsidRPr="00C83DF5" w:rsidRDefault="00456002" w:rsidP="001A106B">
            <w:pPr>
              <w:rPr>
                <w:lang w:val="de-DE"/>
              </w:rPr>
            </w:pPr>
            <w:bookmarkStart w:id="605" w:name="_Toc323159730"/>
            <w:bookmarkStart w:id="606" w:name="_Toc325313135"/>
            <w:bookmarkStart w:id="607" w:name="_Toc325609170"/>
            <w:r w:rsidRPr="00C83DF5">
              <w:rPr>
                <w:lang w:val="de-DE"/>
              </w:rPr>
              <w:lastRenderedPageBreak/>
              <w:t>Ein „qualifizierendes Gerät Dritter“ ist ein Gerät, das weder direkt noch indirekt von</w:t>
            </w:r>
            <w:r w:rsidR="001A106B">
              <w:rPr>
                <w:lang w:val="de-DE"/>
              </w:rPr>
              <w:t> </w:t>
            </w:r>
            <w:r w:rsidRPr="00C83DF5">
              <w:rPr>
                <w:lang w:val="de-DE"/>
              </w:rPr>
              <w:t>Ihnen oder Ihren verbundenen Unternehmen kontrolliert wird (z. B., ein öffentlicher Kiosk eines Dritten). Weitere Informationen finden Sie in den Produktbenutzungsrechten.</w:t>
            </w:r>
            <w:bookmarkEnd w:id="605"/>
            <w:bookmarkEnd w:id="606"/>
            <w:bookmarkEnd w:id="607"/>
          </w:p>
          <w:p w:rsidR="00456002" w:rsidRPr="00C83DF5" w:rsidRDefault="00456002" w:rsidP="00E64551">
            <w:pPr>
              <w:pStyle w:val="Heading3"/>
              <w:ind w:left="70"/>
              <w:rPr>
                <w:lang w:val="de-DE"/>
              </w:rPr>
            </w:pPr>
          </w:p>
          <w:p w:rsidR="0091793D" w:rsidRPr="00C83DF5" w:rsidRDefault="0091793D" w:rsidP="004B6D8C">
            <w:pPr>
              <w:spacing w:after="60"/>
              <w:rPr>
                <w:lang w:val="de-DE"/>
              </w:rPr>
            </w:pPr>
            <w:r w:rsidRPr="00C83DF5">
              <w:rPr>
                <w:b/>
                <w:lang w:val="de-DE"/>
              </w:rPr>
              <w:t xml:space="preserve">Ausnahmen Qualifizierter Nutzer </w:t>
            </w:r>
          </w:p>
          <w:p w:rsidR="00456002" w:rsidRPr="00C83DF5" w:rsidRDefault="00456002" w:rsidP="00CE0CED">
            <w:pPr>
              <w:pStyle w:val="AppendixBodyText"/>
              <w:ind w:right="-9"/>
              <w:rPr>
                <w:lang w:val="de-DE"/>
              </w:rPr>
            </w:pPr>
            <w:r w:rsidRPr="00C83DF5">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rsidR="00456002" w:rsidRPr="00C83DF5" w:rsidRDefault="00456002" w:rsidP="00A70464">
            <w:pPr>
              <w:pStyle w:val="AppendixBodyText"/>
              <w:spacing w:after="0"/>
              <w:ind w:right="720"/>
              <w:rPr>
                <w:lang w:val="de-DE"/>
              </w:rPr>
            </w:pPr>
          </w:p>
          <w:p w:rsidR="00456002" w:rsidRPr="00C83DF5" w:rsidRDefault="00456002" w:rsidP="00346F4B">
            <w:pPr>
              <w:numPr>
                <w:ilvl w:val="0"/>
                <w:numId w:val="64"/>
              </w:numPr>
              <w:spacing w:after="60"/>
              <w:rPr>
                <w:lang w:val="de-DE"/>
              </w:rPr>
            </w:pPr>
            <w:r w:rsidRPr="00C83DF5">
              <w:rPr>
                <w:lang w:val="de-DE"/>
              </w:rPr>
              <w:t>Nutzer-Abonnementlizenz (Nutzer-AL) für Office 365 Enterprise K1</w:t>
            </w:r>
          </w:p>
          <w:p w:rsidR="00456002" w:rsidRPr="00C83DF5" w:rsidRDefault="00456002" w:rsidP="00346F4B">
            <w:pPr>
              <w:numPr>
                <w:ilvl w:val="0"/>
                <w:numId w:val="64"/>
              </w:numPr>
              <w:spacing w:after="60"/>
              <w:rPr>
                <w:lang w:val="de-DE"/>
              </w:rPr>
            </w:pPr>
            <w:r w:rsidRPr="00C83DF5">
              <w:rPr>
                <w:lang w:val="de-DE"/>
              </w:rPr>
              <w:t>Nutzer-AL für SharePoint Online Kiosk</w:t>
            </w:r>
          </w:p>
          <w:p w:rsidR="00456002" w:rsidRPr="00C83DF5" w:rsidRDefault="00456002" w:rsidP="00346F4B">
            <w:pPr>
              <w:numPr>
                <w:ilvl w:val="0"/>
                <w:numId w:val="64"/>
              </w:numPr>
              <w:spacing w:after="60"/>
              <w:rPr>
                <w:lang w:val="de-DE"/>
              </w:rPr>
            </w:pPr>
            <w:r w:rsidRPr="00C83DF5">
              <w:rPr>
                <w:lang w:val="de-DE"/>
              </w:rPr>
              <w:t>Nutzer-AL für Exchange Online Kiosk</w:t>
            </w:r>
          </w:p>
          <w:p w:rsidR="00456002" w:rsidRPr="00C83DF5" w:rsidRDefault="00456002" w:rsidP="003E2BB3">
            <w:pPr>
              <w:numPr>
                <w:ilvl w:val="0"/>
                <w:numId w:val="64"/>
              </w:numPr>
              <w:spacing w:after="60"/>
              <w:rPr>
                <w:lang w:val="de-DE"/>
              </w:rPr>
            </w:pPr>
            <w:r w:rsidRPr="00C83DF5">
              <w:rPr>
                <w:lang w:val="de-DE"/>
              </w:rPr>
              <w:t>Lizenzen für Server-Softwareprodukte oder Onlinedienste, die keine einzelnen Lizenzen für Nutzer oder Geräte, die auf diese Produkte bzw.</w:t>
            </w:r>
            <w:r w:rsidR="003E2BB3">
              <w:rPr>
                <w:lang w:val="de-DE"/>
              </w:rPr>
              <w:t> </w:t>
            </w:r>
            <w:r w:rsidRPr="00C83DF5">
              <w:rPr>
                <w:lang w:val="de-DE"/>
              </w:rPr>
              <w:t xml:space="preserve">Onlinedienste zugreifen, erfordern (wie Client-Zugriffslizenzen, </w:t>
            </w:r>
            <w:r w:rsidR="003E2BB3">
              <w:rPr>
                <w:lang w:val="de-DE"/>
              </w:rPr>
              <w:br/>
            </w:r>
            <w:r w:rsidRPr="00C83DF5">
              <w:rPr>
                <w:lang w:val="de-DE"/>
              </w:rPr>
              <w:t>Client-Management-Lizenzen, Nutzer-ALs und Geräte-ALs)</w:t>
            </w:r>
          </w:p>
          <w:p w:rsidR="00456002" w:rsidRPr="00C83DF5" w:rsidRDefault="00456002" w:rsidP="00346F4B">
            <w:pPr>
              <w:numPr>
                <w:ilvl w:val="0"/>
                <w:numId w:val="64"/>
              </w:numPr>
              <w:spacing w:after="60"/>
            </w:pPr>
            <w:r w:rsidRPr="00C83DF5">
              <w:t>Alle Externer Connector-Lizenzen</w:t>
            </w:r>
          </w:p>
          <w:p w:rsidR="00456002" w:rsidRPr="00C83DF5" w:rsidRDefault="00456002" w:rsidP="00A70464">
            <w:pPr>
              <w:pStyle w:val="AppendixBodyText"/>
              <w:spacing w:after="0"/>
              <w:ind w:right="720"/>
            </w:pPr>
          </w:p>
          <w:p w:rsidR="00456002" w:rsidRPr="00C83DF5" w:rsidRDefault="00456002" w:rsidP="0085500A">
            <w:pPr>
              <w:pStyle w:val="AppendixBodyText"/>
              <w:spacing w:after="0"/>
              <w:ind w:right="720"/>
              <w:rPr>
                <w:lang w:val="de-DE"/>
              </w:rPr>
            </w:pPr>
            <w:r w:rsidRPr="00C83DF5">
              <w:rPr>
                <w:rFonts w:ascii="Tahoma" w:hAnsi="Tahoma" w:cs="Tahoma"/>
                <w:sz w:val="18"/>
                <w:lang w:val="de-DE"/>
              </w:rPr>
              <w:t>Diese Ausnahmen Qualifizierter Nutzer gelten für alle Kunden mit Konzernvertrag und Konzern-Abonnement-Vertrag, unabhängig davon, ob</w:t>
            </w:r>
            <w:r w:rsidR="0085500A">
              <w:rPr>
                <w:rFonts w:ascii="Tahoma" w:hAnsi="Tahoma" w:cs="Tahoma"/>
                <w:sz w:val="18"/>
                <w:lang w:val="de-DE"/>
              </w:rPr>
              <w:t> </w:t>
            </w:r>
            <w:r w:rsidRPr="00C83DF5">
              <w:rPr>
                <w:rFonts w:ascii="Tahoma" w:hAnsi="Tahoma" w:cs="Tahoma"/>
                <w:sz w:val="18"/>
                <w:lang w:val="de-DE"/>
              </w:rPr>
              <w:t>Ausnahmen Qualifizierter Nutzer in den Bestimmungen der Verträge der Kunden ausdrücklich vorgesehen sind.</w:t>
            </w:r>
          </w:p>
          <w:p w:rsidR="00230E01" w:rsidRPr="00C83DF5" w:rsidRDefault="00230E01" w:rsidP="00230E01">
            <w:pPr>
              <w:pStyle w:val="AppendixBodyText"/>
              <w:spacing w:after="0"/>
              <w:ind w:right="720"/>
              <w:rPr>
                <w:rFonts w:ascii="Tahoma" w:hAnsi="Tahoma" w:cs="Tahoma"/>
                <w:sz w:val="18"/>
                <w:lang w:val="de-DE" w:eastAsia="ja-JP"/>
              </w:rPr>
            </w:pPr>
          </w:p>
        </w:tc>
      </w:tr>
      <w:tr w:rsidR="00456002" w:rsidRPr="004D388E" w:rsidTr="003C68AA">
        <w:tc>
          <w:tcPr>
            <w:tcW w:w="2468" w:type="dxa"/>
            <w:shd w:val="clear" w:color="auto" w:fill="auto"/>
          </w:tcPr>
          <w:p w:rsidR="00456002" w:rsidRPr="00C83DF5" w:rsidRDefault="00B215EA" w:rsidP="003C68AA">
            <w:pPr>
              <w:pStyle w:val="AppendixBodyText"/>
              <w:spacing w:before="60"/>
              <w:rPr>
                <w:rFonts w:ascii="Tahoma" w:hAnsi="Tahoma" w:cs="Tahoma"/>
                <w:b/>
                <w:lang w:eastAsia="ja-JP"/>
              </w:rPr>
            </w:pPr>
            <w:r w:rsidRPr="00C83DF5">
              <w:rPr>
                <w:rFonts w:ascii="Tahoma" w:hAnsi="Tahoma" w:cs="Tahoma"/>
                <w:b/>
                <w:color w:val="000000"/>
                <w:szCs w:val="18"/>
              </w:rPr>
              <w:lastRenderedPageBreak/>
              <w:t>Beitritt für Bildungslösungen (EES)</w:t>
            </w:r>
          </w:p>
        </w:tc>
        <w:tc>
          <w:tcPr>
            <w:tcW w:w="6901" w:type="dxa"/>
            <w:shd w:val="clear" w:color="auto" w:fill="auto"/>
          </w:tcPr>
          <w:p w:rsidR="00456002" w:rsidRPr="00C83DF5" w:rsidRDefault="00456002" w:rsidP="00B834BF">
            <w:pPr>
              <w:pStyle w:val="ListParagraph"/>
              <w:spacing w:before="60"/>
              <w:ind w:left="0"/>
              <w:contextualSpacing w:val="0"/>
              <w:rPr>
                <w:lang w:val="de-DE"/>
              </w:rPr>
            </w:pPr>
            <w:r w:rsidRPr="00C83DF5">
              <w:rPr>
                <w:rFonts w:ascii="Tahoma" w:hAnsi="Tahoma" w:cs="Tahoma"/>
                <w:sz w:val="18"/>
                <w:szCs w:val="18"/>
                <w:lang w:val="de-DE"/>
              </w:rPr>
              <w:t>Für EES ist eine Mindestbestellung erforderlich, die eines der folgenden Kriterien</w:t>
            </w:r>
            <w:r w:rsidR="00B834BF">
              <w:rPr>
                <w:rFonts w:ascii="Tahoma" w:hAnsi="Tahoma" w:cs="Tahoma"/>
                <w:sz w:val="18"/>
                <w:szCs w:val="18"/>
                <w:lang w:val="de-DE"/>
              </w:rPr>
              <w:t> </w:t>
            </w:r>
            <w:r w:rsidRPr="00C83DF5">
              <w:rPr>
                <w:rFonts w:ascii="Tahoma" w:hAnsi="Tahoma" w:cs="Tahoma"/>
                <w:sz w:val="18"/>
                <w:szCs w:val="18"/>
                <w:lang w:val="de-DE"/>
              </w:rPr>
              <w:t>erfüllt:</w:t>
            </w:r>
            <w:r w:rsidR="00E71F46" w:rsidRPr="00C83DF5">
              <w:rPr>
                <w:rFonts w:ascii="Tahoma" w:hAnsi="Tahoma" w:cs="Tahoma"/>
                <w:sz w:val="18"/>
                <w:szCs w:val="18"/>
                <w:lang w:val="de-DE"/>
              </w:rPr>
              <w:t xml:space="preserve"> </w:t>
            </w:r>
          </w:p>
          <w:p w:rsidR="00406CB0" w:rsidRPr="00F037D5" w:rsidRDefault="00406CB0" w:rsidP="00A70464">
            <w:pPr>
              <w:pStyle w:val="ListParagraph"/>
              <w:ind w:left="0"/>
              <w:contextualSpacing w:val="0"/>
              <w:rPr>
                <w:rFonts w:ascii="Tahoma" w:eastAsia="Meiryo" w:hAnsi="Tahoma" w:cs="Tahoma"/>
                <w:color w:val="1F497D"/>
                <w:sz w:val="18"/>
                <w:szCs w:val="18"/>
                <w:lang w:val="de-DE"/>
              </w:rPr>
            </w:pPr>
          </w:p>
          <w:p w:rsidR="00456002" w:rsidRPr="00C83DF5" w:rsidRDefault="00456002" w:rsidP="00346F4B">
            <w:pPr>
              <w:numPr>
                <w:ilvl w:val="0"/>
                <w:numId w:val="64"/>
              </w:numPr>
              <w:spacing w:after="60"/>
              <w:rPr>
                <w:lang w:val="de-DE"/>
              </w:rPr>
            </w:pPr>
            <w:r w:rsidRPr="00C83DF5">
              <w:rPr>
                <w:lang w:val="de-DE"/>
              </w:rPr>
              <w:t>mindestens ein Desktop-Plattformprodukt für eine Organisationsweite Anzahl von mindestens 1000 ODER</w:t>
            </w:r>
          </w:p>
          <w:p w:rsidR="00456002" w:rsidRPr="00C83DF5" w:rsidRDefault="00456002" w:rsidP="00346F4B">
            <w:pPr>
              <w:numPr>
                <w:ilvl w:val="0"/>
                <w:numId w:val="64"/>
              </w:numPr>
              <w:spacing w:after="60"/>
              <w:rPr>
                <w:lang w:val="de-DE"/>
              </w:rPr>
            </w:pPr>
            <w:r w:rsidRPr="00C83DF5">
              <w:rPr>
                <w:lang w:val="de-DE"/>
              </w:rPr>
              <w:t>mindestens ein Plattform-Onlinedienst für Wissenschaftliche/Sonstige Mitarbeiter in einer Menge von 1000 ODER</w:t>
            </w:r>
          </w:p>
          <w:p w:rsidR="00456002" w:rsidRPr="00C83DF5" w:rsidRDefault="00456002" w:rsidP="00346F4B">
            <w:pPr>
              <w:numPr>
                <w:ilvl w:val="0"/>
                <w:numId w:val="64"/>
              </w:numPr>
              <w:spacing w:after="60"/>
              <w:rPr>
                <w:lang w:val="de-DE"/>
              </w:rPr>
            </w:pPr>
            <w:r w:rsidRPr="00C83DF5">
              <w:rPr>
                <w:lang w:val="de-DE"/>
              </w:rPr>
              <w:t>mindestens ein Desktop-Plattformprodukt für eine Studentenanzahl von mindestens 1000 ODER</w:t>
            </w:r>
          </w:p>
          <w:p w:rsidR="00456002" w:rsidRPr="00C83DF5" w:rsidRDefault="00456002" w:rsidP="00196AA3">
            <w:pPr>
              <w:numPr>
                <w:ilvl w:val="0"/>
                <w:numId w:val="64"/>
              </w:numPr>
              <w:spacing w:after="60"/>
              <w:rPr>
                <w:lang w:val="de-DE"/>
              </w:rPr>
            </w:pPr>
            <w:r w:rsidRPr="00C83DF5">
              <w:rPr>
                <w:lang w:val="de-DE"/>
              </w:rPr>
              <w:t>mindestens ein Plattform-Onlinedienst für Studenten in einer Menge von</w:t>
            </w:r>
            <w:r w:rsidR="00196AA3">
              <w:rPr>
                <w:lang w:val="de-DE"/>
              </w:rPr>
              <w:t> </w:t>
            </w:r>
            <w:r w:rsidRPr="00C83DF5">
              <w:rPr>
                <w:lang w:val="de-DE"/>
              </w:rPr>
              <w:t xml:space="preserve">1000 </w:t>
            </w:r>
          </w:p>
          <w:p w:rsidR="00456002" w:rsidRPr="001B76E2" w:rsidRDefault="00456002" w:rsidP="00A70464">
            <w:pPr>
              <w:rPr>
                <w:rFonts w:cs="Tahoma"/>
                <w:bCs/>
                <w:color w:val="000000"/>
                <w:szCs w:val="18"/>
                <w:lang w:val="de-DE"/>
              </w:rPr>
            </w:pPr>
            <w:r w:rsidRPr="00C83DF5">
              <w:rPr>
                <w:rFonts w:cs="Tahoma"/>
                <w:bCs/>
                <w:color w:val="000000"/>
                <w:szCs w:val="18"/>
                <w:lang w:val="de-DE"/>
              </w:rPr>
              <w:t xml:space="preserve"> </w:t>
            </w:r>
          </w:p>
          <w:p w:rsidR="00A9013C" w:rsidRPr="00C83DF5" w:rsidRDefault="00456002" w:rsidP="005C647E">
            <w:pPr>
              <w:rPr>
                <w:lang w:val="de-DE"/>
              </w:rPr>
            </w:pPr>
            <w:r w:rsidRPr="00C83DF5">
              <w:rPr>
                <w:rFonts w:cs="Tahoma"/>
                <w:b/>
                <w:color w:val="000000"/>
                <w:szCs w:val="18"/>
                <w:lang w:val="de-DE"/>
              </w:rPr>
              <w:t>Anmerkung:</w:t>
            </w:r>
            <w:r w:rsidRPr="00C83DF5">
              <w:rPr>
                <w:rFonts w:cs="Tahoma"/>
                <w:color w:val="000000"/>
                <w:szCs w:val="18"/>
                <w:lang w:val="de-DE"/>
              </w:rPr>
              <w:t xml:space="preserve"> Wenn ein qualifizierender Beitritt bereitgestellt wird, kann auf diese Mindestbestellmenge verzichtet werden.</w:t>
            </w:r>
          </w:p>
          <w:p w:rsidR="00406CB0" w:rsidRPr="00F037D5" w:rsidRDefault="00406CB0" w:rsidP="005C647E">
            <w:pPr>
              <w:rPr>
                <w:rFonts w:cs="Tahoma"/>
                <w:color w:val="000000"/>
                <w:szCs w:val="18"/>
                <w:lang w:val="de-DE"/>
              </w:rPr>
            </w:pPr>
          </w:p>
          <w:p w:rsidR="00822871" w:rsidRPr="00C83DF5" w:rsidRDefault="00A9013C" w:rsidP="00230E01">
            <w:pPr>
              <w:rPr>
                <w:lang w:val="de-DE"/>
              </w:rPr>
            </w:pPr>
            <w:r w:rsidRPr="00C83DF5">
              <w:rPr>
                <w:rFonts w:cs="Tahoma"/>
                <w:b/>
                <w:color w:val="000000"/>
                <w:szCs w:val="18"/>
                <w:lang w:val="de-DE"/>
              </w:rPr>
              <w:t xml:space="preserve">Anmerkung: </w:t>
            </w:r>
            <w:r w:rsidRPr="00C83DF5">
              <w:rPr>
                <w:rFonts w:cs="Tahoma"/>
                <w:color w:val="000000"/>
                <w:szCs w:val="18"/>
                <w:lang w:val="de-DE"/>
              </w:rPr>
              <w:t>CALs (Client Access Licenses, Client-Zugriffslizenzen), die im Rahmen des Beitritts für Bildungslösungen (EES) auf nicht unternehmensweiser Basis erworben wurden, können nach Ermessen der Einrichtung als Geräte-CALs oder als Nutzer-CALs zugewiesen und genutzt werden.</w:t>
            </w:r>
            <w:r w:rsidR="00E71F46" w:rsidRPr="00C83DF5">
              <w:rPr>
                <w:rFonts w:cs="Tahoma"/>
                <w:color w:val="000000"/>
                <w:szCs w:val="18"/>
                <w:lang w:val="de-DE"/>
              </w:rPr>
              <w:t xml:space="preserve"> </w:t>
            </w:r>
            <w:r w:rsidRPr="00C83DF5">
              <w:rPr>
                <w:rFonts w:cs="Tahoma"/>
                <w:color w:val="000000"/>
                <w:szCs w:val="18"/>
                <w:lang w:val="de-DE"/>
              </w:rPr>
              <w:t>Nutzer-CALs können nicht als Geräte-CALs neu zugewiesen werden, und Geräte-CALs können nicht als Nutzer-CALs neu zugewiesen werden, wobei die folgende Ausnahme gilt:</w:t>
            </w:r>
            <w:r w:rsidR="00E71F46" w:rsidRPr="00C83DF5">
              <w:rPr>
                <w:rFonts w:cs="Tahoma"/>
                <w:color w:val="000000"/>
                <w:szCs w:val="18"/>
                <w:lang w:val="de-DE"/>
              </w:rPr>
              <w:t xml:space="preserve"> </w:t>
            </w:r>
            <w:r w:rsidRPr="00C83DF5">
              <w:rPr>
                <w:rFonts w:cs="Tahoma"/>
                <w:color w:val="000000"/>
                <w:szCs w:val="18"/>
                <w:lang w:val="de-DE"/>
              </w:rPr>
              <w:t>Jede CAL, die auf nicht Organisationsweiter Basis bestellt wurde, kann entweder als Geräte-CAL oder als Nutzer-CAL neu zugewiesen und genutzt werden, wenn das Abonnement in einem neuen Vertrag verlängert wird.</w:t>
            </w:r>
          </w:p>
          <w:p w:rsidR="00230E01" w:rsidRPr="00C83DF5" w:rsidRDefault="00230E01" w:rsidP="00230E01">
            <w:pPr>
              <w:rPr>
                <w:rFonts w:cs="Tahoma"/>
                <w:color w:val="000000"/>
                <w:szCs w:val="18"/>
                <w:lang w:val="de-DE"/>
              </w:rPr>
            </w:pPr>
          </w:p>
        </w:tc>
      </w:tr>
      <w:tr w:rsidR="00B215EA" w:rsidRPr="004D388E" w:rsidTr="00604FE1">
        <w:trPr>
          <w:trHeight w:val="7442"/>
        </w:trPr>
        <w:tc>
          <w:tcPr>
            <w:tcW w:w="2468" w:type="dxa"/>
            <w:tcBorders>
              <w:top w:val="single" w:sz="4" w:space="0" w:color="000000"/>
              <w:left w:val="single" w:sz="4" w:space="0" w:color="000000"/>
              <w:bottom w:val="single" w:sz="4" w:space="0" w:color="000000"/>
              <w:right w:val="single" w:sz="4" w:space="0" w:color="000000"/>
            </w:tcBorders>
            <w:shd w:val="clear" w:color="auto" w:fill="auto"/>
          </w:tcPr>
          <w:p w:rsidR="00B215EA" w:rsidRPr="00C83DF5" w:rsidRDefault="00B215EA" w:rsidP="00604FE1">
            <w:pPr>
              <w:pStyle w:val="AppendixBodyText"/>
              <w:keepNext/>
              <w:keepLines/>
              <w:spacing w:before="60"/>
              <w:ind w:right="-70"/>
              <w:rPr>
                <w:rFonts w:ascii="Tahoma" w:hAnsi="Tahoma" w:cs="Tahoma"/>
                <w:b/>
                <w:color w:val="000000"/>
                <w:szCs w:val="18"/>
                <w:lang w:val="de-DE" w:eastAsia="ja-JP"/>
              </w:rPr>
            </w:pPr>
            <w:bookmarkStart w:id="608" w:name="_Toc323159731"/>
            <w:bookmarkStart w:id="609" w:name="_Toc325609171"/>
            <w:bookmarkStart w:id="610" w:name="_Toc336338192"/>
            <w:r w:rsidRPr="00C83DF5">
              <w:rPr>
                <w:rFonts w:ascii="Tahoma" w:hAnsi="Tahoma" w:cs="Tahoma"/>
                <w:b/>
                <w:color w:val="000000"/>
                <w:szCs w:val="18"/>
                <w:lang w:val="de-DE"/>
              </w:rPr>
              <w:lastRenderedPageBreak/>
              <w:t>SCE (Server- und Cloud-Beitritt)</w:t>
            </w:r>
          </w:p>
        </w:tc>
        <w:tc>
          <w:tcPr>
            <w:tcW w:w="6901" w:type="dxa"/>
            <w:tcBorders>
              <w:top w:val="single" w:sz="4" w:space="0" w:color="000000"/>
              <w:left w:val="single" w:sz="4" w:space="0" w:color="000000"/>
              <w:bottom w:val="single" w:sz="4" w:space="0" w:color="000000"/>
              <w:right w:val="single" w:sz="4" w:space="0" w:color="000000"/>
            </w:tcBorders>
            <w:shd w:val="clear" w:color="auto" w:fill="auto"/>
          </w:tcPr>
          <w:p w:rsidR="00604FE1" w:rsidRPr="00F037D5" w:rsidRDefault="00604FE1" w:rsidP="00604FE1">
            <w:pPr>
              <w:keepNext/>
              <w:keepLines/>
              <w:jc w:val="center"/>
              <w:rPr>
                <w:b/>
                <w:color w:val="FFFFFF"/>
                <w:sz w:val="4"/>
                <w:szCs w:val="4"/>
                <w:lang w:val="de-DE"/>
              </w:rPr>
            </w:pPr>
          </w:p>
          <w:p w:rsidR="00604FE1" w:rsidRPr="00604FE1" w:rsidRDefault="00604FE1" w:rsidP="00604FE1">
            <w:pPr>
              <w:keepNext/>
              <w:keepLines/>
              <w:jc w:val="center"/>
              <w:rPr>
                <w:b/>
                <w:color w:val="FFFFFF"/>
                <w:sz w:val="4"/>
                <w:szCs w:val="4"/>
                <w:lang w:val="de-DE"/>
              </w:rPr>
            </w:pPr>
          </w:p>
          <w:tbl>
            <w:tblPr>
              <w:tblW w:w="666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60"/>
              <w:gridCol w:w="5106"/>
            </w:tblGrid>
            <w:tr w:rsidR="00604FE1" w:rsidRPr="004D388E" w:rsidTr="00B45450">
              <w:trPr>
                <w:trHeight w:val="556"/>
              </w:trPr>
              <w:tc>
                <w:tcPr>
                  <w:tcW w:w="1560"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604FE1" w:rsidRPr="00C83DF5" w:rsidRDefault="00604FE1" w:rsidP="00604FE1">
                  <w:pPr>
                    <w:keepNext/>
                    <w:keepLines/>
                    <w:jc w:val="center"/>
                    <w:rPr>
                      <w:rFonts w:eastAsia="Calibri"/>
                      <w:b/>
                      <w:color w:val="FFFFFF"/>
                    </w:rPr>
                  </w:pPr>
                  <w:r w:rsidRPr="00C83DF5">
                    <w:rPr>
                      <w:b/>
                      <w:color w:val="FFFFFF"/>
                    </w:rPr>
                    <w:t>Produktfamilie</w:t>
                  </w:r>
                </w:p>
              </w:tc>
              <w:tc>
                <w:tcPr>
                  <w:tcW w:w="5106"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604FE1" w:rsidRPr="00C83DF5" w:rsidRDefault="00604FE1" w:rsidP="00604FE1">
                  <w:pPr>
                    <w:keepNext/>
                    <w:keepLines/>
                    <w:jc w:val="center"/>
                    <w:rPr>
                      <w:rFonts w:eastAsia="Calibri"/>
                      <w:b/>
                      <w:color w:val="FFFFFF"/>
                      <w:lang w:val="de-DE"/>
                    </w:rPr>
                  </w:pPr>
                  <w:r w:rsidRPr="00C83DF5">
                    <w:rPr>
                      <w:b/>
                      <w:color w:val="FFFFFF"/>
                      <w:lang w:val="de-DE"/>
                    </w:rPr>
                    <w:t>Mindestanforderungen in Bezug auf die Anfangsbestellung</w:t>
                  </w:r>
                </w:p>
              </w:tc>
            </w:tr>
            <w:tr w:rsidR="00604FE1" w:rsidRPr="004D388E" w:rsidTr="00B45450">
              <w:trPr>
                <w:trHeight w:val="682"/>
              </w:trPr>
              <w:tc>
                <w:tcPr>
                  <w:tcW w:w="1560" w:type="dxa"/>
                  <w:noWrap/>
                  <w:tcMar>
                    <w:top w:w="0" w:type="dxa"/>
                    <w:left w:w="108" w:type="dxa"/>
                    <w:bottom w:w="0" w:type="dxa"/>
                    <w:right w:w="108" w:type="dxa"/>
                  </w:tcMar>
                  <w:vAlign w:val="center"/>
                  <w:hideMark/>
                </w:tcPr>
                <w:p w:rsidR="00604FE1" w:rsidRPr="00C83DF5" w:rsidRDefault="00604FE1" w:rsidP="00604FE1">
                  <w:pPr>
                    <w:jc w:val="center"/>
                    <w:rPr>
                      <w:rFonts w:eastAsia="Calibri"/>
                      <w:b/>
                      <w:color w:val="000000"/>
                    </w:rPr>
                  </w:pPr>
                  <w:r w:rsidRPr="00C83DF5">
                    <w:rPr>
                      <w:b/>
                      <w:color w:val="000000"/>
                    </w:rPr>
                    <w:t>SQL Server</w:t>
                  </w:r>
                </w:p>
              </w:tc>
              <w:tc>
                <w:tcPr>
                  <w:tcW w:w="5106" w:type="dxa"/>
                  <w:noWrap/>
                  <w:tcMar>
                    <w:top w:w="0" w:type="dxa"/>
                    <w:left w:w="108" w:type="dxa"/>
                    <w:bottom w:w="0" w:type="dxa"/>
                    <w:right w:w="108" w:type="dxa"/>
                  </w:tcMar>
                  <w:vAlign w:val="center"/>
                </w:tcPr>
                <w:p w:rsidR="00604FE1" w:rsidRPr="00C83DF5" w:rsidRDefault="00604FE1" w:rsidP="00604FE1">
                  <w:pPr>
                    <w:spacing w:after="40"/>
                    <w:rPr>
                      <w:lang w:val="de-DE"/>
                    </w:rPr>
                  </w:pPr>
                  <w:r w:rsidRPr="00C83DF5">
                    <w:rPr>
                      <w:lang w:val="de-DE"/>
                    </w:rPr>
                    <w:t>Die für 50 Cores benötigte Menge an SQL-pro-Core-Lizenzen ODER</w:t>
                  </w:r>
                  <w:r>
                    <w:rPr>
                      <w:lang w:val="de-DE"/>
                    </w:rPr>
                    <w:t xml:space="preserve"> </w:t>
                  </w:r>
                  <w:r w:rsidRPr="00C83DF5">
                    <w:rPr>
                      <w:lang w:val="de-DE"/>
                    </w:rPr>
                    <w:t>5 SQL Server-Editionen mit 250 CALs (bei SQL Server-Editionen werden CALs benötigt)</w:t>
                  </w:r>
                </w:p>
              </w:tc>
            </w:tr>
            <w:tr w:rsidR="00604FE1" w:rsidRPr="004D388E" w:rsidTr="00B45450">
              <w:trPr>
                <w:trHeight w:val="648"/>
              </w:trPr>
              <w:tc>
                <w:tcPr>
                  <w:tcW w:w="1560" w:type="dxa"/>
                  <w:noWrap/>
                  <w:tcMar>
                    <w:top w:w="0" w:type="dxa"/>
                    <w:left w:w="108" w:type="dxa"/>
                    <w:bottom w:w="0" w:type="dxa"/>
                    <w:right w:w="108" w:type="dxa"/>
                  </w:tcMar>
                  <w:vAlign w:val="center"/>
                </w:tcPr>
                <w:p w:rsidR="00604FE1" w:rsidRPr="00C83DF5" w:rsidRDefault="00604FE1" w:rsidP="00604FE1">
                  <w:pPr>
                    <w:jc w:val="center"/>
                    <w:rPr>
                      <w:b/>
                      <w:color w:val="000000"/>
                    </w:rPr>
                  </w:pPr>
                  <w:r w:rsidRPr="00C83DF5">
                    <w:rPr>
                      <w:b/>
                      <w:color w:val="000000"/>
                    </w:rPr>
                    <w:t>SQL Server Parallel Data Warehouse</w:t>
                  </w:r>
                </w:p>
              </w:tc>
              <w:tc>
                <w:tcPr>
                  <w:tcW w:w="5106" w:type="dxa"/>
                  <w:noWrap/>
                  <w:tcMar>
                    <w:top w:w="0" w:type="dxa"/>
                    <w:left w:w="108" w:type="dxa"/>
                    <w:bottom w:w="0" w:type="dxa"/>
                    <w:right w:w="108" w:type="dxa"/>
                  </w:tcMar>
                  <w:vAlign w:val="center"/>
                </w:tcPr>
                <w:p w:rsidR="00604FE1" w:rsidRPr="00C83DF5" w:rsidRDefault="00604FE1" w:rsidP="00604FE1">
                  <w:pPr>
                    <w:spacing w:after="40"/>
                    <w:rPr>
                      <w:color w:val="000000"/>
                      <w:lang w:val="de-DE"/>
                    </w:rPr>
                  </w:pPr>
                  <w:r w:rsidRPr="00C83DF5">
                    <w:rPr>
                      <w:lang w:val="de-DE"/>
                    </w:rPr>
                    <w:t xml:space="preserve">32 Cores. In der Tabelle oben muss die SQL Server-Produktfamilie ausgewählt werden. Die SQL Parallel Data Warehouse-Cores werden auf die Mindestmengen von </w:t>
                  </w:r>
                  <w:r w:rsidR="00B45450">
                    <w:rPr>
                      <w:lang w:val="de-DE"/>
                    </w:rPr>
                    <w:br/>
                  </w:r>
                  <w:r w:rsidRPr="00C83DF5">
                    <w:rPr>
                      <w:lang w:val="de-DE"/>
                    </w:rPr>
                    <w:t>SQL-pro-Core-Editionen angerechnet.</w:t>
                  </w:r>
                </w:p>
              </w:tc>
            </w:tr>
            <w:tr w:rsidR="00604FE1" w:rsidRPr="004D388E" w:rsidTr="00B45450">
              <w:trPr>
                <w:trHeight w:val="636"/>
              </w:trPr>
              <w:tc>
                <w:tcPr>
                  <w:tcW w:w="1560" w:type="dxa"/>
                  <w:noWrap/>
                  <w:tcMar>
                    <w:top w:w="0" w:type="dxa"/>
                    <w:left w:w="108" w:type="dxa"/>
                    <w:bottom w:w="0" w:type="dxa"/>
                    <w:right w:w="108" w:type="dxa"/>
                  </w:tcMar>
                  <w:vAlign w:val="center"/>
                  <w:hideMark/>
                </w:tcPr>
                <w:p w:rsidR="00604FE1" w:rsidRPr="00C83DF5" w:rsidRDefault="00604FE1" w:rsidP="00604FE1">
                  <w:pPr>
                    <w:jc w:val="center"/>
                    <w:rPr>
                      <w:rFonts w:eastAsia="Calibri"/>
                      <w:b/>
                      <w:color w:val="000000"/>
                    </w:rPr>
                  </w:pPr>
                  <w:r w:rsidRPr="00C83DF5">
                    <w:rPr>
                      <w:b/>
                      <w:color w:val="000000"/>
                    </w:rPr>
                    <w:t>BizTalk Server</w:t>
                  </w:r>
                </w:p>
              </w:tc>
              <w:tc>
                <w:tcPr>
                  <w:tcW w:w="5106" w:type="dxa"/>
                  <w:noWrap/>
                  <w:tcMar>
                    <w:top w:w="0" w:type="dxa"/>
                    <w:left w:w="108" w:type="dxa"/>
                    <w:bottom w:w="0" w:type="dxa"/>
                    <w:right w:w="108" w:type="dxa"/>
                  </w:tcMar>
                  <w:vAlign w:val="center"/>
                  <w:hideMark/>
                </w:tcPr>
                <w:p w:rsidR="00604FE1" w:rsidRPr="00C83DF5" w:rsidRDefault="00604FE1" w:rsidP="00604FE1">
                  <w:pPr>
                    <w:spacing w:after="40"/>
                    <w:rPr>
                      <w:rFonts w:eastAsia="Calibri"/>
                      <w:color w:val="000000"/>
                      <w:lang w:val="de-DE"/>
                    </w:rPr>
                  </w:pPr>
                  <w:r w:rsidRPr="00C83DF5">
                    <w:rPr>
                      <w:color w:val="000000"/>
                      <w:lang w:val="de-DE"/>
                    </w:rPr>
                    <w:t>24 Cores einer beliebigen Kombination von BizTalk Server-Editionen.</w:t>
                  </w:r>
                  <w:r w:rsidRPr="00C83DF5">
                    <w:rPr>
                      <w:lang w:val="de-DE"/>
                    </w:rPr>
                    <w:t xml:space="preserve"> In der Tabelle oben muss die SQL Server-Produktfamilie ausgewählt werden.</w:t>
                  </w:r>
                </w:p>
              </w:tc>
            </w:tr>
            <w:tr w:rsidR="00604FE1" w:rsidRPr="004D388E" w:rsidTr="00B45450">
              <w:trPr>
                <w:trHeight w:val="1943"/>
              </w:trPr>
              <w:tc>
                <w:tcPr>
                  <w:tcW w:w="1560" w:type="dxa"/>
                  <w:noWrap/>
                  <w:tcMar>
                    <w:top w:w="0" w:type="dxa"/>
                    <w:left w:w="108" w:type="dxa"/>
                    <w:bottom w:w="0" w:type="dxa"/>
                    <w:right w:w="108" w:type="dxa"/>
                  </w:tcMar>
                  <w:vAlign w:val="center"/>
                  <w:hideMark/>
                </w:tcPr>
                <w:p w:rsidR="00604FE1" w:rsidRPr="00C83DF5" w:rsidRDefault="00604FE1" w:rsidP="00604FE1">
                  <w:pPr>
                    <w:jc w:val="center"/>
                    <w:rPr>
                      <w:rFonts w:eastAsia="Calibri"/>
                      <w:b/>
                      <w:color w:val="000000"/>
                    </w:rPr>
                  </w:pPr>
                  <w:r w:rsidRPr="00C83DF5">
                    <w:rPr>
                      <w:b/>
                      <w:color w:val="000000"/>
                    </w:rPr>
                    <w:t xml:space="preserve">Visual Studio </w:t>
                  </w:r>
                </w:p>
              </w:tc>
              <w:tc>
                <w:tcPr>
                  <w:tcW w:w="5106" w:type="dxa"/>
                  <w:noWrap/>
                  <w:tcMar>
                    <w:top w:w="0" w:type="dxa"/>
                    <w:left w:w="108" w:type="dxa"/>
                    <w:bottom w:w="0" w:type="dxa"/>
                    <w:right w:w="108" w:type="dxa"/>
                  </w:tcMar>
                  <w:vAlign w:val="center"/>
                  <w:hideMark/>
                </w:tcPr>
                <w:p w:rsidR="00604FE1" w:rsidRPr="00C83DF5" w:rsidRDefault="00604FE1" w:rsidP="00604FE1">
                  <w:pPr>
                    <w:spacing w:after="40"/>
                    <w:rPr>
                      <w:color w:val="000000"/>
                      <w:lang w:val="de-DE"/>
                    </w:rPr>
                  </w:pPr>
                  <w:r w:rsidRPr="00C83DF5">
                    <w:rPr>
                      <w:lang w:val="de-DE"/>
                    </w:rPr>
                    <w:t>20 Lizenzen einer beliebigen Kombination von: Visual Studio Ultimate mit MSDN und Visual Studio Premium mit MSDN. Für jeden Nutzer von Software, die über ein MSDN-Abonnement lizenziert ist, wird eine Baseline-Lizenz benötigt. Die Nutzung von MSDN-Software umfasst unter anderem das Entwickeln und Testen von Programmen unter Verwendung der Software sowie das Installieren, Konfigurieren und Verwalten der Software. Beispiele für Nutzer sind unter anderem: Entwickler,</w:t>
                  </w:r>
                  <w:r>
                    <w:rPr>
                      <w:lang w:val="de-DE"/>
                    </w:rPr>
                    <w:t> </w:t>
                  </w:r>
                  <w:r w:rsidRPr="00C83DF5">
                    <w:rPr>
                      <w:lang w:val="de-DE"/>
                    </w:rPr>
                    <w:t xml:space="preserve">Tester und andere IT-Mitarbeiter, die mit Anwendungsentwicklungsinfrastrukturen interagieren. </w:t>
                  </w:r>
                </w:p>
              </w:tc>
            </w:tr>
            <w:tr w:rsidR="00604FE1" w:rsidRPr="004D388E" w:rsidTr="00B45450">
              <w:trPr>
                <w:trHeight w:val="424"/>
              </w:trPr>
              <w:tc>
                <w:tcPr>
                  <w:tcW w:w="1560" w:type="dxa"/>
                  <w:noWrap/>
                  <w:tcMar>
                    <w:top w:w="0" w:type="dxa"/>
                    <w:left w:w="108" w:type="dxa"/>
                    <w:bottom w:w="0" w:type="dxa"/>
                    <w:right w:w="108" w:type="dxa"/>
                  </w:tcMar>
                  <w:vAlign w:val="center"/>
                  <w:hideMark/>
                </w:tcPr>
                <w:p w:rsidR="00604FE1" w:rsidRPr="00C83DF5" w:rsidRDefault="00604FE1" w:rsidP="00604FE1">
                  <w:pPr>
                    <w:jc w:val="center"/>
                    <w:rPr>
                      <w:rFonts w:eastAsia="Calibri"/>
                      <w:b/>
                      <w:color w:val="000000"/>
                    </w:rPr>
                  </w:pPr>
                  <w:r w:rsidRPr="00C83DF5">
                    <w:rPr>
                      <w:b/>
                      <w:color w:val="000000"/>
                    </w:rPr>
                    <w:t>SharePoint Server</w:t>
                  </w:r>
                </w:p>
              </w:tc>
              <w:tc>
                <w:tcPr>
                  <w:tcW w:w="5106" w:type="dxa"/>
                  <w:noWrap/>
                  <w:tcMar>
                    <w:top w:w="0" w:type="dxa"/>
                    <w:left w:w="108" w:type="dxa"/>
                    <w:bottom w:w="0" w:type="dxa"/>
                    <w:right w:w="108" w:type="dxa"/>
                  </w:tcMar>
                  <w:vAlign w:val="center"/>
                  <w:hideMark/>
                </w:tcPr>
                <w:p w:rsidR="00604FE1" w:rsidRPr="00C83DF5" w:rsidRDefault="00604FE1" w:rsidP="00604FE1">
                  <w:pPr>
                    <w:spacing w:after="40"/>
                    <w:rPr>
                      <w:rFonts w:eastAsia="Calibri"/>
                      <w:color w:val="000000"/>
                      <w:lang w:val="de-DE"/>
                    </w:rPr>
                  </w:pPr>
                  <w:r w:rsidRPr="00C83DF5">
                    <w:rPr>
                      <w:lang w:val="de-DE"/>
                    </w:rPr>
                    <w:t>5 Server. In der Tabelle oben muss die SQL Server-Produktfamilie ausgewählt werden.</w:t>
                  </w:r>
                </w:p>
              </w:tc>
            </w:tr>
            <w:tr w:rsidR="00604FE1" w:rsidRPr="004D388E" w:rsidTr="00B45450">
              <w:trPr>
                <w:trHeight w:val="1308"/>
              </w:trPr>
              <w:tc>
                <w:tcPr>
                  <w:tcW w:w="1560" w:type="dxa"/>
                  <w:noWrap/>
                  <w:tcMar>
                    <w:top w:w="0" w:type="dxa"/>
                    <w:left w:w="108" w:type="dxa"/>
                    <w:bottom w:w="0" w:type="dxa"/>
                    <w:right w:w="108" w:type="dxa"/>
                  </w:tcMar>
                  <w:vAlign w:val="center"/>
                </w:tcPr>
                <w:p w:rsidR="00604FE1" w:rsidRPr="00C83DF5" w:rsidRDefault="00604FE1" w:rsidP="00604FE1">
                  <w:pPr>
                    <w:jc w:val="center"/>
                    <w:rPr>
                      <w:b/>
                      <w:color w:val="000000"/>
                    </w:rPr>
                  </w:pPr>
                  <w:r w:rsidRPr="00C83DF5">
                    <w:rPr>
                      <w:b/>
                      <w:color w:val="000000"/>
                    </w:rPr>
                    <w:t>Core Infrastructure Suites</w:t>
                  </w:r>
                </w:p>
              </w:tc>
              <w:tc>
                <w:tcPr>
                  <w:tcW w:w="5106" w:type="dxa"/>
                  <w:noWrap/>
                  <w:tcMar>
                    <w:top w:w="0" w:type="dxa"/>
                    <w:left w:w="108" w:type="dxa"/>
                    <w:bottom w:w="0" w:type="dxa"/>
                    <w:right w:w="108" w:type="dxa"/>
                  </w:tcMar>
                  <w:vAlign w:val="center"/>
                </w:tcPr>
                <w:p w:rsidR="00604FE1" w:rsidRPr="00C83DF5" w:rsidRDefault="00604FE1" w:rsidP="00604FE1">
                  <w:pPr>
                    <w:spacing w:after="40"/>
                    <w:rPr>
                      <w:lang w:val="de-DE"/>
                    </w:rPr>
                  </w:pPr>
                  <w:r w:rsidRPr="00C83DF5">
                    <w:rPr>
                      <w:lang w:val="de-DE"/>
                    </w:rPr>
                    <w:t>Alle lizenzierten Windows Server-Bereitstellungen müssen mit einer entsprechenden Core Infrastructure Suite-SKU lizenziert werden. Die Mindestbestellmenge beträgt 25 Lizenzen für 50 Prozessoren (jede Lizenz deckt bis zu zwei physische Prozessoren ab) für Core Infrastructure Server Suites Standard oder Datacenter (egal, ob nur eine Edition oder eine</w:t>
                  </w:r>
                  <w:r>
                    <w:rPr>
                      <w:lang w:val="de-DE"/>
                    </w:rPr>
                    <w:t> </w:t>
                  </w:r>
                  <w:r w:rsidRPr="00C83DF5">
                    <w:rPr>
                      <w:lang w:val="de-DE"/>
                    </w:rPr>
                    <w:t>beliebige Kombination von beiden)</w:t>
                  </w:r>
                </w:p>
              </w:tc>
            </w:tr>
          </w:tbl>
          <w:p w:rsidR="00B215EA" w:rsidRPr="00604FE1" w:rsidRDefault="00B215EA" w:rsidP="00604FE1">
            <w:pPr>
              <w:pStyle w:val="ListParagraph"/>
              <w:keepNext/>
              <w:keepLines/>
              <w:spacing w:before="60"/>
              <w:ind w:left="0"/>
              <w:contextualSpacing w:val="0"/>
              <w:rPr>
                <w:rFonts w:ascii="Tahoma" w:hAnsi="Tahoma" w:cs="Tahoma"/>
                <w:sz w:val="18"/>
                <w:szCs w:val="18"/>
                <w:lang w:val="de-DE" w:eastAsia="ja-JP"/>
              </w:rPr>
            </w:pPr>
          </w:p>
        </w:tc>
      </w:tr>
    </w:tbl>
    <w:p w:rsidR="00366502" w:rsidRPr="00604FE1" w:rsidRDefault="00366502" w:rsidP="00456002">
      <w:pPr>
        <w:pStyle w:val="Heading3"/>
        <w:ind w:right="720"/>
        <w:rPr>
          <w:lang w:val="de-DE"/>
        </w:rPr>
      </w:pPr>
    </w:p>
    <w:p w:rsidR="00456002" w:rsidRPr="00C83DF5" w:rsidRDefault="00456002" w:rsidP="00456002">
      <w:pPr>
        <w:pStyle w:val="Heading3"/>
        <w:ind w:right="720"/>
      </w:pPr>
      <w:bookmarkStart w:id="611" w:name="_Toc370983300"/>
      <w:r w:rsidRPr="00C83DF5">
        <w:rPr>
          <w:rFonts w:ascii="Tahoma" w:hAnsi="Tahoma" w:cs="Tahoma"/>
          <w:sz w:val="24"/>
          <w:szCs w:val="22"/>
        </w:rPr>
        <w:t>Plattformen</w:t>
      </w:r>
      <w:bookmarkEnd w:id="608"/>
      <w:bookmarkEnd w:id="609"/>
      <w:bookmarkEnd w:id="610"/>
      <w:bookmarkEnd w:id="611"/>
    </w:p>
    <w:p w:rsidR="00456002" w:rsidRPr="00C83DF5"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C83DF5" w:rsidTr="00F16141">
        <w:trPr>
          <w:tblHeader/>
        </w:trPr>
        <w:tc>
          <w:tcPr>
            <w:tcW w:w="1890" w:type="dxa"/>
            <w:shd w:val="clear" w:color="auto" w:fill="FABF8F"/>
          </w:tcPr>
          <w:p w:rsidR="00456002" w:rsidRPr="00C83DF5" w:rsidRDefault="00456002" w:rsidP="00E64551">
            <w:pPr>
              <w:rPr>
                <w:b/>
                <w:sz w:val="22"/>
                <w:lang w:eastAsia="ja-JP"/>
              </w:rPr>
            </w:pPr>
            <w:r w:rsidRPr="00C83DF5">
              <w:rPr>
                <w:b/>
                <w:sz w:val="22"/>
              </w:rPr>
              <w:t>Programme</w:t>
            </w:r>
          </w:p>
        </w:tc>
        <w:tc>
          <w:tcPr>
            <w:tcW w:w="7308" w:type="dxa"/>
            <w:shd w:val="clear" w:color="auto" w:fill="FABF8F"/>
          </w:tcPr>
          <w:p w:rsidR="00456002" w:rsidRPr="00C83DF5" w:rsidRDefault="00456002" w:rsidP="005C647E">
            <w:pPr>
              <w:jc w:val="center"/>
              <w:rPr>
                <w:b/>
                <w:sz w:val="22"/>
                <w:lang w:eastAsia="ja-JP"/>
              </w:rPr>
            </w:pPr>
            <w:r w:rsidRPr="00C83DF5">
              <w:rPr>
                <w:b/>
                <w:sz w:val="22"/>
              </w:rPr>
              <w:t>Plattformen</w:t>
            </w:r>
          </w:p>
        </w:tc>
      </w:tr>
      <w:tr w:rsidR="00456002" w:rsidRPr="004D388E" w:rsidTr="005D3212">
        <w:trPr>
          <w:trHeight w:val="4022"/>
        </w:trPr>
        <w:tc>
          <w:tcPr>
            <w:tcW w:w="1890" w:type="dxa"/>
            <w:shd w:val="clear" w:color="auto" w:fill="auto"/>
          </w:tcPr>
          <w:p w:rsidR="00456002" w:rsidRPr="00C83DF5" w:rsidRDefault="00DD367D" w:rsidP="00A51838">
            <w:pPr>
              <w:spacing w:before="60"/>
              <w:rPr>
                <w:b/>
                <w:lang w:val="de-DE" w:eastAsia="ja-JP"/>
              </w:rPr>
            </w:pPr>
            <w:r w:rsidRPr="00C83DF5">
              <w:rPr>
                <w:rFonts w:cs="Tahoma"/>
                <w:b/>
                <w:lang w:val="de-DE"/>
              </w:rPr>
              <w:t>Konzernvertrag und Konzern-Abonnement-Vertrag</w:t>
            </w:r>
          </w:p>
        </w:tc>
        <w:tc>
          <w:tcPr>
            <w:tcW w:w="7308" w:type="dxa"/>
            <w:shd w:val="clear" w:color="auto" w:fill="auto"/>
          </w:tcPr>
          <w:p w:rsidR="00456002" w:rsidRPr="00C83DF5" w:rsidRDefault="00456002" w:rsidP="00346F4B">
            <w:pPr>
              <w:pStyle w:val="ListParagraph"/>
              <w:numPr>
                <w:ilvl w:val="0"/>
                <w:numId w:val="123"/>
              </w:numPr>
              <w:spacing w:before="60" w:after="60"/>
              <w:ind w:left="245"/>
            </w:pPr>
            <w:r w:rsidRPr="00C83DF5">
              <w:rPr>
                <w:rFonts w:ascii="Tahoma" w:hAnsi="Tahoma" w:cs="Tahoma"/>
                <w:b/>
                <w:sz w:val="18"/>
              </w:rPr>
              <w:t>Produkte der Enterprise Desktop-Plattform</w:t>
            </w:r>
          </w:p>
          <w:p w:rsidR="00456002" w:rsidRPr="00C83DF5" w:rsidRDefault="00456002" w:rsidP="005C672E">
            <w:pPr>
              <w:rPr>
                <w:lang w:val="de-DE"/>
              </w:rPr>
            </w:pPr>
            <w:r w:rsidRPr="00C83DF5">
              <w:rPr>
                <w:rFonts w:cs="Tahoma"/>
                <w:color w:val="000000"/>
                <w:szCs w:val="18"/>
              </w:rPr>
              <w:t>Die Enterprise Desktop-Plattformprodukte stehen Kunden mit Konzernvertrag zur Verfügung Die Enterprise Desktop-Plattform umfasst die aktuellste Version von Office</w:t>
            </w:r>
            <w:r w:rsidR="005C672E">
              <w:rPr>
                <w:rFonts w:cs="Tahoma"/>
                <w:color w:val="000000"/>
                <w:szCs w:val="18"/>
              </w:rPr>
              <w:t> </w:t>
            </w:r>
            <w:r w:rsidRPr="00C83DF5">
              <w:rPr>
                <w:rFonts w:cs="Tahoma"/>
                <w:szCs w:val="18"/>
              </w:rPr>
              <w:t>Professional Plus</w:t>
            </w:r>
            <w:r w:rsidRPr="00C83DF5">
              <w:rPr>
                <w:rFonts w:cs="Tahoma"/>
                <w:color w:val="000000"/>
                <w:szCs w:val="18"/>
              </w:rPr>
              <w:t>, Windows 8 Pro-Betriebssystem-Upgrade oder Windows Virtual</w:t>
            </w:r>
            <w:r w:rsidR="005C672E">
              <w:rPr>
                <w:rFonts w:cs="Tahoma"/>
                <w:color w:val="000000"/>
                <w:szCs w:val="18"/>
              </w:rPr>
              <w:t> </w:t>
            </w:r>
            <w:r w:rsidRPr="00C83DF5">
              <w:rPr>
                <w:rFonts w:cs="Tahoma"/>
                <w:color w:val="000000"/>
                <w:szCs w:val="18"/>
              </w:rPr>
              <w:t xml:space="preserve">Desktop Access (VDA) und die Client-Zugriffslizenz der Enterprise CAL Suite. </w:t>
            </w:r>
            <w:r w:rsidRPr="00C83DF5">
              <w:rPr>
                <w:rFonts w:cs="Tahoma"/>
                <w:color w:val="000000"/>
                <w:szCs w:val="18"/>
                <w:lang w:val="de-DE"/>
              </w:rPr>
              <w:t>Die</w:t>
            </w:r>
            <w:r w:rsidR="005C672E">
              <w:rPr>
                <w:rFonts w:cs="Tahoma"/>
                <w:color w:val="000000"/>
                <w:szCs w:val="18"/>
                <w:lang w:val="de-DE"/>
              </w:rPr>
              <w:t> </w:t>
            </w:r>
            <w:r w:rsidRPr="00C83DF5">
              <w:rPr>
                <w:rFonts w:cs="Tahoma"/>
                <w:color w:val="000000"/>
                <w:szCs w:val="18"/>
                <w:lang w:val="de-DE"/>
              </w:rPr>
              <w:t>Produkte der Enterprise Desktop-Plattform sind in der Spalte „Konzernvertrag“ mit</w:t>
            </w:r>
            <w:r w:rsidR="005C672E">
              <w:rPr>
                <w:rFonts w:cs="Tahoma"/>
                <w:color w:val="000000"/>
                <w:szCs w:val="18"/>
                <w:lang w:val="de-DE"/>
              </w:rPr>
              <w:t> </w:t>
            </w:r>
            <w:r w:rsidRPr="00C83DF5">
              <w:rPr>
                <w:rFonts w:cs="Tahoma"/>
                <w:color w:val="000000"/>
                <w:szCs w:val="18"/>
                <w:lang w:val="de-DE"/>
              </w:rPr>
              <w:t>einem „E“ gekennzeichnet.</w:t>
            </w:r>
            <w:r w:rsidR="00E71F46" w:rsidRPr="00C83DF5">
              <w:rPr>
                <w:rFonts w:cs="Tahoma"/>
                <w:color w:val="000000"/>
                <w:szCs w:val="18"/>
                <w:lang w:val="de-DE"/>
              </w:rPr>
              <w:t xml:space="preserve"> </w:t>
            </w:r>
            <w:r w:rsidRPr="00C83DF5">
              <w:rPr>
                <w:rFonts w:cs="Tahoma"/>
                <w:color w:val="000000"/>
                <w:szCs w:val="18"/>
                <w:lang w:val="de-DE"/>
              </w:rPr>
              <w:t>Kunden mit Konzern- und Konzern-Abonnement-Vertrag können die Enterprise Desktop-Plattform auch mit MDOP erwerben.</w:t>
            </w:r>
          </w:p>
          <w:p w:rsidR="00456002" w:rsidRPr="00F037D5" w:rsidRDefault="00456002" w:rsidP="005C647E">
            <w:pPr>
              <w:rPr>
                <w:rFonts w:cs="Tahoma"/>
                <w:color w:val="000000"/>
                <w:szCs w:val="18"/>
                <w:lang w:val="de-DE"/>
              </w:rPr>
            </w:pPr>
          </w:p>
          <w:p w:rsidR="00456002" w:rsidRPr="00C83DF5" w:rsidRDefault="00456002" w:rsidP="00346F4B">
            <w:pPr>
              <w:pStyle w:val="ListParagraph"/>
              <w:numPr>
                <w:ilvl w:val="0"/>
                <w:numId w:val="123"/>
              </w:numPr>
              <w:spacing w:after="60"/>
              <w:ind w:left="252"/>
            </w:pPr>
            <w:r w:rsidRPr="00C83DF5">
              <w:rPr>
                <w:rFonts w:ascii="Tahoma" w:hAnsi="Tahoma" w:cs="Tahoma"/>
                <w:b/>
                <w:sz w:val="18"/>
              </w:rPr>
              <w:t>Produkte der Professional Desktop-Plattform</w:t>
            </w:r>
          </w:p>
          <w:p w:rsidR="00456002" w:rsidRPr="00C83DF5" w:rsidRDefault="00456002" w:rsidP="005D3212">
            <w:pPr>
              <w:rPr>
                <w:rFonts w:cs="Tahoma"/>
                <w:szCs w:val="18"/>
                <w:lang w:val="de-DE" w:eastAsia="ja-JP"/>
              </w:rPr>
            </w:pPr>
            <w:r w:rsidRPr="00C83DF5">
              <w:rPr>
                <w:rFonts w:cs="Tahoma"/>
                <w:color w:val="000000"/>
                <w:szCs w:val="18"/>
                <w:lang w:val="de-DE"/>
              </w:rPr>
              <w:t>Die Produkte der Professional Desktop-Plattform stehen Kunden mit Konzernvertrag zur Verfügung. Die Professional Desktop-Plattform enthält die aktuellste Version von Office Professional Plus, Windows 8 Pro-Betriebssystem-Upgrade oder Windows Virtual Desktop Access (VDA) (nur für Konzernverträge) und die Client-Zugriffslizenz der Core CAL Suite. Die Produkte der Professional Desktop-Plattform sind in der Spalte „Konzernvertrag“ mit einem „E“ gekennzeichnet. Kunden mit Konzern- und Konzern-Abonnement-Vertrag können die Professional Desktop-Plattform auch mit MDOP erwerben.</w:t>
            </w:r>
          </w:p>
        </w:tc>
      </w:tr>
      <w:tr w:rsidR="00456002" w:rsidRPr="004D388E" w:rsidTr="00E72B9D">
        <w:trPr>
          <w:trHeight w:val="278"/>
        </w:trPr>
        <w:tc>
          <w:tcPr>
            <w:tcW w:w="1890" w:type="dxa"/>
            <w:shd w:val="clear" w:color="auto" w:fill="auto"/>
          </w:tcPr>
          <w:p w:rsidR="00456002" w:rsidRPr="00C83DF5" w:rsidRDefault="00456002" w:rsidP="00230E01">
            <w:pPr>
              <w:spacing w:before="60"/>
              <w:rPr>
                <w:b/>
                <w:lang w:eastAsia="ja-JP"/>
              </w:rPr>
            </w:pPr>
            <w:r w:rsidRPr="00C83DF5">
              <w:rPr>
                <w:b/>
                <w:sz w:val="20"/>
              </w:rPr>
              <w:lastRenderedPageBreak/>
              <w:t>Open Value und Open Value Subscription (Commercial und Verwaltung)</w:t>
            </w:r>
          </w:p>
        </w:tc>
        <w:tc>
          <w:tcPr>
            <w:tcW w:w="7308" w:type="dxa"/>
            <w:shd w:val="clear" w:color="auto" w:fill="auto"/>
          </w:tcPr>
          <w:p w:rsidR="00456002" w:rsidRPr="00C83DF5" w:rsidRDefault="00456002" w:rsidP="00346F4B">
            <w:pPr>
              <w:pStyle w:val="ListParagraph"/>
              <w:numPr>
                <w:ilvl w:val="0"/>
                <w:numId w:val="123"/>
              </w:numPr>
              <w:spacing w:before="60" w:after="60"/>
              <w:ind w:left="245"/>
            </w:pPr>
            <w:r w:rsidRPr="00C83DF5">
              <w:rPr>
                <w:rFonts w:ascii="Tahoma" w:hAnsi="Tahoma" w:cs="Tahoma"/>
                <w:b/>
                <w:sz w:val="18"/>
              </w:rPr>
              <w:t>Produkte der angepassten Desktop-Plattform</w:t>
            </w:r>
          </w:p>
          <w:p w:rsidR="00456002" w:rsidRPr="00C83DF5" w:rsidRDefault="00456002" w:rsidP="0006021D">
            <w:pPr>
              <w:rPr>
                <w:lang w:val="de-DE"/>
              </w:rPr>
            </w:pPr>
            <w:r w:rsidRPr="00C83DF5">
              <w:rPr>
                <w:rFonts w:cs="Tahoma"/>
                <w:color w:val="000000"/>
                <w:szCs w:val="18"/>
                <w:lang w:val="de-DE"/>
              </w:rPr>
              <w:t>Produkte der angepassten Desktop-Plattform stehen Open Value- und</w:t>
            </w:r>
            <w:r w:rsidR="0006021D">
              <w:rPr>
                <w:rFonts w:cs="Tahoma"/>
                <w:color w:val="000000"/>
                <w:szCs w:val="18"/>
                <w:lang w:val="de-DE"/>
              </w:rPr>
              <w:t> </w:t>
            </w:r>
            <w:r w:rsidRPr="00C83DF5">
              <w:rPr>
                <w:rFonts w:cs="Tahoma"/>
                <w:color w:val="000000"/>
                <w:szCs w:val="18"/>
                <w:lang w:val="de-DE"/>
              </w:rPr>
              <w:t>Open</w:t>
            </w:r>
            <w:r w:rsidR="0006021D">
              <w:rPr>
                <w:rFonts w:cs="Tahoma"/>
                <w:color w:val="000000"/>
                <w:szCs w:val="18"/>
                <w:lang w:val="de-DE"/>
              </w:rPr>
              <w:t> </w:t>
            </w:r>
            <w:r w:rsidRPr="00C83DF5">
              <w:rPr>
                <w:rFonts w:cs="Tahoma"/>
                <w:color w:val="000000"/>
                <w:szCs w:val="18"/>
                <w:lang w:val="de-DE"/>
              </w:rPr>
              <w:t>Value</w:t>
            </w:r>
            <w:r w:rsidR="0006021D">
              <w:rPr>
                <w:rFonts w:cs="Tahoma"/>
                <w:color w:val="000000"/>
                <w:szCs w:val="18"/>
                <w:lang w:val="de-DE"/>
              </w:rPr>
              <w:t> </w:t>
            </w:r>
            <w:r w:rsidRPr="00C83DF5">
              <w:rPr>
                <w:rFonts w:cs="Tahoma"/>
                <w:color w:val="000000"/>
                <w:szCs w:val="18"/>
                <w:lang w:val="de-DE"/>
              </w:rPr>
              <w:t xml:space="preserve">Subscription-Kunden zur Verfügung, wenn sie die </w:t>
            </w:r>
            <w:r w:rsidRPr="00C83DF5">
              <w:rPr>
                <w:rFonts w:cs="Tahoma"/>
                <w:szCs w:val="18"/>
                <w:lang w:val="de-DE"/>
              </w:rPr>
              <w:t>Organisationsweite/Unternehmensweite</w:t>
            </w:r>
            <w:r w:rsidRPr="00C83DF5">
              <w:rPr>
                <w:rFonts w:cs="Tahoma"/>
                <w:color w:val="000000"/>
                <w:szCs w:val="18"/>
                <w:lang w:val="de-DE"/>
              </w:rPr>
              <w:t xml:space="preserve"> Option auswählen. Die angepasste Desktop-Plattform enthält aktuelle Versionen von Office Professional Plus, Windows 8 Pro-Betriebssystem-Upgrade*, die Client-Zugriffslizenz für Enterprise CAL Suite, Core CAL Suite, die Essential Business Server-CAL-Suite oder die Small Business Server-CAL-Suite. Die Produkte der angepassten Desktop-Plattform sind in den Open Value-Spalten mit einem „E“ gekennzeichnet.</w:t>
            </w:r>
            <w:r w:rsidR="00E71F46" w:rsidRPr="00C83DF5">
              <w:rPr>
                <w:rFonts w:cs="Tahoma"/>
                <w:color w:val="000000"/>
                <w:szCs w:val="18"/>
                <w:lang w:val="de-DE"/>
              </w:rPr>
              <w:t xml:space="preserve"> </w:t>
            </w:r>
          </w:p>
          <w:p w:rsidR="00456002" w:rsidRPr="00C83DF5" w:rsidRDefault="00456002" w:rsidP="005C647E">
            <w:pPr>
              <w:rPr>
                <w:rFonts w:cs="Tahoma"/>
                <w:szCs w:val="18"/>
                <w:lang w:val="de-DE" w:eastAsia="ja-JP"/>
              </w:rPr>
            </w:pPr>
          </w:p>
        </w:tc>
      </w:tr>
      <w:tr w:rsidR="00456002" w:rsidRPr="004D388E" w:rsidTr="00E72B9D">
        <w:trPr>
          <w:trHeight w:val="278"/>
        </w:trPr>
        <w:tc>
          <w:tcPr>
            <w:tcW w:w="1890" w:type="dxa"/>
            <w:shd w:val="clear" w:color="auto" w:fill="auto"/>
          </w:tcPr>
          <w:p w:rsidR="00456002" w:rsidRPr="00C83DF5" w:rsidRDefault="00456002" w:rsidP="00CD0060">
            <w:pPr>
              <w:spacing w:before="60"/>
              <w:rPr>
                <w:b/>
                <w:lang w:val="de-DE" w:eastAsia="ja-JP"/>
              </w:rPr>
            </w:pPr>
            <w:r w:rsidRPr="00C83DF5">
              <w:rPr>
                <w:b/>
                <w:sz w:val="20"/>
                <w:lang w:val="de-DE"/>
              </w:rPr>
              <w:t>Plattformen für</w:t>
            </w:r>
            <w:r w:rsidR="00CD0060">
              <w:rPr>
                <w:b/>
                <w:sz w:val="20"/>
                <w:lang w:val="de-DE"/>
              </w:rPr>
              <w:t> </w:t>
            </w:r>
            <w:r w:rsidRPr="00C83DF5">
              <w:rPr>
                <w:b/>
                <w:sz w:val="20"/>
                <w:lang w:val="de-DE"/>
              </w:rPr>
              <w:t>Forschung &amp;</w:t>
            </w:r>
            <w:r w:rsidR="00CD0060">
              <w:rPr>
                <w:b/>
                <w:sz w:val="20"/>
                <w:lang w:val="de-DE"/>
              </w:rPr>
              <w:t> </w:t>
            </w:r>
            <w:r w:rsidRPr="00C83DF5">
              <w:rPr>
                <w:b/>
                <w:sz w:val="20"/>
                <w:lang w:val="de-DE"/>
              </w:rPr>
              <w:t>Lehre (EES, OVS-ES und Campus- und School-Vertrag)</w:t>
            </w:r>
          </w:p>
        </w:tc>
        <w:tc>
          <w:tcPr>
            <w:tcW w:w="7308" w:type="dxa"/>
            <w:shd w:val="clear" w:color="auto" w:fill="auto"/>
          </w:tcPr>
          <w:p w:rsidR="00821966" w:rsidRPr="00C83DF5" w:rsidRDefault="00456002" w:rsidP="00346F4B">
            <w:pPr>
              <w:pStyle w:val="ListParagraph"/>
              <w:numPr>
                <w:ilvl w:val="0"/>
                <w:numId w:val="123"/>
              </w:numPr>
              <w:spacing w:before="60" w:after="60"/>
              <w:ind w:left="245"/>
              <w:contextualSpacing w:val="0"/>
              <w:rPr>
                <w:lang w:val="de-DE"/>
              </w:rPr>
            </w:pPr>
            <w:r w:rsidRPr="00C83DF5">
              <w:rPr>
                <w:rFonts w:ascii="Tahoma" w:hAnsi="Tahoma" w:cs="Tahoma"/>
                <w:b/>
                <w:sz w:val="18"/>
                <w:lang w:val="de-DE"/>
              </w:rPr>
              <w:t>Produkte der Education Desktop-Plattform und der School Desktop-Plattform mit Enterprise CAL Suite</w:t>
            </w:r>
          </w:p>
          <w:p w:rsidR="00456002" w:rsidRPr="00C83DF5" w:rsidRDefault="00456002" w:rsidP="00346F4B">
            <w:pPr>
              <w:pStyle w:val="ListParagraph"/>
              <w:numPr>
                <w:ilvl w:val="0"/>
                <w:numId w:val="123"/>
              </w:numPr>
              <w:spacing w:after="60"/>
              <w:ind w:left="252"/>
              <w:rPr>
                <w:lang w:val="de-DE"/>
              </w:rPr>
            </w:pPr>
            <w:r w:rsidRPr="00C83DF5">
              <w:rPr>
                <w:rFonts w:ascii="Tahoma" w:hAnsi="Tahoma" w:cs="Tahoma"/>
                <w:b/>
                <w:sz w:val="18"/>
                <w:lang w:val="de-DE"/>
              </w:rPr>
              <w:t>Produkte der Education Desktop-Plattform und der School Desktop-Plattform mit Core CAL Suite</w:t>
            </w:r>
          </w:p>
          <w:p w:rsidR="00456002" w:rsidRPr="00C83DF5" w:rsidRDefault="00456002" w:rsidP="00821966">
            <w:pPr>
              <w:rPr>
                <w:lang w:val="de-DE"/>
              </w:rPr>
            </w:pPr>
            <w:r w:rsidRPr="00C83DF5">
              <w:rPr>
                <w:rFonts w:cs="Tahoma"/>
                <w:szCs w:val="18"/>
                <w:lang w:val="de-DE"/>
              </w:rPr>
              <w:t xml:space="preserve">Die Produkte der Education Desktop-Plattform stehen Kunden mit Beitritt für Bildungslösungen (EES) und Open Value Subscription – Bildungslösungen (OVS-ES) zur Verfügung. Die Produkte der School Desktop-Plattform stehen Kunden mit Campus- und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 </w:t>
            </w:r>
          </w:p>
          <w:p w:rsidR="00456002" w:rsidRPr="00F037D5" w:rsidRDefault="00456002" w:rsidP="00E64551">
            <w:pPr>
              <w:ind w:left="360"/>
              <w:rPr>
                <w:rFonts w:cs="Tahoma"/>
                <w:szCs w:val="18"/>
                <w:lang w:val="de-DE" w:eastAsia="ja-JP"/>
              </w:rPr>
            </w:pPr>
          </w:p>
          <w:p w:rsidR="00456002" w:rsidRPr="00C83DF5" w:rsidRDefault="00456002" w:rsidP="00821966">
            <w:pPr>
              <w:rPr>
                <w:lang w:val="de-DE"/>
              </w:rPr>
            </w:pPr>
            <w:r w:rsidRPr="00C83DF5">
              <w:rPr>
                <w:rFonts w:cs="Tahoma"/>
                <w:iCs/>
                <w:szCs w:val="18"/>
                <w:lang w:val="de-DE"/>
              </w:rPr>
              <w:t>Das Produkt der School Desktop-Plattform auf der Preisliste zählt als 3 Einheiten.</w:t>
            </w:r>
          </w:p>
          <w:p w:rsidR="00456002" w:rsidRPr="00F037D5" w:rsidRDefault="00456002" w:rsidP="00821966">
            <w:pPr>
              <w:rPr>
                <w:rFonts w:cs="Tahoma"/>
                <w:szCs w:val="18"/>
                <w:lang w:val="de-DE" w:eastAsia="ja-JP"/>
              </w:rPr>
            </w:pPr>
          </w:p>
          <w:p w:rsidR="00456002" w:rsidRPr="00C83DF5" w:rsidRDefault="00456002" w:rsidP="0006021D">
            <w:pPr>
              <w:tabs>
                <w:tab w:val="left" w:pos="8640"/>
              </w:tabs>
              <w:rPr>
                <w:lang w:val="de-DE"/>
              </w:rPr>
            </w:pPr>
            <w:r w:rsidRPr="00C83DF5">
              <w:rPr>
                <w:rFonts w:cs="Tahoma"/>
                <w:b/>
                <w:bCs/>
                <w:color w:val="000000"/>
                <w:szCs w:val="18"/>
                <w:lang w:val="de-DE"/>
              </w:rPr>
              <w:t xml:space="preserve">Anmerkung: </w:t>
            </w:r>
            <w:r w:rsidRPr="00C83DF5">
              <w:rPr>
                <w:rFonts w:cs="Tahoma"/>
                <w:bCs/>
                <w:color w:val="000000"/>
                <w:szCs w:val="18"/>
                <w:lang w:val="de-DE"/>
              </w:rPr>
              <w:t xml:space="preserve">EES- und OVS-ES-Kunden sind nicht berechtigt, Produkte der </w:t>
            </w:r>
            <w:r w:rsidR="0006021D">
              <w:rPr>
                <w:rFonts w:cs="Tahoma"/>
                <w:bCs/>
                <w:color w:val="000000"/>
                <w:szCs w:val="18"/>
                <w:lang w:val="de-DE"/>
              </w:rPr>
              <w:br/>
            </w:r>
            <w:r w:rsidRPr="00C83DF5">
              <w:rPr>
                <w:rFonts w:cs="Tahoma"/>
                <w:bCs/>
                <w:color w:val="000000"/>
                <w:szCs w:val="18"/>
                <w:lang w:val="de-DE"/>
              </w:rPr>
              <w:t>Desktop-Plattform und einzelne CAL-Produkte, die in der Core CAL Suite oder der Enterprise CAL Suite enthalten sind, nur für einen Teil ihrer organisationsweiten Anzahl und/oder Anzahl für Studenten auszuwählen. Wenn zum Beispiel das Abonnement für eine organisationsweite Anzahl von 1.200 Vollzeitbeschäftigte Mitarbeiter gilt, gelten die</w:t>
            </w:r>
            <w:r w:rsidR="0006021D">
              <w:rPr>
                <w:rFonts w:cs="Tahoma"/>
                <w:bCs/>
                <w:color w:val="000000"/>
                <w:szCs w:val="18"/>
                <w:lang w:val="de-DE"/>
              </w:rPr>
              <w:t> </w:t>
            </w:r>
            <w:r w:rsidRPr="00C83DF5">
              <w:rPr>
                <w:rFonts w:cs="Tahoma"/>
                <w:bCs/>
                <w:color w:val="000000"/>
                <w:szCs w:val="18"/>
                <w:lang w:val="de-DE"/>
              </w:rPr>
              <w:t>ausgewählten Produkte der Desktop-Plattform und die ausgewählten CAL Suite-Komponentenprodukte für die organisationsweite Anzahl von 1.000, selbst wenn ein</w:t>
            </w:r>
            <w:r w:rsidR="0006021D">
              <w:rPr>
                <w:rFonts w:cs="Tahoma"/>
                <w:bCs/>
                <w:color w:val="000000"/>
                <w:szCs w:val="18"/>
                <w:lang w:val="de-DE"/>
              </w:rPr>
              <w:t> </w:t>
            </w:r>
            <w:r w:rsidRPr="00C83DF5">
              <w:rPr>
                <w:rFonts w:cs="Tahoma"/>
                <w:bCs/>
                <w:color w:val="000000"/>
                <w:szCs w:val="18"/>
                <w:lang w:val="de-DE"/>
              </w:rPr>
              <w:t>Teil</w:t>
            </w:r>
            <w:r w:rsidR="0006021D">
              <w:rPr>
                <w:rFonts w:cs="Tahoma"/>
                <w:bCs/>
                <w:color w:val="000000"/>
                <w:szCs w:val="18"/>
                <w:lang w:val="de-DE"/>
              </w:rPr>
              <w:t> </w:t>
            </w:r>
            <w:r w:rsidRPr="00C83DF5">
              <w:rPr>
                <w:rFonts w:cs="Tahoma"/>
                <w:bCs/>
                <w:color w:val="000000"/>
                <w:szCs w:val="18"/>
                <w:lang w:val="de-DE"/>
              </w:rPr>
              <w:t xml:space="preserve">dieser PCs ein bestimmtes Produkt der Desktop-Plattform oder ein </w:t>
            </w:r>
            <w:r w:rsidR="0006021D">
              <w:rPr>
                <w:rFonts w:cs="Tahoma"/>
                <w:bCs/>
                <w:color w:val="000000"/>
                <w:szCs w:val="18"/>
                <w:lang w:val="de-DE"/>
              </w:rPr>
              <w:br/>
            </w:r>
            <w:r w:rsidRPr="00C83DF5">
              <w:rPr>
                <w:rFonts w:cs="Tahoma"/>
                <w:bCs/>
                <w:color w:val="000000"/>
                <w:szCs w:val="18"/>
                <w:lang w:val="de-DE"/>
              </w:rPr>
              <w:t>CAL-Komponentenprodukt ausführt.</w:t>
            </w:r>
          </w:p>
          <w:p w:rsidR="00456002" w:rsidRPr="00C83DF5" w:rsidRDefault="00456002" w:rsidP="005C647E">
            <w:pPr>
              <w:rPr>
                <w:rFonts w:cs="Tahoma"/>
                <w:szCs w:val="18"/>
                <w:lang w:val="de-DE" w:eastAsia="ja-JP"/>
              </w:rPr>
            </w:pPr>
          </w:p>
        </w:tc>
      </w:tr>
    </w:tbl>
    <w:p w:rsidR="00406CB0" w:rsidRPr="00F037D5" w:rsidRDefault="00406CB0" w:rsidP="00FA32B9">
      <w:pPr>
        <w:spacing w:before="60"/>
        <w:rPr>
          <w:lang w:val="de-DE"/>
        </w:rPr>
      </w:pPr>
      <w:bookmarkStart w:id="612" w:name="_Toc336338193"/>
    </w:p>
    <w:p w:rsidR="004641FD" w:rsidRPr="00F037D5" w:rsidRDefault="00755633" w:rsidP="004641FD">
      <w:pPr>
        <w:pStyle w:val="Heading3"/>
        <w:ind w:right="720"/>
        <w:rPr>
          <w:rFonts w:ascii="Tahoma" w:hAnsi="Tahoma" w:cs="Tahoma"/>
          <w:sz w:val="24"/>
          <w:szCs w:val="22"/>
          <w:lang w:val="de-DE"/>
        </w:rPr>
      </w:pPr>
      <w:bookmarkStart w:id="613" w:name="_Toc370983301"/>
      <w:r w:rsidRPr="00F037D5">
        <w:rPr>
          <w:rFonts w:ascii="Tahoma" w:hAnsi="Tahoma" w:cs="Tahoma"/>
          <w:sz w:val="24"/>
          <w:szCs w:val="22"/>
          <w:lang w:val="de-DE"/>
        </w:rPr>
        <w:t>Definition von Verwaltung für Qualifizierende Geräte</w:t>
      </w:r>
      <w:bookmarkEnd w:id="612"/>
      <w:bookmarkEnd w:id="613"/>
    </w:p>
    <w:p w:rsidR="00406CB0" w:rsidRPr="00C83DF5" w:rsidRDefault="00406CB0" w:rsidP="00406CB0">
      <w:pPr>
        <w:rPr>
          <w:lang w:val="de-DE"/>
        </w:rPr>
      </w:pPr>
    </w:p>
    <w:p w:rsidR="004641FD" w:rsidRPr="00C83DF5" w:rsidRDefault="004641FD" w:rsidP="004641FD">
      <w:r w:rsidRPr="00C83DF5">
        <w:rPr>
          <w:rFonts w:cs="Tahoma"/>
          <w:lang w:val="de-DE"/>
        </w:rPr>
        <w:t>Ein Volumenlizenzkunde „verwaltet“ Geräte, auf denen er eine oder mehrere Betriebssystemumgebungen direkt oder indirekt kontrolliert.</w:t>
      </w:r>
      <w:r w:rsidR="00E71F46" w:rsidRPr="00C83DF5">
        <w:rPr>
          <w:rFonts w:cs="Tahoma"/>
          <w:lang w:val="de-DE"/>
        </w:rPr>
        <w:t xml:space="preserve"> </w:t>
      </w:r>
      <w:r w:rsidRPr="00C83DF5">
        <w:rPr>
          <w:rFonts w:cs="Tahoma"/>
        </w:rPr>
        <w:t>Beispielsweise verwaltet ein Volumenlizenzkunde Geräte,</w:t>
      </w:r>
    </w:p>
    <w:p w:rsidR="00406CB0" w:rsidRPr="00C83DF5" w:rsidRDefault="00406CB0" w:rsidP="00822871">
      <w:pPr>
        <w:spacing w:after="60"/>
      </w:pPr>
    </w:p>
    <w:p w:rsidR="004641FD" w:rsidRPr="00C83DF5" w:rsidRDefault="004641FD" w:rsidP="00822871">
      <w:pPr>
        <w:numPr>
          <w:ilvl w:val="0"/>
          <w:numId w:val="19"/>
        </w:numPr>
        <w:spacing w:after="60"/>
        <w:rPr>
          <w:lang w:val="de-DE"/>
        </w:rPr>
      </w:pPr>
      <w:r w:rsidRPr="00C83DF5">
        <w:rPr>
          <w:rFonts w:cs="Tahoma"/>
          <w:lang w:val="de-DE"/>
        </w:rPr>
        <w:t>denen er den Beitritt zu seiner Domäne erlaubt ODER</w:t>
      </w:r>
    </w:p>
    <w:p w:rsidR="004641FD" w:rsidRPr="00C83DF5" w:rsidRDefault="004641FD" w:rsidP="00822871">
      <w:pPr>
        <w:numPr>
          <w:ilvl w:val="0"/>
          <w:numId w:val="19"/>
        </w:numPr>
        <w:spacing w:after="60"/>
        <w:rPr>
          <w:lang w:val="de-DE"/>
        </w:rPr>
      </w:pPr>
      <w:r w:rsidRPr="00C83DF5">
        <w:rPr>
          <w:rFonts w:cs="Tahoma"/>
          <w:lang w:val="de-DE"/>
        </w:rPr>
        <w:t>die er als Voraussetzung für die Verwendung von Anwendungen in seinen Geschäftsräumen authentifiziert ODER</w:t>
      </w:r>
    </w:p>
    <w:p w:rsidR="004641FD" w:rsidRPr="00C83DF5" w:rsidRDefault="004641FD" w:rsidP="00822871">
      <w:pPr>
        <w:numPr>
          <w:ilvl w:val="0"/>
          <w:numId w:val="19"/>
        </w:numPr>
        <w:spacing w:after="60"/>
        <w:rPr>
          <w:lang w:val="de-DE"/>
        </w:rPr>
      </w:pPr>
      <w:r w:rsidRPr="00C83DF5">
        <w:rPr>
          <w:rFonts w:cs="Tahoma"/>
          <w:lang w:val="de-DE"/>
        </w:rPr>
        <w:t>auf denen er Agents installiert (z. B. Antiviren-, Antimalware- oder sonstige Agents, die durch die Richtlinie des Kunden vorgeschrieben sind) ODER</w:t>
      </w:r>
    </w:p>
    <w:p w:rsidR="004641FD" w:rsidRPr="00C83DF5" w:rsidRDefault="004641FD" w:rsidP="00D23C81">
      <w:pPr>
        <w:numPr>
          <w:ilvl w:val="0"/>
          <w:numId w:val="19"/>
        </w:numPr>
        <w:spacing w:after="60"/>
        <w:rPr>
          <w:lang w:val="de-DE"/>
        </w:rPr>
      </w:pPr>
      <w:r w:rsidRPr="00C83DF5">
        <w:rPr>
          <w:rFonts w:cs="Tahoma"/>
          <w:lang w:val="de-DE"/>
        </w:rPr>
        <w:t>auf die er direkt oder indirekt Gruppenrichtlinien anwendet oder auf denen er diese durchsetzt*</w:t>
      </w:r>
      <w:r w:rsidR="00D23C81">
        <w:rPr>
          <w:rFonts w:cs="Tahoma"/>
          <w:lang w:val="de-DE"/>
        </w:rPr>
        <w:t> </w:t>
      </w:r>
      <w:r w:rsidRPr="00C83DF5">
        <w:rPr>
          <w:rFonts w:cs="Tahoma"/>
          <w:lang w:val="de-DE"/>
        </w:rPr>
        <w:t>ODER</w:t>
      </w:r>
    </w:p>
    <w:p w:rsidR="004641FD" w:rsidRPr="00C83DF5" w:rsidRDefault="004641FD" w:rsidP="00822871">
      <w:pPr>
        <w:numPr>
          <w:ilvl w:val="0"/>
          <w:numId w:val="19"/>
        </w:numPr>
        <w:spacing w:after="60"/>
        <w:rPr>
          <w:lang w:val="de-DE"/>
        </w:rPr>
      </w:pPr>
      <w:r w:rsidRPr="00C83DF5">
        <w:rPr>
          <w:rFonts w:cs="Tahoma"/>
          <w:lang w:val="de-DE"/>
        </w:rPr>
        <w:t>auf denen er Daten zu Hardware oder Software, die direkt oder indirekt mit einer Betriebssystemumgebung im Zusammenhang steht, anfordert oder erhält, diese Hardware oder Software konfiguriert oder Anweisungen dazu gibt ODER</w:t>
      </w:r>
    </w:p>
    <w:p w:rsidR="00755633" w:rsidRPr="005D3212" w:rsidRDefault="004641FD" w:rsidP="00755633">
      <w:pPr>
        <w:numPr>
          <w:ilvl w:val="0"/>
          <w:numId w:val="19"/>
        </w:numPr>
        <w:spacing w:after="60"/>
        <w:rPr>
          <w:lang w:val="de-DE"/>
        </w:rPr>
      </w:pPr>
      <w:r w:rsidRPr="005D3212">
        <w:rPr>
          <w:rFonts w:cs="Tahoma"/>
          <w:lang w:val="de-DE"/>
        </w:rPr>
        <w:t>denen er den Zugriff auf eine Virtual Desktop-Infrastruktur (VDI) außerhalb von Windows Software</w:t>
      </w:r>
      <w:r w:rsidR="00E57712" w:rsidRPr="005D3212">
        <w:rPr>
          <w:rFonts w:cs="Tahoma"/>
          <w:lang w:val="de-DE"/>
        </w:rPr>
        <w:t> </w:t>
      </w:r>
      <w:r w:rsidRPr="005D3212">
        <w:rPr>
          <w:rFonts w:cs="Tahoma"/>
          <w:lang w:val="de-DE"/>
        </w:rPr>
        <w:t>Assurance, Windows Intune (Pro Gerät) oder Windows Virtual Desktop Access-Roamingrechten erlaubt.</w:t>
      </w:r>
    </w:p>
    <w:p w:rsidR="004641FD" w:rsidRPr="00C83DF5" w:rsidRDefault="004641FD" w:rsidP="00B94AE7">
      <w:pPr>
        <w:rPr>
          <w:lang w:val="de-DE"/>
        </w:rPr>
      </w:pPr>
      <w:r w:rsidRPr="00C83DF5">
        <w:rPr>
          <w:rFonts w:cs="Tahoma"/>
          <w:lang w:val="de-DE"/>
        </w:rPr>
        <w:lastRenderedPageBreak/>
        <w:t>Ein Gerät, das unter Roamingrechten auf eine VDI zugreift oder Windows To Go auf einem Qualifizierenden Gerät</w:t>
      </w:r>
      <w:r w:rsidR="00B94AE7">
        <w:rPr>
          <w:rFonts w:cs="Tahoma"/>
          <w:lang w:val="de-DE"/>
        </w:rPr>
        <w:t> </w:t>
      </w:r>
      <w:r w:rsidRPr="00C83DF5">
        <w:rPr>
          <w:rFonts w:cs="Tahoma"/>
          <w:lang w:val="de-DE"/>
        </w:rPr>
        <w:t>Dritter nur außerhalb der Geschäftsräume des Kunden nutzt und nicht für andere Zwecke als die in diesem Dokument beschriebenen verwaltet wird, gilt nicht als „verwaltet“ im Sinne dieser Definition.</w:t>
      </w:r>
    </w:p>
    <w:p w:rsidR="00755633" w:rsidRPr="00E17FE7" w:rsidRDefault="00755633" w:rsidP="004641FD">
      <w:pPr>
        <w:rPr>
          <w:rFonts w:cs="Tahoma"/>
          <w:lang w:val="de-DE" w:eastAsia="ja-JP"/>
        </w:rPr>
      </w:pPr>
    </w:p>
    <w:p w:rsidR="00371299" w:rsidRPr="00C83DF5" w:rsidRDefault="004641FD" w:rsidP="00B94AE7">
      <w:pPr>
        <w:rPr>
          <w:lang w:val="de-DE"/>
        </w:rPr>
      </w:pPr>
      <w:r w:rsidRPr="00C83DF5">
        <w:rPr>
          <w:rFonts w:cs="Tahoma"/>
          <w:lang w:val="de-DE"/>
        </w:rPr>
        <w:t>*Ein Volumenlizenzkunde, der nach aktueller Betriebssystemsoftware oder Viren-/Sicherheitsupdates sucht und den</w:t>
      </w:r>
      <w:r w:rsidR="00B94AE7">
        <w:rPr>
          <w:rFonts w:cs="Tahoma"/>
          <w:lang w:val="de-DE"/>
        </w:rPr>
        <w:t> </w:t>
      </w:r>
      <w:r w:rsidRPr="00C83DF5">
        <w:rPr>
          <w:rFonts w:cs="Tahoma"/>
          <w:lang w:val="de-DE"/>
        </w:rPr>
        <w:t>Nutzer nur dann informiert, wenn diese nicht aktuell sind, „setzt keine Gruppenrichtlinie“ im Sinne dieses Beispiels durch.</w:t>
      </w:r>
      <w:r w:rsidR="00E71F46" w:rsidRPr="00C83DF5">
        <w:rPr>
          <w:rFonts w:cs="Tahoma"/>
          <w:lang w:val="de-DE"/>
        </w:rPr>
        <w:t xml:space="preserve"> </w:t>
      </w:r>
    </w:p>
    <w:p w:rsidR="00991DD4" w:rsidRPr="00F037D5" w:rsidRDefault="00991DD4" w:rsidP="00510F6B">
      <w:pPr>
        <w:rPr>
          <w:rFonts w:cs="Tahoma"/>
          <w:lang w:val="de-DE"/>
        </w:rPr>
      </w:pPr>
    </w:p>
    <w:p w:rsidR="00406CB0" w:rsidRPr="00C83DF5" w:rsidRDefault="00023FE7" w:rsidP="00406CB0">
      <w:pPr>
        <w:pStyle w:val="Heading3"/>
        <w:rPr>
          <w:lang w:val="de-DE"/>
        </w:rPr>
      </w:pPr>
      <w:bookmarkStart w:id="614" w:name="_Toc243157227"/>
      <w:bookmarkStart w:id="615" w:name="_Toc336338194"/>
      <w:bookmarkStart w:id="616" w:name="_Toc370983302"/>
      <w:r w:rsidRPr="00C83DF5">
        <w:rPr>
          <w:rFonts w:ascii="Tahoma" w:hAnsi="Tahoma"/>
          <w:sz w:val="24"/>
          <w:lang w:val="de-DE"/>
        </w:rPr>
        <w:t>Für Up-to-Date-Nachlass (UTD) qualifizierte Produkte</w:t>
      </w:r>
      <w:bookmarkEnd w:id="614"/>
      <w:bookmarkEnd w:id="615"/>
      <w:bookmarkEnd w:id="616"/>
    </w:p>
    <w:p w:rsidR="00406CB0" w:rsidRPr="00F037D5" w:rsidRDefault="00406CB0" w:rsidP="00406CB0">
      <w:pPr>
        <w:pStyle w:val="Heading3"/>
        <w:rPr>
          <w:rFonts w:ascii="Tahoma" w:hAnsi="Tahoma"/>
          <w:b w:val="0"/>
          <w:sz w:val="18"/>
          <w:lang w:val="de-DE"/>
        </w:rPr>
      </w:pPr>
    </w:p>
    <w:p w:rsidR="00023FE7" w:rsidRPr="00C83DF5" w:rsidRDefault="00023FE7" w:rsidP="002448FB">
      <w:pPr>
        <w:rPr>
          <w:lang w:val="de-DE"/>
        </w:rPr>
      </w:pPr>
      <w:r w:rsidRPr="00C83DF5">
        <w:rPr>
          <w:lang w:val="de-DE"/>
        </w:rPr>
        <w:t>Open Value Subscription-Kunden haben im ersten Jahr ihres Abonnementvertrages Anspruch auf den UTD-Nachlass.</w:t>
      </w:r>
      <w:r w:rsidR="00E71F46" w:rsidRPr="00C83DF5">
        <w:rPr>
          <w:lang w:val="de-DE"/>
        </w:rPr>
        <w:t xml:space="preserve"> </w:t>
      </w:r>
      <w:r w:rsidRPr="00C83DF5">
        <w:rPr>
          <w:lang w:val="de-DE"/>
        </w:rPr>
        <w:t>Qualifizierte Kunden sind berechtigt, die unten genannten UTD-Lizenzen zu erwerben, wenn sie über OEM, FPP oder</w:t>
      </w:r>
      <w:r w:rsidR="002448FB">
        <w:rPr>
          <w:lang w:val="de-DE"/>
        </w:rPr>
        <w:t> </w:t>
      </w:r>
      <w:r w:rsidRPr="00C83DF5">
        <w:rPr>
          <w:lang w:val="de-DE"/>
        </w:rPr>
        <w:t>Volumenlizenzierung für eine der entsprechenden qualifizierenden früheren oder aktuellen Versionen lizenziert sind.</w:t>
      </w:r>
      <w:r w:rsidR="00E71F46" w:rsidRPr="00C83DF5">
        <w:rPr>
          <w:lang w:val="de-DE"/>
        </w:rPr>
        <w:t xml:space="preserve"> </w:t>
      </w:r>
      <w:r w:rsidRPr="00C83DF5">
        <w:rPr>
          <w:color w:val="000000"/>
          <w:lang w:val="de-DE"/>
        </w:rPr>
        <w:t>Im Allgemeinen wird dieser Nachlass nur für die aktuelle Version des Produktes oder die unmittelbare Vorgängerversion gewährt. Der UTD-Nachlass ist plattformunabhängig, daher ist Mac ebenfalls für diesen Nachlass qualifiziert.</w:t>
      </w:r>
    </w:p>
    <w:p w:rsidR="00C353DE" w:rsidRPr="00F037D5" w:rsidRDefault="00C353DE">
      <w:pPr>
        <w:pStyle w:val="FootnoteBulletLevel1"/>
        <w:ind w:left="360" w:right="720" w:firstLine="0"/>
        <w:rPr>
          <w:rFonts w:ascii="Tahoma" w:hAnsi="Tahoma" w:cs="Tahoma"/>
          <w:color w:val="000000"/>
          <w:sz w:val="18"/>
          <w:szCs w:val="18"/>
          <w:lang w:val="de-DE"/>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C83DF5"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C83DF5" w:rsidRDefault="00023FE7">
            <w:pPr>
              <w:ind w:right="720"/>
              <w:jc w:val="center"/>
              <w:rPr>
                <w:rFonts w:eastAsia="Calibri" w:cs="Tahoma"/>
                <w:b/>
                <w:bCs/>
                <w:color w:val="404040"/>
              </w:rPr>
            </w:pPr>
            <w:r w:rsidRPr="00C83DF5">
              <w:rPr>
                <w:rFonts w:cs="Tahoma"/>
                <w:b/>
                <w:bCs/>
              </w:rPr>
              <w:t>UTD-Lizenz</w:t>
            </w:r>
          </w:p>
        </w:tc>
        <w:tc>
          <w:tcPr>
            <w:tcW w:w="4298" w:type="dxa"/>
            <w:tcBorders>
              <w:top w:val="single" w:sz="8" w:space="0" w:color="auto"/>
              <w:left w:val="nil"/>
              <w:bottom w:val="single" w:sz="8" w:space="0" w:color="auto"/>
              <w:right w:val="single" w:sz="8" w:space="0" w:color="auto"/>
            </w:tcBorders>
            <w:shd w:val="clear" w:color="auto" w:fill="FFCC99"/>
          </w:tcPr>
          <w:p w:rsidR="00023FE7" w:rsidRPr="00C83DF5" w:rsidRDefault="00023FE7">
            <w:pPr>
              <w:ind w:right="720"/>
              <w:jc w:val="center"/>
              <w:rPr>
                <w:rFonts w:eastAsia="Calibri" w:cs="Tahoma"/>
                <w:b/>
                <w:bCs/>
                <w:color w:val="404040"/>
              </w:rPr>
            </w:pPr>
            <w:r w:rsidRPr="00C83DF5">
              <w:rPr>
                <w:rFonts w:cs="Tahoma"/>
                <w:b/>
                <w:bCs/>
              </w:rPr>
              <w:t>Qualifizierende Version</w:t>
            </w:r>
          </w:p>
        </w:tc>
      </w:tr>
      <w:tr w:rsidR="00023FE7" w:rsidRPr="00C83DF5" w:rsidTr="0044720D">
        <w:trPr>
          <w:trHeight w:val="576"/>
        </w:trPr>
        <w:tc>
          <w:tcPr>
            <w:tcW w:w="3809" w:type="dxa"/>
            <w:tcBorders>
              <w:top w:val="nil"/>
              <w:left w:val="single" w:sz="8" w:space="0" w:color="auto"/>
              <w:bottom w:val="single" w:sz="8" w:space="0" w:color="auto"/>
              <w:right w:val="single" w:sz="8" w:space="0" w:color="auto"/>
            </w:tcBorders>
          </w:tcPr>
          <w:p w:rsidR="00023FE7" w:rsidRPr="00C83DF5" w:rsidRDefault="00023FE7" w:rsidP="00230E01">
            <w:pPr>
              <w:spacing w:before="60"/>
              <w:ind w:left="360" w:right="720"/>
              <w:jc w:val="center"/>
              <w:rPr>
                <w:rFonts w:eastAsia="Calibri" w:cs="Tahoma"/>
                <w:szCs w:val="18"/>
                <w:lang w:val="de-DE"/>
              </w:rPr>
            </w:pPr>
            <w:r w:rsidRPr="00C83DF5">
              <w:rPr>
                <w:rFonts w:cs="Tahoma"/>
                <w:szCs w:val="18"/>
                <w:lang w:val="de-DE"/>
              </w:rPr>
              <w:t>Core CAL (Gerät oder Nutzer)</w:t>
            </w:r>
          </w:p>
        </w:tc>
        <w:tc>
          <w:tcPr>
            <w:tcW w:w="4298" w:type="dxa"/>
            <w:tcBorders>
              <w:top w:val="nil"/>
              <w:left w:val="nil"/>
              <w:bottom w:val="single" w:sz="8" w:space="0" w:color="auto"/>
              <w:right w:val="single" w:sz="8" w:space="0" w:color="auto"/>
            </w:tcBorders>
          </w:tcPr>
          <w:p w:rsidR="00023FE7" w:rsidRPr="00C83DF5" w:rsidRDefault="00023FE7" w:rsidP="00230E01">
            <w:pPr>
              <w:pStyle w:val="Bulletedlistflush"/>
              <w:spacing w:before="60"/>
              <w:ind w:left="576" w:right="720" w:firstLine="0"/>
              <w:jc w:val="center"/>
            </w:pPr>
            <w:r w:rsidRPr="00C83DF5">
              <w:rPr>
                <w:rFonts w:ascii="Tahoma" w:hAnsi="Tahoma" w:cs="Tahoma"/>
                <w:sz w:val="18"/>
                <w:szCs w:val="18"/>
              </w:rPr>
              <w:t>Jede Core CAL</w:t>
            </w:r>
          </w:p>
          <w:p w:rsidR="00023FE7" w:rsidRPr="00C83DF5" w:rsidRDefault="00023FE7" w:rsidP="00230E01">
            <w:pPr>
              <w:pStyle w:val="Bulletedlistflush"/>
              <w:ind w:left="576" w:right="720" w:firstLine="0"/>
              <w:jc w:val="center"/>
              <w:rPr>
                <w:rFonts w:ascii="Tahoma" w:hAnsi="Tahoma" w:cs="Tahoma"/>
                <w:sz w:val="18"/>
                <w:szCs w:val="18"/>
              </w:rPr>
            </w:pPr>
          </w:p>
        </w:tc>
      </w:tr>
      <w:tr w:rsidR="00023FE7" w:rsidRPr="002B4C1D" w:rsidTr="0044720D">
        <w:trPr>
          <w:trHeight w:val="576"/>
        </w:trPr>
        <w:tc>
          <w:tcPr>
            <w:tcW w:w="3809" w:type="dxa"/>
            <w:tcBorders>
              <w:top w:val="nil"/>
              <w:left w:val="single" w:sz="8" w:space="0" w:color="auto"/>
              <w:bottom w:val="single" w:sz="8" w:space="0" w:color="auto"/>
              <w:right w:val="single" w:sz="8" w:space="0" w:color="auto"/>
            </w:tcBorders>
          </w:tcPr>
          <w:p w:rsidR="00023FE7" w:rsidRPr="00F037D5" w:rsidRDefault="00023FE7" w:rsidP="00230E01">
            <w:pPr>
              <w:spacing w:before="60"/>
              <w:ind w:left="360" w:right="720"/>
              <w:jc w:val="center"/>
              <w:rPr>
                <w:rFonts w:eastAsia="Calibri" w:cs="Tahoma"/>
                <w:szCs w:val="18"/>
                <w:lang w:val="de-DE"/>
              </w:rPr>
            </w:pPr>
            <w:r w:rsidRPr="00F037D5">
              <w:rPr>
                <w:rFonts w:cs="Tahoma"/>
                <w:szCs w:val="18"/>
                <w:lang w:val="de-DE"/>
              </w:rPr>
              <w:t xml:space="preserve">Enterprise-CAL </w:t>
            </w:r>
            <w:r w:rsidR="002B4C1D" w:rsidRPr="00F037D5">
              <w:rPr>
                <w:rFonts w:cs="Tahoma"/>
                <w:szCs w:val="18"/>
                <w:lang w:val="de-DE"/>
              </w:rPr>
              <w:br/>
            </w:r>
            <w:r w:rsidRPr="00F037D5">
              <w:rPr>
                <w:rFonts w:cs="Tahoma"/>
                <w:szCs w:val="18"/>
                <w:lang w:val="de-DE"/>
              </w:rPr>
              <w:t>(Gerät oder Nutzer)</w:t>
            </w:r>
          </w:p>
        </w:tc>
        <w:tc>
          <w:tcPr>
            <w:tcW w:w="4298" w:type="dxa"/>
            <w:tcBorders>
              <w:top w:val="nil"/>
              <w:left w:val="nil"/>
              <w:bottom w:val="single" w:sz="8" w:space="0" w:color="auto"/>
              <w:right w:val="single" w:sz="8" w:space="0" w:color="auto"/>
            </w:tcBorders>
          </w:tcPr>
          <w:p w:rsidR="00023FE7" w:rsidRPr="002B4C1D" w:rsidRDefault="00023FE7" w:rsidP="00230E01">
            <w:pPr>
              <w:pStyle w:val="Bulletedlistflush"/>
              <w:spacing w:before="60"/>
              <w:ind w:left="576" w:right="720" w:firstLine="0"/>
              <w:jc w:val="center"/>
              <w:rPr>
                <w:rFonts w:ascii="Tahoma" w:hAnsi="Tahoma" w:cs="Tahoma"/>
                <w:sz w:val="18"/>
                <w:szCs w:val="18"/>
                <w:lang w:val="fr-FR"/>
              </w:rPr>
            </w:pPr>
            <w:r w:rsidRPr="002B4C1D">
              <w:rPr>
                <w:rFonts w:ascii="Tahoma" w:hAnsi="Tahoma" w:cs="Tahoma"/>
                <w:sz w:val="18"/>
                <w:szCs w:val="18"/>
                <w:lang w:val="fr-FR"/>
              </w:rPr>
              <w:t>Jede Enterprise-CAL</w:t>
            </w:r>
          </w:p>
        </w:tc>
      </w:tr>
      <w:tr w:rsidR="0000615E" w:rsidRPr="00C83DF5" w:rsidTr="0044720D">
        <w:trPr>
          <w:trHeight w:val="576"/>
        </w:trPr>
        <w:tc>
          <w:tcPr>
            <w:tcW w:w="3809" w:type="dxa"/>
            <w:tcBorders>
              <w:top w:val="nil"/>
              <w:left w:val="single" w:sz="8" w:space="0" w:color="auto"/>
              <w:bottom w:val="single" w:sz="8" w:space="0" w:color="auto"/>
              <w:right w:val="single" w:sz="8" w:space="0" w:color="auto"/>
            </w:tcBorders>
          </w:tcPr>
          <w:p w:rsidR="0000615E" w:rsidRPr="002B4C1D" w:rsidRDefault="0000615E" w:rsidP="00230E01">
            <w:pPr>
              <w:spacing w:before="60"/>
              <w:ind w:left="360" w:right="720"/>
              <w:jc w:val="center"/>
              <w:rPr>
                <w:rFonts w:eastAsia="Calibri" w:cs="Tahoma"/>
                <w:szCs w:val="18"/>
                <w:lang w:val="fr-FR"/>
              </w:rPr>
            </w:pPr>
            <w:r w:rsidRPr="002B4C1D">
              <w:rPr>
                <w:rFonts w:cs="Tahoma"/>
                <w:szCs w:val="18"/>
                <w:lang w:val="fr-FR"/>
              </w:rPr>
              <w:t>Office Professional Plus 2013</w:t>
            </w:r>
          </w:p>
        </w:tc>
        <w:tc>
          <w:tcPr>
            <w:tcW w:w="4298" w:type="dxa"/>
            <w:tcBorders>
              <w:top w:val="nil"/>
              <w:left w:val="nil"/>
              <w:bottom w:val="single" w:sz="8" w:space="0" w:color="auto"/>
              <w:right w:val="single" w:sz="8" w:space="0" w:color="auto"/>
            </w:tcBorders>
          </w:tcPr>
          <w:p w:rsidR="008B2AA7" w:rsidRPr="00C83DF5" w:rsidRDefault="008B2AA7" w:rsidP="00230E01">
            <w:pPr>
              <w:pStyle w:val="Bulletedlistflush"/>
              <w:spacing w:before="60"/>
              <w:ind w:left="576" w:right="720" w:firstLine="0"/>
              <w:jc w:val="center"/>
              <w:rPr>
                <w:lang w:val="fr-FR"/>
              </w:rPr>
            </w:pPr>
            <w:r w:rsidRPr="00C83DF5">
              <w:rPr>
                <w:rFonts w:ascii="Tahoma" w:hAnsi="Tahoma" w:cs="Tahoma"/>
                <w:sz w:val="18"/>
                <w:szCs w:val="18"/>
                <w:lang w:val="fr-FR"/>
              </w:rPr>
              <w:t>Office Professional Plus 2013</w:t>
            </w:r>
          </w:p>
          <w:p w:rsidR="0000615E" w:rsidRPr="00C83DF5" w:rsidRDefault="0000615E" w:rsidP="00230E01">
            <w:pPr>
              <w:pStyle w:val="Bulletedlistflush"/>
              <w:ind w:left="576" w:right="720" w:firstLine="0"/>
              <w:jc w:val="center"/>
              <w:rPr>
                <w:lang w:val="fr-FR"/>
              </w:rPr>
            </w:pPr>
            <w:r w:rsidRPr="00C83DF5">
              <w:rPr>
                <w:rFonts w:ascii="Tahoma" w:hAnsi="Tahoma" w:cs="Tahoma"/>
                <w:sz w:val="18"/>
                <w:szCs w:val="18"/>
                <w:lang w:val="fr-FR"/>
              </w:rPr>
              <w:t>Office Professional Plus 2010</w:t>
            </w:r>
          </w:p>
          <w:p w:rsidR="002D0FAC" w:rsidRPr="00C83DF5" w:rsidRDefault="002D0FAC" w:rsidP="00230E01">
            <w:pPr>
              <w:pStyle w:val="Bulletedlistflush"/>
              <w:ind w:left="576" w:right="720" w:firstLine="0"/>
              <w:jc w:val="center"/>
            </w:pPr>
            <w:r w:rsidRPr="002B4C1D">
              <w:rPr>
                <w:rFonts w:ascii="Tahoma" w:hAnsi="Tahoma" w:cs="Tahoma"/>
                <w:sz w:val="18"/>
                <w:szCs w:val="18"/>
                <w:lang w:val="fr-FR"/>
              </w:rPr>
              <w:t>Office 2013 Prof</w:t>
            </w:r>
            <w:r w:rsidRPr="00C83DF5">
              <w:rPr>
                <w:rFonts w:ascii="Tahoma" w:hAnsi="Tahoma" w:cs="Tahoma"/>
                <w:sz w:val="18"/>
                <w:szCs w:val="18"/>
              </w:rPr>
              <w:t>essional</w:t>
            </w:r>
          </w:p>
          <w:p w:rsidR="0000615E" w:rsidRPr="00C83DF5" w:rsidRDefault="0000615E" w:rsidP="00230E01">
            <w:pPr>
              <w:pStyle w:val="Bulletedlistflush"/>
              <w:ind w:left="576" w:right="720" w:firstLine="0"/>
              <w:jc w:val="center"/>
            </w:pPr>
            <w:r w:rsidRPr="00C83DF5">
              <w:rPr>
                <w:rFonts w:ascii="Tahoma" w:hAnsi="Tahoma" w:cs="Tahoma"/>
                <w:sz w:val="18"/>
                <w:szCs w:val="18"/>
              </w:rPr>
              <w:t>Office 2010 Professional</w:t>
            </w:r>
          </w:p>
          <w:p w:rsidR="0000615E" w:rsidRPr="00C83DF5" w:rsidRDefault="0000615E" w:rsidP="008B2AA7">
            <w:pPr>
              <w:pStyle w:val="Bulletedlistflush"/>
              <w:ind w:left="576" w:right="720" w:firstLine="0"/>
              <w:jc w:val="center"/>
              <w:rPr>
                <w:rFonts w:ascii="Tahoma" w:hAnsi="Tahoma" w:cs="Tahoma"/>
                <w:sz w:val="18"/>
                <w:szCs w:val="18"/>
              </w:rPr>
            </w:pPr>
          </w:p>
        </w:tc>
      </w:tr>
      <w:tr w:rsidR="00023FE7" w:rsidRPr="00C83DF5" w:rsidTr="0044720D">
        <w:trPr>
          <w:trHeight w:val="576"/>
        </w:trPr>
        <w:tc>
          <w:tcPr>
            <w:tcW w:w="3809" w:type="dxa"/>
            <w:tcBorders>
              <w:top w:val="nil"/>
              <w:left w:val="single" w:sz="8" w:space="0" w:color="auto"/>
              <w:bottom w:val="single" w:sz="8" w:space="0" w:color="auto"/>
              <w:right w:val="single" w:sz="8" w:space="0" w:color="auto"/>
            </w:tcBorders>
          </w:tcPr>
          <w:p w:rsidR="00023FE7" w:rsidRPr="00F037D5" w:rsidRDefault="00023FE7" w:rsidP="002B4C1D">
            <w:pPr>
              <w:spacing w:before="60"/>
              <w:ind w:left="360" w:right="720"/>
              <w:jc w:val="center"/>
              <w:rPr>
                <w:rFonts w:eastAsia="Calibri" w:cs="Tahoma"/>
                <w:color w:val="000000"/>
                <w:szCs w:val="18"/>
                <w:lang w:val="de-DE"/>
              </w:rPr>
            </w:pPr>
            <w:r w:rsidRPr="00F037D5">
              <w:rPr>
                <w:rFonts w:cs="Tahoma"/>
                <w:color w:val="000000"/>
                <w:szCs w:val="18"/>
                <w:lang w:val="de-DE"/>
              </w:rPr>
              <w:t>CAL für Small Business Server</w:t>
            </w:r>
            <w:r w:rsidR="002B4C1D" w:rsidRPr="00F037D5">
              <w:rPr>
                <w:rFonts w:cs="Tahoma"/>
                <w:color w:val="000000"/>
                <w:szCs w:val="18"/>
                <w:lang w:val="de-DE"/>
              </w:rPr>
              <w:t> </w:t>
            </w:r>
            <w:r w:rsidRPr="00F037D5">
              <w:rPr>
                <w:rFonts w:cs="Tahoma"/>
                <w:color w:val="000000"/>
                <w:szCs w:val="18"/>
                <w:lang w:val="de-DE"/>
              </w:rPr>
              <w:t xml:space="preserve">Standard 2011 </w:t>
            </w:r>
            <w:r w:rsidR="002B4C1D" w:rsidRPr="00F037D5">
              <w:rPr>
                <w:rFonts w:cs="Tahoma"/>
                <w:color w:val="000000"/>
                <w:szCs w:val="18"/>
                <w:lang w:val="de-DE"/>
              </w:rPr>
              <w:br/>
            </w:r>
            <w:r w:rsidRPr="00F037D5">
              <w:rPr>
                <w:rFonts w:cs="Tahoma"/>
                <w:color w:val="000000"/>
                <w:szCs w:val="18"/>
                <w:lang w:val="de-DE"/>
              </w:rPr>
              <w:t>(Gerät oder Nutzer)</w:t>
            </w:r>
          </w:p>
        </w:tc>
        <w:tc>
          <w:tcPr>
            <w:tcW w:w="4298" w:type="dxa"/>
            <w:tcBorders>
              <w:top w:val="nil"/>
              <w:left w:val="nil"/>
              <w:bottom w:val="single" w:sz="8" w:space="0" w:color="auto"/>
              <w:right w:val="single" w:sz="8" w:space="0" w:color="auto"/>
            </w:tcBorders>
          </w:tcPr>
          <w:p w:rsidR="00684C4D" w:rsidRPr="00C83DF5" w:rsidRDefault="00684C4D" w:rsidP="00230E01">
            <w:pPr>
              <w:spacing w:before="60"/>
              <w:ind w:left="576" w:right="720"/>
              <w:jc w:val="center"/>
            </w:pPr>
            <w:r w:rsidRPr="00C83DF5">
              <w:t>+</w:t>
            </w:r>
            <w:r w:rsidRPr="00C83DF5">
              <w:rPr>
                <w:rFonts w:eastAsia="Calibri" w:cs="Tahoma"/>
                <w:color w:val="000000"/>
                <w:szCs w:val="18"/>
              </w:rPr>
              <w:t>CAL für Windows Small Business Server 2011</w:t>
            </w:r>
          </w:p>
          <w:p w:rsidR="00023FE7" w:rsidRPr="00C83DF5" w:rsidRDefault="00023FE7">
            <w:pPr>
              <w:pStyle w:val="Bulletedlistflush"/>
              <w:ind w:left="576" w:right="720" w:firstLine="0"/>
              <w:jc w:val="center"/>
            </w:pPr>
            <w:r w:rsidRPr="00C83DF5">
              <w:rPr>
                <w:rFonts w:ascii="Tahoma" w:hAnsi="Tahoma" w:cs="Tahoma"/>
                <w:color w:val="000000"/>
                <w:sz w:val="18"/>
                <w:szCs w:val="18"/>
              </w:rPr>
              <w:t>CAL für Windows Small Business Server Standard 2008</w:t>
            </w:r>
          </w:p>
          <w:p w:rsidR="00023FE7" w:rsidRPr="00C83DF5" w:rsidRDefault="00023FE7" w:rsidP="00230E01">
            <w:pPr>
              <w:pStyle w:val="Bulletedlistflush"/>
              <w:ind w:left="576" w:right="720" w:firstLine="0"/>
              <w:jc w:val="center"/>
              <w:rPr>
                <w:rFonts w:ascii="Tahoma" w:hAnsi="Tahoma" w:cs="Tahoma"/>
                <w:color w:val="000000"/>
                <w:sz w:val="18"/>
                <w:szCs w:val="18"/>
              </w:rPr>
            </w:pPr>
          </w:p>
        </w:tc>
      </w:tr>
      <w:tr w:rsidR="00023FE7" w:rsidRPr="00C83DF5" w:rsidTr="0044720D">
        <w:trPr>
          <w:trHeight w:val="576"/>
        </w:trPr>
        <w:tc>
          <w:tcPr>
            <w:tcW w:w="3809" w:type="dxa"/>
            <w:tcBorders>
              <w:top w:val="nil"/>
              <w:left w:val="single" w:sz="8" w:space="0" w:color="auto"/>
              <w:bottom w:val="single" w:sz="8" w:space="0" w:color="auto"/>
              <w:right w:val="single" w:sz="8" w:space="0" w:color="auto"/>
            </w:tcBorders>
          </w:tcPr>
          <w:p w:rsidR="00023FE7" w:rsidRPr="00C83DF5" w:rsidRDefault="00023FE7" w:rsidP="002B4C1D">
            <w:pPr>
              <w:spacing w:before="60"/>
              <w:ind w:left="360" w:right="720"/>
              <w:jc w:val="center"/>
              <w:rPr>
                <w:rFonts w:eastAsia="Calibri" w:cs="Tahoma"/>
                <w:szCs w:val="18"/>
                <w:lang w:val="de-DE"/>
              </w:rPr>
            </w:pPr>
            <w:r w:rsidRPr="00F037D5">
              <w:rPr>
                <w:rFonts w:cs="Tahoma"/>
                <w:szCs w:val="18"/>
                <w:lang w:val="de-DE"/>
              </w:rPr>
              <w:t>CAL für Small Business Server</w:t>
            </w:r>
            <w:r w:rsidR="002B4C1D" w:rsidRPr="00F037D5">
              <w:rPr>
                <w:rFonts w:cs="Tahoma"/>
                <w:szCs w:val="18"/>
                <w:lang w:val="de-DE"/>
              </w:rPr>
              <w:t> </w:t>
            </w:r>
            <w:r w:rsidRPr="00C83DF5">
              <w:rPr>
                <w:rFonts w:cs="Tahoma"/>
                <w:szCs w:val="18"/>
                <w:lang w:val="de-DE"/>
              </w:rPr>
              <w:t xml:space="preserve">Premium 2011 </w:t>
            </w:r>
            <w:r w:rsidR="002B4C1D">
              <w:rPr>
                <w:rFonts w:cs="Tahoma"/>
                <w:szCs w:val="18"/>
                <w:lang w:val="de-DE"/>
              </w:rPr>
              <w:br/>
            </w:r>
            <w:r w:rsidRPr="00C83DF5">
              <w:rPr>
                <w:rFonts w:cs="Tahoma"/>
                <w:szCs w:val="18"/>
                <w:lang w:val="de-DE"/>
              </w:rPr>
              <w:t>(Gerät oder Nutzer)</w:t>
            </w:r>
          </w:p>
        </w:tc>
        <w:tc>
          <w:tcPr>
            <w:tcW w:w="4298" w:type="dxa"/>
            <w:tcBorders>
              <w:top w:val="nil"/>
              <w:left w:val="nil"/>
              <w:bottom w:val="single" w:sz="8" w:space="0" w:color="auto"/>
              <w:right w:val="single" w:sz="8" w:space="0" w:color="auto"/>
            </w:tcBorders>
          </w:tcPr>
          <w:p w:rsidR="00684C4D" w:rsidRPr="00C83DF5" w:rsidRDefault="00684C4D" w:rsidP="00230E01">
            <w:pPr>
              <w:spacing w:before="60"/>
              <w:ind w:left="576" w:right="720"/>
              <w:jc w:val="center"/>
            </w:pPr>
            <w:r w:rsidRPr="00C83DF5">
              <w:rPr>
                <w:rFonts w:eastAsia="Calibri" w:cs="Tahoma"/>
                <w:color w:val="000000"/>
                <w:szCs w:val="18"/>
              </w:rPr>
              <w:t>CAL für Windows Small Business Server Premium 2011</w:t>
            </w:r>
          </w:p>
          <w:p w:rsidR="00023FE7" w:rsidRPr="00C83DF5" w:rsidRDefault="00023FE7">
            <w:pPr>
              <w:pStyle w:val="Bulletedlistflush"/>
              <w:ind w:left="576" w:right="720" w:firstLine="0"/>
              <w:jc w:val="center"/>
            </w:pPr>
            <w:r w:rsidRPr="00C83DF5">
              <w:rPr>
                <w:rFonts w:ascii="Tahoma" w:hAnsi="Tahoma" w:cs="Tahoma"/>
                <w:color w:val="000000"/>
                <w:sz w:val="18"/>
                <w:szCs w:val="18"/>
              </w:rPr>
              <w:t>CAL für Windows Small Business Server Premium 2008</w:t>
            </w:r>
          </w:p>
          <w:p w:rsidR="00023FE7" w:rsidRPr="00C83DF5" w:rsidRDefault="00023FE7" w:rsidP="00230E01">
            <w:pPr>
              <w:pStyle w:val="Bulletedlistflush"/>
              <w:ind w:left="576" w:right="720" w:firstLine="0"/>
              <w:jc w:val="center"/>
              <w:rPr>
                <w:rFonts w:ascii="Tahoma" w:hAnsi="Tahoma" w:cs="Tahoma"/>
                <w:sz w:val="18"/>
                <w:szCs w:val="18"/>
              </w:rPr>
            </w:pPr>
          </w:p>
        </w:tc>
      </w:tr>
      <w:tr w:rsidR="00023FE7" w:rsidRPr="00C83DF5" w:rsidTr="0044720D">
        <w:trPr>
          <w:trHeight w:val="576"/>
        </w:trPr>
        <w:tc>
          <w:tcPr>
            <w:tcW w:w="3809" w:type="dxa"/>
            <w:tcBorders>
              <w:top w:val="nil"/>
              <w:left w:val="single" w:sz="8" w:space="0" w:color="auto"/>
              <w:bottom w:val="single" w:sz="8" w:space="0" w:color="auto"/>
              <w:right w:val="single" w:sz="8" w:space="0" w:color="auto"/>
            </w:tcBorders>
          </w:tcPr>
          <w:p w:rsidR="00023FE7" w:rsidRPr="00C83DF5" w:rsidRDefault="00023FE7" w:rsidP="002B4C1D">
            <w:pPr>
              <w:spacing w:before="60"/>
              <w:ind w:left="360" w:right="720"/>
              <w:jc w:val="center"/>
              <w:rPr>
                <w:lang w:val="de-DE"/>
              </w:rPr>
            </w:pPr>
            <w:r w:rsidRPr="00C83DF5">
              <w:rPr>
                <w:rFonts w:cs="Tahoma"/>
                <w:szCs w:val="18"/>
                <w:lang w:val="de-DE"/>
              </w:rPr>
              <w:t>CAL für Essential Business Server</w:t>
            </w:r>
            <w:r w:rsidR="002B4C1D">
              <w:rPr>
                <w:rFonts w:cs="Tahoma"/>
                <w:szCs w:val="18"/>
                <w:lang w:val="de-DE"/>
              </w:rPr>
              <w:t> </w:t>
            </w:r>
            <w:r w:rsidRPr="00C83DF5">
              <w:rPr>
                <w:rFonts w:cs="Tahoma"/>
                <w:szCs w:val="18"/>
                <w:lang w:val="de-DE"/>
              </w:rPr>
              <w:t xml:space="preserve">Standard 2008 </w:t>
            </w:r>
            <w:r w:rsidR="002B4C1D">
              <w:rPr>
                <w:rFonts w:cs="Tahoma"/>
                <w:szCs w:val="18"/>
                <w:lang w:val="de-DE"/>
              </w:rPr>
              <w:br/>
            </w:r>
            <w:r w:rsidRPr="00C83DF5">
              <w:rPr>
                <w:rFonts w:cs="Tahoma"/>
                <w:szCs w:val="18"/>
                <w:lang w:val="de-DE"/>
              </w:rPr>
              <w:t>(Gerät oder Nutzer)</w:t>
            </w:r>
          </w:p>
          <w:p w:rsidR="00230E01" w:rsidRPr="00C83DF5"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023FE7" w:rsidRPr="00C83DF5" w:rsidRDefault="00023FE7" w:rsidP="00230E01">
            <w:pPr>
              <w:pStyle w:val="Bulletedlistflush"/>
              <w:spacing w:before="60"/>
              <w:ind w:left="576" w:right="720" w:firstLine="0"/>
              <w:jc w:val="center"/>
              <w:rPr>
                <w:rFonts w:ascii="Tahoma" w:hAnsi="Tahoma" w:cs="Tahoma"/>
                <w:sz w:val="18"/>
                <w:szCs w:val="18"/>
              </w:rPr>
            </w:pPr>
            <w:r w:rsidRPr="00C83DF5">
              <w:rPr>
                <w:rFonts w:ascii="Tahoma" w:hAnsi="Tahoma" w:cs="Tahoma"/>
                <w:sz w:val="18"/>
                <w:szCs w:val="18"/>
              </w:rPr>
              <w:t>CAL für Windows Essential Business Server Standard 2008</w:t>
            </w:r>
          </w:p>
        </w:tc>
      </w:tr>
      <w:tr w:rsidR="00023FE7" w:rsidRPr="00C83DF5" w:rsidTr="0044720D">
        <w:trPr>
          <w:trHeight w:val="576"/>
        </w:trPr>
        <w:tc>
          <w:tcPr>
            <w:tcW w:w="3809" w:type="dxa"/>
            <w:tcBorders>
              <w:top w:val="nil"/>
              <w:left w:val="single" w:sz="8" w:space="0" w:color="auto"/>
              <w:bottom w:val="single" w:sz="8" w:space="0" w:color="auto"/>
              <w:right w:val="single" w:sz="8" w:space="0" w:color="auto"/>
            </w:tcBorders>
          </w:tcPr>
          <w:p w:rsidR="00023FE7" w:rsidRPr="00C83DF5" w:rsidRDefault="00023FE7" w:rsidP="002B4C1D">
            <w:pPr>
              <w:spacing w:before="60"/>
              <w:ind w:left="360" w:right="720"/>
              <w:jc w:val="center"/>
              <w:rPr>
                <w:lang w:val="de-DE"/>
              </w:rPr>
            </w:pPr>
            <w:r w:rsidRPr="00C83DF5">
              <w:rPr>
                <w:rFonts w:cs="Tahoma"/>
                <w:szCs w:val="18"/>
                <w:lang w:val="de-DE"/>
              </w:rPr>
              <w:t>CAL für Essential Business Server</w:t>
            </w:r>
            <w:r w:rsidR="002B4C1D">
              <w:rPr>
                <w:rFonts w:cs="Tahoma"/>
                <w:szCs w:val="18"/>
                <w:lang w:val="de-DE"/>
              </w:rPr>
              <w:t> </w:t>
            </w:r>
            <w:r w:rsidRPr="00C83DF5">
              <w:rPr>
                <w:rFonts w:cs="Tahoma"/>
                <w:szCs w:val="18"/>
                <w:lang w:val="de-DE"/>
              </w:rPr>
              <w:t xml:space="preserve">Premium 2008 </w:t>
            </w:r>
            <w:r w:rsidR="002B4C1D">
              <w:rPr>
                <w:rFonts w:cs="Tahoma"/>
                <w:szCs w:val="18"/>
                <w:lang w:val="de-DE"/>
              </w:rPr>
              <w:br/>
            </w:r>
            <w:r w:rsidRPr="00C83DF5">
              <w:rPr>
                <w:rFonts w:cs="Tahoma"/>
                <w:szCs w:val="18"/>
                <w:lang w:val="de-DE"/>
              </w:rPr>
              <w:t>(Gerät oder Nutzer)</w:t>
            </w:r>
          </w:p>
          <w:p w:rsidR="00230E01" w:rsidRPr="00C83DF5"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023FE7" w:rsidRPr="00C83DF5" w:rsidRDefault="00023FE7" w:rsidP="00230E01">
            <w:pPr>
              <w:pStyle w:val="Bulletedlistflush"/>
              <w:spacing w:before="60"/>
              <w:ind w:left="576" w:right="720" w:firstLine="0"/>
              <w:jc w:val="center"/>
              <w:rPr>
                <w:rFonts w:ascii="Tahoma" w:hAnsi="Tahoma" w:cs="Tahoma"/>
                <w:sz w:val="18"/>
                <w:szCs w:val="18"/>
              </w:rPr>
            </w:pPr>
            <w:r w:rsidRPr="00C83DF5">
              <w:rPr>
                <w:rFonts w:ascii="Tahoma" w:hAnsi="Tahoma" w:cs="Tahoma"/>
                <w:sz w:val="18"/>
                <w:szCs w:val="18"/>
              </w:rPr>
              <w:t>CAL für Windows Essential Business Server Premium 2008</w:t>
            </w:r>
          </w:p>
        </w:tc>
      </w:tr>
      <w:tr w:rsidR="00023FE7" w:rsidRPr="00C83DF5" w:rsidTr="0044720D">
        <w:trPr>
          <w:trHeight w:val="576"/>
        </w:trPr>
        <w:tc>
          <w:tcPr>
            <w:tcW w:w="3809" w:type="dxa"/>
            <w:tcBorders>
              <w:top w:val="nil"/>
              <w:left w:val="single" w:sz="8" w:space="0" w:color="auto"/>
              <w:bottom w:val="single" w:sz="8" w:space="0" w:color="auto"/>
              <w:right w:val="single" w:sz="8" w:space="0" w:color="auto"/>
            </w:tcBorders>
          </w:tcPr>
          <w:p w:rsidR="00023FE7" w:rsidRPr="00C83DF5" w:rsidRDefault="00023FE7" w:rsidP="00281082">
            <w:pPr>
              <w:spacing w:before="60"/>
              <w:ind w:left="360" w:right="720"/>
              <w:jc w:val="center"/>
              <w:rPr>
                <w:rFonts w:eastAsia="Calibri" w:cs="Tahoma"/>
                <w:szCs w:val="18"/>
              </w:rPr>
            </w:pPr>
            <w:r w:rsidRPr="00C83DF5">
              <w:rPr>
                <w:rFonts w:cs="Tahoma"/>
                <w:szCs w:val="18"/>
              </w:rPr>
              <w:t>Windows 8 Pro-Upgrade</w:t>
            </w:r>
          </w:p>
        </w:tc>
        <w:tc>
          <w:tcPr>
            <w:tcW w:w="4298" w:type="dxa"/>
            <w:tcBorders>
              <w:top w:val="nil"/>
              <w:left w:val="nil"/>
              <w:bottom w:val="single" w:sz="8" w:space="0" w:color="auto"/>
              <w:right w:val="single" w:sz="8" w:space="0" w:color="auto"/>
            </w:tcBorders>
          </w:tcPr>
          <w:p w:rsidR="008B6EDD" w:rsidRPr="00C83DF5" w:rsidRDefault="008B6EDD" w:rsidP="00230E01">
            <w:pPr>
              <w:pStyle w:val="Bulletedlistflush"/>
              <w:spacing w:before="60"/>
              <w:ind w:left="576" w:right="720" w:firstLine="0"/>
              <w:jc w:val="center"/>
            </w:pPr>
            <w:r w:rsidRPr="00C83DF5">
              <w:rPr>
                <w:rFonts w:ascii="Tahoma" w:hAnsi="Tahoma" w:cs="Tahoma"/>
                <w:sz w:val="18"/>
                <w:szCs w:val="18"/>
              </w:rPr>
              <w:t>Windows 8 Pro</w:t>
            </w:r>
          </w:p>
          <w:p w:rsidR="00023FE7" w:rsidRPr="00C83DF5" w:rsidRDefault="00023FE7" w:rsidP="008B6EDD">
            <w:pPr>
              <w:pStyle w:val="Bulletedlistflush"/>
              <w:ind w:left="576" w:right="720" w:firstLine="0"/>
              <w:jc w:val="center"/>
              <w:rPr>
                <w:rFonts w:ascii="Tahoma" w:hAnsi="Tahoma" w:cs="Tahoma"/>
                <w:sz w:val="18"/>
                <w:szCs w:val="18"/>
              </w:rPr>
            </w:pPr>
            <w:r w:rsidRPr="00C83DF5">
              <w:rPr>
                <w:rFonts w:ascii="Tahoma" w:hAnsi="Tahoma" w:cs="Tahoma"/>
                <w:sz w:val="18"/>
                <w:szCs w:val="18"/>
              </w:rPr>
              <w:t>Windows 7 Professional</w:t>
            </w:r>
          </w:p>
        </w:tc>
      </w:tr>
    </w:tbl>
    <w:p w:rsidR="00991DD4" w:rsidRDefault="00991DD4">
      <w:pPr>
        <w:rPr>
          <w:rFonts w:eastAsia="Calibri" w:cs="Arial"/>
          <w:color w:val="000000"/>
        </w:rPr>
      </w:pPr>
    </w:p>
    <w:p w:rsidR="00814EDA" w:rsidRDefault="00814EDA">
      <w:pPr>
        <w:rPr>
          <w:rFonts w:eastAsia="Calibri" w:cs="Arial"/>
          <w:color w:val="000000"/>
        </w:rPr>
      </w:pPr>
    </w:p>
    <w:p w:rsidR="00814EDA" w:rsidRDefault="00814EDA">
      <w:pPr>
        <w:rPr>
          <w:rFonts w:eastAsia="Calibri" w:cs="Arial"/>
          <w:color w:val="000000"/>
        </w:rPr>
      </w:pPr>
    </w:p>
    <w:p w:rsidR="00814EDA" w:rsidRDefault="00814EDA">
      <w:pPr>
        <w:rPr>
          <w:rFonts w:eastAsia="Calibri" w:cs="Arial"/>
          <w:color w:val="000000"/>
        </w:rPr>
      </w:pPr>
    </w:p>
    <w:p w:rsidR="00814EDA" w:rsidRDefault="00814EDA">
      <w:pPr>
        <w:rPr>
          <w:rFonts w:eastAsia="Calibri" w:cs="Arial"/>
          <w:color w:val="000000"/>
        </w:rPr>
      </w:pPr>
    </w:p>
    <w:p w:rsidR="00814EDA" w:rsidRPr="00814EDA" w:rsidRDefault="00814EDA">
      <w:pPr>
        <w:rPr>
          <w:rFonts w:eastAsia="Calibri" w:cs="Arial"/>
          <w:color w:val="000000"/>
        </w:rPr>
      </w:pPr>
    </w:p>
    <w:p w:rsidR="00456002" w:rsidRPr="00F037D5" w:rsidRDefault="00456002" w:rsidP="00456002">
      <w:pPr>
        <w:pStyle w:val="Heading2"/>
        <w:ind w:left="0"/>
        <w:rPr>
          <w:rFonts w:ascii="Tahoma" w:hAnsi="Tahoma" w:cs="Tahoma"/>
          <w:lang w:val="de-DE"/>
        </w:rPr>
      </w:pPr>
      <w:bookmarkStart w:id="617" w:name="_Toc336338195"/>
      <w:bookmarkStart w:id="618" w:name="_Toc370983303"/>
      <w:r w:rsidRPr="00F037D5">
        <w:rPr>
          <w:rFonts w:ascii="Tahoma" w:hAnsi="Tahoma" w:cs="Tahoma"/>
          <w:lang w:val="de-DE"/>
        </w:rPr>
        <w:lastRenderedPageBreak/>
        <w:t>Aktualisierte Bestimmungen für das Konzernvertragsprogramm und das Abonnement-Vertragsprogramm</w:t>
      </w:r>
      <w:bookmarkEnd w:id="617"/>
      <w:bookmarkEnd w:id="618"/>
    </w:p>
    <w:p w:rsidR="00456002" w:rsidRPr="00814EDA" w:rsidRDefault="00456002" w:rsidP="00456002">
      <w:pPr>
        <w:tabs>
          <w:tab w:val="left" w:pos="360"/>
        </w:tabs>
        <w:rPr>
          <w:rFonts w:cs="Tahoma"/>
          <w:szCs w:val="20"/>
          <w:lang w:val="de-DE" w:eastAsia="ja-JP"/>
        </w:rPr>
      </w:pPr>
    </w:p>
    <w:p w:rsidR="00456002" w:rsidRPr="00F037D5" w:rsidRDefault="00456002" w:rsidP="00F06EC5">
      <w:pPr>
        <w:keepNext/>
        <w:spacing w:after="60"/>
        <w:outlineLvl w:val="3"/>
        <w:rPr>
          <w:rFonts w:cs="Tahoma"/>
          <w:b/>
          <w:szCs w:val="20"/>
          <w:lang w:val="de-DE"/>
        </w:rPr>
      </w:pPr>
      <w:r w:rsidRPr="00F037D5">
        <w:rPr>
          <w:rFonts w:cs="Tahoma"/>
          <w:b/>
          <w:szCs w:val="20"/>
          <w:lang w:val="de-DE"/>
        </w:rPr>
        <w:t>Konzern-Onlinedienste, die den Anforderungen für Konzernprodukte entsprechen</w:t>
      </w:r>
    </w:p>
    <w:p w:rsidR="00456002" w:rsidRPr="00C83DF5" w:rsidRDefault="00456002" w:rsidP="00814EDA">
      <w:pPr>
        <w:tabs>
          <w:tab w:val="left" w:pos="360"/>
        </w:tabs>
        <w:rPr>
          <w:lang w:val="de-DE"/>
        </w:rPr>
      </w:pPr>
      <w:r w:rsidRPr="00C83DF5">
        <w:rPr>
          <w:rFonts w:cs="Tahoma"/>
          <w:b/>
          <w:szCs w:val="20"/>
          <w:lang w:val="de-DE"/>
        </w:rPr>
        <w:t>Anmerkung:</w:t>
      </w:r>
      <w:r w:rsidRPr="00C83DF5">
        <w:rPr>
          <w:rFonts w:cs="Tahoma"/>
          <w:szCs w:val="20"/>
          <w:lang w:val="de-DE"/>
        </w:rPr>
        <w:t xml:space="preserve"> Die folgenden Bestimmungen gelten für Kunden mit Konzern- und Konzern-Abonnement-Beitritt, die</w:t>
      </w:r>
      <w:r w:rsidR="00814EDA">
        <w:rPr>
          <w:rFonts w:cs="Tahoma"/>
          <w:szCs w:val="20"/>
          <w:lang w:val="de-DE"/>
        </w:rPr>
        <w:t> </w:t>
      </w:r>
      <w:r w:rsidRPr="00C83DF5">
        <w:rPr>
          <w:rFonts w:cs="Tahoma"/>
          <w:szCs w:val="20"/>
          <w:lang w:val="de-DE"/>
        </w:rPr>
        <w:t>zum Erwerb von Konzern-Onlinediensten berechtigt sind.</w:t>
      </w:r>
      <w:r w:rsidR="00E71F46" w:rsidRPr="00C83DF5">
        <w:rPr>
          <w:rFonts w:cs="Tahoma"/>
          <w:szCs w:val="20"/>
          <w:lang w:val="de-DE"/>
        </w:rPr>
        <w:t xml:space="preserve"> </w:t>
      </w:r>
      <w:r w:rsidRPr="00C83DF5">
        <w:rPr>
          <w:rFonts w:cs="Tahoma"/>
          <w:szCs w:val="20"/>
          <w:lang w:val="de-DE"/>
        </w:rPr>
        <w:t>Kunden, die hinsichtlich der Berechtigung zum Erwerb von Konzern-Onlinediensten unsicher sind, erhalten von ihrem Software Advisor, Handelspartner oder Microsoft-Kundenbetreuer weitere Informationen.</w:t>
      </w:r>
      <w:r w:rsidR="00E71F46" w:rsidRPr="00C83DF5">
        <w:rPr>
          <w:rFonts w:cs="Tahoma"/>
          <w:szCs w:val="20"/>
          <w:lang w:val="de-DE"/>
        </w:rPr>
        <w:t xml:space="preserve"> </w:t>
      </w:r>
    </w:p>
    <w:p w:rsidR="00456002" w:rsidRPr="00F037D5" w:rsidRDefault="00456002" w:rsidP="00366502">
      <w:pPr>
        <w:tabs>
          <w:tab w:val="left" w:pos="360"/>
        </w:tabs>
        <w:rPr>
          <w:rFonts w:cs="Tahoma"/>
          <w:szCs w:val="20"/>
          <w:lang w:val="de-DE"/>
        </w:rPr>
      </w:pPr>
    </w:p>
    <w:p w:rsidR="00456002" w:rsidRPr="00C83DF5" w:rsidRDefault="00456002" w:rsidP="00366502">
      <w:pPr>
        <w:tabs>
          <w:tab w:val="left" w:pos="360"/>
        </w:tabs>
        <w:rPr>
          <w:lang w:val="de-DE"/>
        </w:rPr>
      </w:pPr>
      <w:r w:rsidRPr="00C83DF5">
        <w:rPr>
          <w:rFonts w:cs="Tahoma"/>
          <w:szCs w:val="20"/>
          <w:lang w:val="de-DE"/>
        </w:rPr>
        <w:t>Zur Erfüllung der konzernweiten Anforderung im Rahmen eines Konzern- bzw. Konzern-Abonnement-Beitritts kann eine Kombination aus Konzernprodukten und Konzern-Onlinediensten verwendet werden.</w:t>
      </w:r>
    </w:p>
    <w:p w:rsidR="00456002" w:rsidRPr="00F037D5" w:rsidRDefault="00456002" w:rsidP="00366502">
      <w:pPr>
        <w:tabs>
          <w:tab w:val="left" w:pos="360"/>
        </w:tabs>
        <w:rPr>
          <w:rFonts w:cs="Tahoma"/>
          <w:szCs w:val="20"/>
          <w:lang w:val="de-DE"/>
        </w:rPr>
      </w:pPr>
    </w:p>
    <w:p w:rsidR="00456002" w:rsidRPr="00C83DF5" w:rsidRDefault="00456002" w:rsidP="006C0F10">
      <w:pPr>
        <w:tabs>
          <w:tab w:val="left" w:pos="360"/>
        </w:tabs>
        <w:rPr>
          <w:lang w:val="de-DE"/>
        </w:rPr>
      </w:pPr>
      <w:r w:rsidRPr="00C83DF5">
        <w:rPr>
          <w:rFonts w:cs="Tahoma"/>
          <w:szCs w:val="20"/>
          <w:lang w:val="de-DE"/>
        </w:rPr>
        <w:t>In der Tabelle unten werden die Konzern-Onlinedienste und erforderlichen CALs (sofern zutreffend) aufgeführt, die</w:t>
      </w:r>
      <w:r w:rsidR="006C0F10">
        <w:rPr>
          <w:rFonts w:cs="Tahoma"/>
          <w:szCs w:val="20"/>
          <w:lang w:val="de-DE"/>
        </w:rPr>
        <w:t> </w:t>
      </w:r>
      <w:r w:rsidRPr="00C83DF5">
        <w:rPr>
          <w:rFonts w:cs="Tahoma"/>
          <w:szCs w:val="20"/>
          <w:lang w:val="de-DE"/>
        </w:rPr>
        <w:t>die konzernweite Anforderung für Konzernprodukte erfüllen.</w:t>
      </w:r>
      <w:r w:rsidR="00E71F46" w:rsidRPr="00C83DF5">
        <w:rPr>
          <w:rFonts w:cs="Tahoma"/>
          <w:szCs w:val="20"/>
          <w:lang w:val="de-DE"/>
        </w:rPr>
        <w:t xml:space="preserve"> </w:t>
      </w:r>
    </w:p>
    <w:p w:rsidR="00456002" w:rsidRPr="00C83DF5" w:rsidRDefault="00456002" w:rsidP="0055442E">
      <w:pPr>
        <w:ind w:left="720"/>
        <w:rPr>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C83DF5"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C83DF5" w:rsidRDefault="00456002" w:rsidP="005C647E">
            <w:pPr>
              <w:keepNext/>
              <w:jc w:val="center"/>
              <w:rPr>
                <w:rFonts w:cs="Tahoma"/>
                <w:b/>
              </w:rPr>
            </w:pPr>
            <w:r w:rsidRPr="00C83DF5">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C83DF5" w:rsidRDefault="00456002" w:rsidP="005C647E">
            <w:pPr>
              <w:keepNext/>
              <w:jc w:val="center"/>
              <w:rPr>
                <w:rFonts w:cs="Tahoma"/>
                <w:b/>
              </w:rPr>
            </w:pPr>
            <w:r w:rsidRPr="00C83DF5">
              <w:rPr>
                <w:rFonts w:cs="Tahoma"/>
                <w:b/>
                <w:bCs/>
              </w:rPr>
              <w:t>Konzern-Onlinedienst***</w:t>
            </w:r>
          </w:p>
        </w:tc>
      </w:tr>
      <w:tr w:rsidR="00E71EB9" w:rsidRPr="00C83DF5"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C83DF5" w:rsidRDefault="00E71EB9" w:rsidP="005C647E">
            <w:pPr>
              <w:ind w:left="144"/>
              <w:rPr>
                <w:rFonts w:cs="Tahoma"/>
                <w:szCs w:val="18"/>
              </w:rPr>
            </w:pPr>
            <w:r w:rsidRPr="00C83DF5">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C83DF5" w:rsidRDefault="00E71EB9" w:rsidP="00346F4B">
            <w:pPr>
              <w:numPr>
                <w:ilvl w:val="0"/>
                <w:numId w:val="35"/>
              </w:numPr>
              <w:spacing w:after="60"/>
              <w:ind w:left="907"/>
            </w:pPr>
            <w:r w:rsidRPr="00C83DF5">
              <w:rPr>
                <w:rFonts w:cs="Tahoma"/>
                <w:color w:val="000000"/>
                <w:szCs w:val="18"/>
              </w:rPr>
              <w:t>Office 365 (Enterprise E3)</w:t>
            </w:r>
          </w:p>
          <w:p w:rsidR="00E71EB9" w:rsidRPr="00C83DF5" w:rsidRDefault="00E71EB9" w:rsidP="00346F4B">
            <w:pPr>
              <w:numPr>
                <w:ilvl w:val="0"/>
                <w:numId w:val="35"/>
              </w:numPr>
              <w:spacing w:after="60"/>
              <w:ind w:left="907"/>
            </w:pPr>
            <w:r w:rsidRPr="00C83DF5">
              <w:rPr>
                <w:rFonts w:cs="Tahoma"/>
                <w:color w:val="000000"/>
                <w:szCs w:val="18"/>
              </w:rPr>
              <w:t xml:space="preserve">Office 365 (Enterprise E4) </w:t>
            </w:r>
          </w:p>
          <w:p w:rsidR="00E71EB9" w:rsidRPr="00C83DF5" w:rsidRDefault="00E71EB9" w:rsidP="00346F4B">
            <w:pPr>
              <w:numPr>
                <w:ilvl w:val="0"/>
                <w:numId w:val="35"/>
              </w:numPr>
              <w:spacing w:after="60"/>
              <w:ind w:left="907"/>
            </w:pPr>
            <w:r w:rsidRPr="00C83DF5">
              <w:rPr>
                <w:rFonts w:cs="Tahoma"/>
                <w:color w:val="000000"/>
                <w:szCs w:val="18"/>
              </w:rPr>
              <w:t>Office 365 (Government G3)</w:t>
            </w:r>
          </w:p>
          <w:p w:rsidR="00E71EB9" w:rsidRPr="00C83DF5" w:rsidRDefault="00E71EB9" w:rsidP="00346F4B">
            <w:pPr>
              <w:numPr>
                <w:ilvl w:val="0"/>
                <w:numId w:val="35"/>
              </w:numPr>
              <w:spacing w:after="60"/>
              <w:ind w:left="907"/>
            </w:pPr>
            <w:r w:rsidRPr="00C83DF5">
              <w:rPr>
                <w:rFonts w:cs="Tahoma"/>
                <w:color w:val="000000"/>
                <w:szCs w:val="18"/>
              </w:rPr>
              <w:t>Office 365 (Government G4)</w:t>
            </w:r>
          </w:p>
          <w:p w:rsidR="00C571BD" w:rsidRPr="00C83DF5" w:rsidRDefault="00C571BD" w:rsidP="00F06EC5">
            <w:pPr>
              <w:ind w:left="907"/>
              <w:rPr>
                <w:rFonts w:cs="Tahoma"/>
                <w:color w:val="000000"/>
                <w:szCs w:val="18"/>
              </w:rPr>
            </w:pPr>
          </w:p>
        </w:tc>
      </w:tr>
      <w:tr w:rsidR="00E71EB9" w:rsidRPr="00C83DF5"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C83DF5" w:rsidRDefault="00E71EB9" w:rsidP="005C647E">
            <w:pPr>
              <w:ind w:left="144"/>
              <w:rPr>
                <w:rFonts w:cs="Tahoma"/>
                <w:szCs w:val="18"/>
              </w:rPr>
            </w:pPr>
            <w:r w:rsidRPr="00C83DF5">
              <w:rPr>
                <w:rFonts w:cs="Tahoma"/>
                <w:szCs w:val="18"/>
              </w:rPr>
              <w:t>Core-CAL-Suite</w:t>
            </w:r>
          </w:p>
        </w:tc>
        <w:tc>
          <w:tcPr>
            <w:tcW w:w="4157" w:type="dxa"/>
            <w:tcBorders>
              <w:top w:val="nil"/>
              <w:left w:val="nil"/>
              <w:bottom w:val="single" w:sz="4" w:space="0" w:color="auto"/>
              <w:right w:val="single" w:sz="8" w:space="0" w:color="auto"/>
            </w:tcBorders>
            <w:vAlign w:val="center"/>
          </w:tcPr>
          <w:p w:rsidR="008368B4" w:rsidRPr="00C83DF5" w:rsidRDefault="008368B4" w:rsidP="00346F4B">
            <w:pPr>
              <w:numPr>
                <w:ilvl w:val="0"/>
                <w:numId w:val="35"/>
              </w:numPr>
              <w:spacing w:before="60" w:after="60"/>
              <w:ind w:left="907"/>
            </w:pPr>
            <w:r w:rsidRPr="00C83DF5">
              <w:rPr>
                <w:rFonts w:cs="Tahoma"/>
                <w:color w:val="000000"/>
                <w:szCs w:val="18"/>
              </w:rPr>
              <w:t>Office 365 (Enterprise E1)*</w:t>
            </w:r>
          </w:p>
          <w:p w:rsidR="008368B4" w:rsidRPr="00C83DF5" w:rsidRDefault="008368B4" w:rsidP="00346F4B">
            <w:pPr>
              <w:numPr>
                <w:ilvl w:val="0"/>
                <w:numId w:val="35"/>
              </w:numPr>
              <w:spacing w:after="60"/>
            </w:pPr>
            <w:r w:rsidRPr="00C83DF5">
              <w:rPr>
                <w:rFonts w:cs="Tahoma"/>
                <w:color w:val="000000"/>
                <w:szCs w:val="18"/>
              </w:rPr>
              <w:t>Office 365 (Enterprise E3)*</w:t>
            </w:r>
          </w:p>
          <w:p w:rsidR="008368B4" w:rsidRPr="00C83DF5" w:rsidRDefault="008368B4" w:rsidP="00346F4B">
            <w:pPr>
              <w:numPr>
                <w:ilvl w:val="0"/>
                <w:numId w:val="35"/>
              </w:numPr>
              <w:spacing w:after="60"/>
            </w:pPr>
            <w:r w:rsidRPr="00C83DF5">
              <w:rPr>
                <w:rFonts w:cs="Tahoma"/>
                <w:color w:val="000000"/>
                <w:szCs w:val="18"/>
              </w:rPr>
              <w:t>Office 365 (Enterprise E4)*</w:t>
            </w:r>
          </w:p>
          <w:p w:rsidR="008368B4" w:rsidRPr="00C83DF5" w:rsidRDefault="008368B4" w:rsidP="00346F4B">
            <w:pPr>
              <w:numPr>
                <w:ilvl w:val="0"/>
                <w:numId w:val="35"/>
              </w:numPr>
              <w:spacing w:after="60"/>
            </w:pPr>
            <w:r w:rsidRPr="00C83DF5">
              <w:rPr>
                <w:rFonts w:cs="Tahoma"/>
                <w:color w:val="000000"/>
                <w:szCs w:val="18"/>
              </w:rPr>
              <w:t>Office 365 (Government G1)*</w:t>
            </w:r>
          </w:p>
          <w:p w:rsidR="008368B4" w:rsidRPr="00C83DF5" w:rsidRDefault="004D2744" w:rsidP="00346F4B">
            <w:pPr>
              <w:numPr>
                <w:ilvl w:val="0"/>
                <w:numId w:val="35"/>
              </w:numPr>
              <w:spacing w:after="60"/>
            </w:pPr>
            <w:r w:rsidRPr="00C83DF5">
              <w:rPr>
                <w:rFonts w:cs="Tahoma"/>
                <w:color w:val="000000"/>
                <w:szCs w:val="18"/>
              </w:rPr>
              <w:t>Office 365 (Government G3)*</w:t>
            </w:r>
          </w:p>
          <w:p w:rsidR="008368B4" w:rsidRPr="00C83DF5" w:rsidRDefault="008368B4" w:rsidP="00346F4B">
            <w:pPr>
              <w:numPr>
                <w:ilvl w:val="0"/>
                <w:numId w:val="35"/>
              </w:numPr>
              <w:spacing w:after="60"/>
            </w:pPr>
            <w:r w:rsidRPr="00C83DF5">
              <w:rPr>
                <w:rFonts w:cs="Tahoma"/>
                <w:color w:val="000000"/>
                <w:szCs w:val="18"/>
              </w:rPr>
              <w:t>Office 365 (Government G4)*</w:t>
            </w:r>
          </w:p>
          <w:p w:rsidR="00822871" w:rsidRPr="00C83DF5" w:rsidRDefault="00E71EB9" w:rsidP="00346F4B">
            <w:pPr>
              <w:numPr>
                <w:ilvl w:val="0"/>
                <w:numId w:val="35"/>
              </w:numPr>
              <w:spacing w:after="60"/>
            </w:pPr>
            <w:r w:rsidRPr="00C83DF5">
              <w:rPr>
                <w:rFonts w:cs="Tahoma"/>
                <w:color w:val="000000"/>
                <w:szCs w:val="18"/>
              </w:rPr>
              <w:t xml:space="preserve">Windows Intune* </w:t>
            </w:r>
          </w:p>
          <w:p w:rsidR="00822871" w:rsidRPr="00C83DF5" w:rsidRDefault="00822871" w:rsidP="00F06EC5">
            <w:pPr>
              <w:ind w:left="907"/>
              <w:rPr>
                <w:rFonts w:cs="Tahoma"/>
                <w:color w:val="000000"/>
                <w:szCs w:val="18"/>
              </w:rPr>
            </w:pPr>
          </w:p>
        </w:tc>
      </w:tr>
      <w:tr w:rsidR="00E71EB9" w:rsidRPr="00C83DF5"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C83DF5" w:rsidRDefault="00E71EB9" w:rsidP="005C647E">
            <w:pPr>
              <w:ind w:left="144"/>
              <w:rPr>
                <w:rFonts w:cs="Tahoma"/>
                <w:szCs w:val="18"/>
              </w:rPr>
            </w:pPr>
            <w:r w:rsidRPr="00C83DF5">
              <w:rPr>
                <w:rFonts w:cs="Tahoma"/>
                <w:szCs w:val="18"/>
              </w:rPr>
              <w:t>Enterprise-CAL-Suite</w:t>
            </w:r>
          </w:p>
        </w:tc>
        <w:tc>
          <w:tcPr>
            <w:tcW w:w="4157" w:type="dxa"/>
            <w:tcBorders>
              <w:top w:val="single" w:sz="4" w:space="0" w:color="auto"/>
              <w:left w:val="nil"/>
              <w:bottom w:val="single" w:sz="4" w:space="0" w:color="auto"/>
              <w:right w:val="single" w:sz="8" w:space="0" w:color="auto"/>
            </w:tcBorders>
            <w:vAlign w:val="center"/>
          </w:tcPr>
          <w:p w:rsidR="008368B4" w:rsidRPr="00C83DF5" w:rsidRDefault="008368B4" w:rsidP="00346F4B">
            <w:pPr>
              <w:numPr>
                <w:ilvl w:val="0"/>
                <w:numId w:val="36"/>
              </w:numPr>
              <w:spacing w:before="60" w:after="60"/>
              <w:ind w:left="907"/>
            </w:pPr>
            <w:r w:rsidRPr="00C83DF5">
              <w:rPr>
                <w:rFonts w:eastAsia="Calibri" w:cs="Tahoma"/>
                <w:color w:val="000000"/>
                <w:szCs w:val="18"/>
              </w:rPr>
              <w:t xml:space="preserve">Office 365 </w:t>
            </w:r>
            <w:r w:rsidRPr="00C83DF5">
              <w:rPr>
                <w:rFonts w:cs="Tahoma"/>
                <w:color w:val="000000"/>
                <w:szCs w:val="18"/>
              </w:rPr>
              <w:t>(Enterprise E3)*</w:t>
            </w:r>
          </w:p>
          <w:p w:rsidR="008368B4" w:rsidRPr="00C83DF5" w:rsidRDefault="008368B4" w:rsidP="00346F4B">
            <w:pPr>
              <w:numPr>
                <w:ilvl w:val="0"/>
                <w:numId w:val="36"/>
              </w:numPr>
              <w:spacing w:after="60"/>
            </w:pPr>
            <w:r w:rsidRPr="00C83DF5">
              <w:rPr>
                <w:rFonts w:eastAsia="Calibri" w:cs="Tahoma"/>
                <w:color w:val="000000"/>
                <w:szCs w:val="18"/>
              </w:rPr>
              <w:t xml:space="preserve">Office 365 </w:t>
            </w:r>
            <w:r w:rsidRPr="00C83DF5">
              <w:rPr>
                <w:rFonts w:cs="Tahoma"/>
                <w:color w:val="000000"/>
                <w:szCs w:val="18"/>
              </w:rPr>
              <w:t>(Enterprise E4)*</w:t>
            </w:r>
          </w:p>
          <w:p w:rsidR="008368B4" w:rsidRPr="00C83DF5" w:rsidRDefault="008368B4" w:rsidP="00346F4B">
            <w:pPr>
              <w:numPr>
                <w:ilvl w:val="0"/>
                <w:numId w:val="36"/>
              </w:numPr>
              <w:spacing w:after="60"/>
            </w:pPr>
            <w:r w:rsidRPr="00C83DF5">
              <w:rPr>
                <w:rFonts w:eastAsia="Calibri" w:cs="Tahoma"/>
                <w:color w:val="000000"/>
                <w:szCs w:val="18"/>
              </w:rPr>
              <w:t xml:space="preserve">Office 365 </w:t>
            </w:r>
            <w:r w:rsidRPr="00C83DF5">
              <w:rPr>
                <w:rFonts w:cs="Tahoma"/>
                <w:color w:val="000000"/>
                <w:szCs w:val="18"/>
              </w:rPr>
              <w:t>(Government G3)*</w:t>
            </w:r>
          </w:p>
          <w:p w:rsidR="008368B4" w:rsidRPr="00C83DF5" w:rsidRDefault="008368B4" w:rsidP="00346F4B">
            <w:pPr>
              <w:numPr>
                <w:ilvl w:val="0"/>
                <w:numId w:val="36"/>
              </w:numPr>
              <w:spacing w:after="60"/>
            </w:pPr>
            <w:r w:rsidRPr="00C83DF5">
              <w:rPr>
                <w:rFonts w:eastAsia="Calibri" w:cs="Tahoma"/>
                <w:color w:val="000000"/>
                <w:szCs w:val="18"/>
              </w:rPr>
              <w:t xml:space="preserve">Office 365 </w:t>
            </w:r>
            <w:r w:rsidRPr="00C83DF5">
              <w:rPr>
                <w:rFonts w:cs="Tahoma"/>
                <w:color w:val="000000"/>
                <w:szCs w:val="18"/>
              </w:rPr>
              <w:t>(Government G4)*</w:t>
            </w:r>
          </w:p>
          <w:p w:rsidR="00822871" w:rsidRPr="00C83DF5" w:rsidRDefault="00E71EB9" w:rsidP="00346F4B">
            <w:pPr>
              <w:numPr>
                <w:ilvl w:val="0"/>
                <w:numId w:val="36"/>
              </w:numPr>
              <w:spacing w:after="60"/>
            </w:pPr>
            <w:r w:rsidRPr="00C83DF5">
              <w:rPr>
                <w:rFonts w:cs="Tahoma"/>
                <w:color w:val="000000"/>
                <w:szCs w:val="18"/>
              </w:rPr>
              <w:t>Windows Intune*</w:t>
            </w:r>
          </w:p>
          <w:p w:rsidR="00E71EB9" w:rsidRPr="00C83DF5" w:rsidRDefault="00E71EB9" w:rsidP="0038120B">
            <w:pPr>
              <w:ind w:left="907"/>
              <w:rPr>
                <w:rFonts w:cs="Tahoma"/>
                <w:color w:val="000000"/>
                <w:szCs w:val="18"/>
              </w:rPr>
            </w:pPr>
            <w:r w:rsidRPr="00C83DF5">
              <w:rPr>
                <w:rFonts w:cs="Tahoma"/>
                <w:color w:val="000000"/>
                <w:szCs w:val="18"/>
              </w:rPr>
              <w:t xml:space="preserve"> </w:t>
            </w:r>
          </w:p>
        </w:tc>
      </w:tr>
    </w:tbl>
    <w:p w:rsidR="00456002" w:rsidRPr="00C83DF5" w:rsidRDefault="00456002" w:rsidP="00456002">
      <w:pPr>
        <w:tabs>
          <w:tab w:val="left" w:pos="360"/>
        </w:tabs>
        <w:ind w:left="720"/>
        <w:rPr>
          <w:lang w:val="de-DE"/>
        </w:rPr>
      </w:pPr>
      <w:r w:rsidRPr="00C83DF5">
        <w:rPr>
          <w:rFonts w:cs="Tahoma"/>
          <w:i/>
          <w:sz w:val="16"/>
          <w:szCs w:val="20"/>
          <w:lang w:val="de-DE"/>
        </w:rPr>
        <w:t>* Erfordert eine entsprechende CAL Suite Bridge. Weitere Informationen zu CAL Suite Bridge finden Sie im Abschnitt „Produkthinweise“ dieses Dokuments.</w:t>
      </w:r>
    </w:p>
    <w:p w:rsidR="00456002" w:rsidRPr="00C83DF5" w:rsidRDefault="00456002" w:rsidP="00456002">
      <w:pPr>
        <w:tabs>
          <w:tab w:val="left" w:pos="360"/>
        </w:tabs>
        <w:ind w:left="720"/>
        <w:rPr>
          <w:lang w:val="de-DE"/>
        </w:rPr>
      </w:pPr>
      <w:r w:rsidRPr="00C83DF5">
        <w:rPr>
          <w:rFonts w:cs="Tahoma"/>
          <w:i/>
          <w:sz w:val="16"/>
          <w:szCs w:val="20"/>
          <w:lang w:val="de-DE"/>
        </w:rPr>
        <w:t>** Office ProPlus in Office 365 und Windows VDA sind Konzernprodukte und entsprechen möglicherweise auch der Konzernweiten Anforderung.</w:t>
      </w:r>
    </w:p>
    <w:p w:rsidR="00456002" w:rsidRPr="00C83DF5" w:rsidRDefault="00456002" w:rsidP="00366502">
      <w:pPr>
        <w:tabs>
          <w:tab w:val="left" w:pos="360"/>
        </w:tabs>
        <w:ind w:left="720"/>
        <w:rPr>
          <w:lang w:val="de-DE"/>
        </w:rPr>
      </w:pPr>
      <w:r w:rsidRPr="00C83DF5">
        <w:rPr>
          <w:rFonts w:cs="Tahoma"/>
          <w:i/>
          <w:sz w:val="16"/>
          <w:szCs w:val="20"/>
          <w:lang w:val="de-DE"/>
        </w:rPr>
        <w:t>*** Konzern-Onlinedienste umfassen nur Nutzer-ALs zur vollständigen Verwendung.</w:t>
      </w:r>
      <w:r w:rsidR="00E71F46" w:rsidRPr="00C83DF5">
        <w:rPr>
          <w:rFonts w:cs="Tahoma"/>
          <w:i/>
          <w:sz w:val="16"/>
          <w:szCs w:val="20"/>
          <w:lang w:val="de-DE"/>
        </w:rPr>
        <w:t xml:space="preserve"> </w:t>
      </w:r>
      <w:r w:rsidRPr="00C83DF5">
        <w:rPr>
          <w:rFonts w:cs="Tahoma"/>
          <w:i/>
          <w:sz w:val="16"/>
          <w:szCs w:val="20"/>
          <w:lang w:val="de-DE"/>
        </w:rPr>
        <w:t>Nutzer-ALs für Software Assurance, für deren Erwerb Core CAL oder Enterprise CAL erforderlich ist, sind keine Konzern-Onlinedienste.</w:t>
      </w:r>
    </w:p>
    <w:p w:rsidR="00366502" w:rsidRPr="00C83DF5" w:rsidRDefault="00366502" w:rsidP="00456002">
      <w:pPr>
        <w:tabs>
          <w:tab w:val="left" w:pos="360"/>
        </w:tabs>
        <w:ind w:left="720"/>
        <w:rPr>
          <w:lang w:val="de-DE"/>
        </w:rPr>
      </w:pPr>
    </w:p>
    <w:p w:rsidR="00456002" w:rsidRPr="00C83DF5" w:rsidRDefault="00456002" w:rsidP="0055442E">
      <w:pPr>
        <w:tabs>
          <w:tab w:val="left" w:pos="360"/>
        </w:tabs>
        <w:spacing w:after="60"/>
        <w:rPr>
          <w:lang w:val="de-DE"/>
        </w:rPr>
      </w:pPr>
      <w:r w:rsidRPr="00C83DF5">
        <w:rPr>
          <w:rFonts w:cs="Tahoma"/>
          <w:b/>
          <w:szCs w:val="18"/>
          <w:lang w:val="de-DE"/>
        </w:rPr>
        <w:t>Zulässige Übergänge</w:t>
      </w:r>
    </w:p>
    <w:p w:rsidR="00456002" w:rsidRPr="00C83DF5" w:rsidRDefault="0014632E" w:rsidP="00431C03">
      <w:pPr>
        <w:tabs>
          <w:tab w:val="left" w:pos="360"/>
        </w:tabs>
        <w:rPr>
          <w:lang w:val="de-DE"/>
        </w:rPr>
      </w:pPr>
      <w:r w:rsidRPr="00C83DF5">
        <w:rPr>
          <w:rFonts w:cs="Tahoma"/>
          <w:b/>
          <w:szCs w:val="20"/>
          <w:lang w:val="de-DE"/>
        </w:rPr>
        <w:t xml:space="preserve">Anmerkung: </w:t>
      </w:r>
      <w:r w:rsidRPr="00C83DF5">
        <w:rPr>
          <w:rFonts w:cs="Tahoma"/>
          <w:szCs w:val="20"/>
          <w:lang w:val="de-DE"/>
        </w:rPr>
        <w:t>Die folgenden Bestimmungen gelten für Kunden mit Konzern- und Konzern-Abonnement-Beitritt, die</w:t>
      </w:r>
      <w:r w:rsidR="00431C03">
        <w:rPr>
          <w:rFonts w:cs="Tahoma"/>
          <w:szCs w:val="20"/>
          <w:lang w:val="de-DE"/>
        </w:rPr>
        <w:t> </w:t>
      </w:r>
      <w:r w:rsidRPr="00C83DF5">
        <w:rPr>
          <w:rFonts w:cs="Tahoma"/>
          <w:szCs w:val="20"/>
          <w:lang w:val="de-DE"/>
        </w:rPr>
        <w:t>Übergangsrechte besitzen.</w:t>
      </w:r>
      <w:r w:rsidR="00E71F46" w:rsidRPr="00C83DF5">
        <w:rPr>
          <w:rFonts w:cs="Tahoma"/>
          <w:szCs w:val="20"/>
          <w:lang w:val="de-DE"/>
        </w:rPr>
        <w:t xml:space="preserve"> </w:t>
      </w:r>
      <w:r w:rsidRPr="00C83DF5">
        <w:rPr>
          <w:rFonts w:cs="Tahoma"/>
          <w:szCs w:val="20"/>
          <w:lang w:val="de-DE"/>
        </w:rPr>
        <w:t>Kunden, die hinsichtlich der Übergangsrechte im Rahmen ihres Beitritts unsicher sind,</w:t>
      </w:r>
      <w:r w:rsidR="00431C03">
        <w:rPr>
          <w:rFonts w:cs="Tahoma"/>
          <w:szCs w:val="20"/>
          <w:lang w:val="de-DE"/>
        </w:rPr>
        <w:t> </w:t>
      </w:r>
      <w:r w:rsidRPr="00C83DF5">
        <w:rPr>
          <w:rFonts w:cs="Tahoma"/>
          <w:szCs w:val="20"/>
          <w:lang w:val="de-DE"/>
        </w:rPr>
        <w:t>erhalten von ihrem Software Advisor, Handelspartner oder Microsoft-Kundenbetreuer weitere Informationen.</w:t>
      </w:r>
      <w:r w:rsidR="00E71F46" w:rsidRPr="00C83DF5">
        <w:rPr>
          <w:rFonts w:cs="Tahoma"/>
          <w:szCs w:val="20"/>
          <w:lang w:val="de-DE"/>
        </w:rPr>
        <w:t xml:space="preserve"> </w:t>
      </w:r>
    </w:p>
    <w:p w:rsidR="00456002" w:rsidRPr="00F05DA1" w:rsidRDefault="00456002" w:rsidP="00366502">
      <w:pPr>
        <w:tabs>
          <w:tab w:val="left" w:pos="360"/>
        </w:tabs>
        <w:rPr>
          <w:rFonts w:cs="Tahoma"/>
          <w:szCs w:val="20"/>
          <w:lang w:val="de-DE"/>
        </w:rPr>
      </w:pPr>
    </w:p>
    <w:p w:rsidR="00456002" w:rsidRPr="00C83DF5" w:rsidRDefault="00456002" w:rsidP="00366502">
      <w:pPr>
        <w:tabs>
          <w:tab w:val="left" w:pos="360"/>
        </w:tabs>
        <w:rPr>
          <w:lang w:val="de-DE"/>
        </w:rPr>
      </w:pPr>
      <w:r w:rsidRPr="00C83DF5">
        <w:rPr>
          <w:rFonts w:cs="Tahoma"/>
          <w:szCs w:val="20"/>
          <w:lang w:val="de-DE"/>
        </w:rPr>
        <w:t>In der Tabelle unten sind Produkte, die für einen Übergang berechtigt sind, sowie zulässige Übergänge aufgeführt.</w:t>
      </w:r>
      <w:r w:rsidR="00E71F46" w:rsidRPr="00C83DF5">
        <w:rPr>
          <w:rFonts w:cs="Tahoma"/>
          <w:szCs w:val="20"/>
          <w:lang w:val="de-DE"/>
        </w:rPr>
        <w:t xml:space="preserve"> </w:t>
      </w:r>
      <w:r w:rsidRPr="00C83DF5">
        <w:rPr>
          <w:rFonts w:cs="Tahoma"/>
          <w:szCs w:val="20"/>
          <w:lang w:val="de-DE"/>
        </w:rPr>
        <w:t>Sie enthält auch Produkte, bei denen ein Übergang erfolgt, wenn sie als Bestandteil einer Desktop-Plattform erworben werden.</w:t>
      </w:r>
    </w:p>
    <w:p w:rsidR="00456002" w:rsidRPr="00C83DF5" w:rsidRDefault="00456002" w:rsidP="00456002">
      <w:pPr>
        <w:tabs>
          <w:tab w:val="left" w:pos="360"/>
        </w:tabs>
        <w:ind w:left="720"/>
        <w:rPr>
          <w:lang w:val="de-DE"/>
        </w:rPr>
      </w:pPr>
    </w:p>
    <w:tbl>
      <w:tblPr>
        <w:tblW w:w="8257" w:type="dxa"/>
        <w:tblInd w:w="720" w:type="dxa"/>
        <w:tblCellMar>
          <w:left w:w="0" w:type="dxa"/>
          <w:right w:w="0" w:type="dxa"/>
        </w:tblCellMar>
        <w:tblLook w:val="04A0" w:firstRow="1" w:lastRow="0" w:firstColumn="1" w:lastColumn="0" w:noHBand="0" w:noVBand="1"/>
      </w:tblPr>
      <w:tblGrid>
        <w:gridCol w:w="4240"/>
        <w:gridCol w:w="4017"/>
      </w:tblGrid>
      <w:tr w:rsidR="00456002" w:rsidRPr="00C83DF5" w:rsidTr="00010D5F">
        <w:trPr>
          <w:cantSplit/>
          <w:trHeight w:val="313"/>
        </w:trPr>
        <w:tc>
          <w:tcPr>
            <w:tcW w:w="424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C83DF5" w:rsidRDefault="00456002" w:rsidP="005C647E">
            <w:pPr>
              <w:keepNext/>
              <w:jc w:val="center"/>
              <w:rPr>
                <w:rFonts w:cs="Tahoma"/>
                <w:b/>
                <w:lang w:val="de-DE"/>
              </w:rPr>
            </w:pPr>
            <w:r w:rsidRPr="00C83DF5">
              <w:rPr>
                <w:rFonts w:cs="Tahoma"/>
                <w:b/>
                <w:lang w:val="de-DE"/>
              </w:rPr>
              <w:lastRenderedPageBreak/>
              <w:t>Produkte, für die ein Übergang erfolgen soll</w:t>
            </w:r>
          </w:p>
        </w:tc>
        <w:tc>
          <w:tcPr>
            <w:tcW w:w="4017" w:type="dxa"/>
            <w:tcBorders>
              <w:top w:val="single" w:sz="8" w:space="0" w:color="auto"/>
              <w:left w:val="nil"/>
              <w:bottom w:val="single" w:sz="8" w:space="0" w:color="auto"/>
              <w:right w:val="single" w:sz="8" w:space="0" w:color="auto"/>
            </w:tcBorders>
            <w:shd w:val="clear" w:color="auto" w:fill="FABF8F"/>
            <w:vAlign w:val="center"/>
            <w:hideMark/>
          </w:tcPr>
          <w:p w:rsidR="00456002" w:rsidRPr="00C83DF5" w:rsidRDefault="00456002" w:rsidP="005C647E">
            <w:pPr>
              <w:keepNext/>
              <w:jc w:val="center"/>
              <w:rPr>
                <w:rFonts w:cs="Tahoma"/>
                <w:b/>
              </w:rPr>
            </w:pPr>
            <w:r w:rsidRPr="00C83DF5">
              <w:rPr>
                <w:rFonts w:cs="Tahoma"/>
                <w:b/>
              </w:rPr>
              <w:t>Gültige Übergangsoptionen</w:t>
            </w:r>
          </w:p>
        </w:tc>
      </w:tr>
      <w:tr w:rsidR="00A32052" w:rsidRPr="00C83DF5" w:rsidTr="00F05DA1">
        <w:trPr>
          <w:cantSplit/>
          <w:trHeight w:val="354"/>
        </w:trPr>
        <w:tc>
          <w:tcPr>
            <w:tcW w:w="4240" w:type="dxa"/>
            <w:tcBorders>
              <w:top w:val="nil"/>
              <w:left w:val="single" w:sz="8" w:space="0" w:color="auto"/>
              <w:bottom w:val="single" w:sz="8" w:space="0" w:color="auto"/>
              <w:right w:val="single" w:sz="8" w:space="0" w:color="auto"/>
            </w:tcBorders>
            <w:vAlign w:val="center"/>
          </w:tcPr>
          <w:p w:rsidR="00A32052" w:rsidRPr="00C83DF5" w:rsidRDefault="00A32052" w:rsidP="005C647E">
            <w:pPr>
              <w:spacing w:before="60" w:after="60"/>
              <w:ind w:left="144"/>
              <w:rPr>
                <w:rFonts w:cs="Tahoma"/>
              </w:rPr>
            </w:pPr>
            <w:r w:rsidRPr="00C83DF5">
              <w:rPr>
                <w:rFonts w:cs="Tahoma"/>
              </w:rPr>
              <w:t xml:space="preserve">Core CAL Suite </w:t>
            </w:r>
          </w:p>
        </w:tc>
        <w:tc>
          <w:tcPr>
            <w:tcW w:w="4017" w:type="dxa"/>
            <w:tcBorders>
              <w:top w:val="nil"/>
              <w:left w:val="nil"/>
              <w:bottom w:val="single" w:sz="8" w:space="0" w:color="auto"/>
              <w:right w:val="single" w:sz="8" w:space="0" w:color="auto"/>
            </w:tcBorders>
            <w:vAlign w:val="center"/>
          </w:tcPr>
          <w:p w:rsidR="008368B4" w:rsidRPr="00C83DF5" w:rsidRDefault="008368B4" w:rsidP="00346F4B">
            <w:pPr>
              <w:numPr>
                <w:ilvl w:val="0"/>
                <w:numId w:val="37"/>
              </w:numPr>
              <w:spacing w:before="60" w:after="60"/>
            </w:pPr>
            <w:r w:rsidRPr="00C83DF5">
              <w:rPr>
                <w:rFonts w:cs="Tahoma"/>
                <w:color w:val="000000"/>
                <w:szCs w:val="18"/>
              </w:rPr>
              <w:t>Office 365 (Enterprise E1)*</w:t>
            </w:r>
          </w:p>
          <w:p w:rsidR="008368B4" w:rsidRPr="00C83DF5" w:rsidRDefault="008368B4" w:rsidP="00346F4B">
            <w:pPr>
              <w:numPr>
                <w:ilvl w:val="0"/>
                <w:numId w:val="37"/>
              </w:numPr>
              <w:spacing w:after="60"/>
            </w:pPr>
            <w:r w:rsidRPr="00C83DF5">
              <w:rPr>
                <w:rFonts w:cs="Tahoma"/>
                <w:color w:val="000000"/>
                <w:szCs w:val="18"/>
              </w:rPr>
              <w:t>Office 365 (Enterprise E3)*</w:t>
            </w:r>
          </w:p>
          <w:p w:rsidR="008368B4" w:rsidRPr="00C83DF5" w:rsidRDefault="008368B4" w:rsidP="00346F4B">
            <w:pPr>
              <w:numPr>
                <w:ilvl w:val="0"/>
                <w:numId w:val="37"/>
              </w:numPr>
              <w:spacing w:after="60"/>
            </w:pPr>
            <w:r w:rsidRPr="00C83DF5">
              <w:rPr>
                <w:rFonts w:cs="Tahoma"/>
                <w:color w:val="000000"/>
                <w:szCs w:val="18"/>
              </w:rPr>
              <w:t>Office 365 (Enterprise E4)*</w:t>
            </w:r>
          </w:p>
          <w:p w:rsidR="008368B4" w:rsidRPr="00C83DF5" w:rsidRDefault="008368B4" w:rsidP="00346F4B">
            <w:pPr>
              <w:numPr>
                <w:ilvl w:val="0"/>
                <w:numId w:val="37"/>
              </w:numPr>
              <w:spacing w:after="60"/>
            </w:pPr>
            <w:r w:rsidRPr="00C83DF5">
              <w:rPr>
                <w:rFonts w:cs="Tahoma"/>
                <w:color w:val="000000"/>
                <w:szCs w:val="18"/>
              </w:rPr>
              <w:t>Office 365 (Government G1)*</w:t>
            </w:r>
          </w:p>
          <w:p w:rsidR="008368B4" w:rsidRPr="00C83DF5" w:rsidRDefault="008368B4" w:rsidP="00346F4B">
            <w:pPr>
              <w:numPr>
                <w:ilvl w:val="0"/>
                <w:numId w:val="37"/>
              </w:numPr>
              <w:spacing w:after="60"/>
            </w:pPr>
            <w:r w:rsidRPr="00C83DF5">
              <w:rPr>
                <w:rFonts w:cs="Tahoma"/>
                <w:color w:val="000000"/>
                <w:szCs w:val="18"/>
              </w:rPr>
              <w:t>Office 365 (Government G3)*</w:t>
            </w:r>
          </w:p>
          <w:p w:rsidR="008368B4" w:rsidRPr="00C83DF5" w:rsidRDefault="008368B4" w:rsidP="00346F4B">
            <w:pPr>
              <w:numPr>
                <w:ilvl w:val="0"/>
                <w:numId w:val="37"/>
              </w:numPr>
              <w:spacing w:after="60"/>
            </w:pPr>
            <w:r w:rsidRPr="00C83DF5">
              <w:rPr>
                <w:rFonts w:cs="Tahoma"/>
                <w:color w:val="000000"/>
                <w:szCs w:val="18"/>
              </w:rPr>
              <w:t>Office 365 (Government G4)*</w:t>
            </w:r>
          </w:p>
          <w:p w:rsidR="00A32052" w:rsidRPr="00C83DF5" w:rsidRDefault="00A32052" w:rsidP="00346F4B">
            <w:pPr>
              <w:numPr>
                <w:ilvl w:val="0"/>
                <w:numId w:val="37"/>
              </w:numPr>
              <w:ind w:right="144"/>
            </w:pPr>
            <w:r w:rsidRPr="00C83DF5">
              <w:rPr>
                <w:rFonts w:cs="Tahoma"/>
                <w:color w:val="000000"/>
              </w:rPr>
              <w:t>Windows Intune*</w:t>
            </w:r>
          </w:p>
          <w:p w:rsidR="00A32052" w:rsidRPr="00C83DF5" w:rsidRDefault="00A32052" w:rsidP="0055442E">
            <w:pPr>
              <w:ind w:left="720" w:right="144"/>
              <w:rPr>
                <w:rFonts w:cs="Tahoma"/>
                <w:color w:val="000000"/>
              </w:rPr>
            </w:pPr>
          </w:p>
        </w:tc>
      </w:tr>
      <w:tr w:rsidR="00A32052" w:rsidRPr="00C83DF5" w:rsidTr="00F05DA1">
        <w:trPr>
          <w:cantSplit/>
          <w:trHeight w:val="354"/>
        </w:trPr>
        <w:tc>
          <w:tcPr>
            <w:tcW w:w="4240" w:type="dxa"/>
            <w:tcBorders>
              <w:top w:val="nil"/>
              <w:left w:val="single" w:sz="8" w:space="0" w:color="auto"/>
              <w:bottom w:val="single" w:sz="8" w:space="0" w:color="auto"/>
              <w:right w:val="single" w:sz="8" w:space="0" w:color="auto"/>
            </w:tcBorders>
            <w:vAlign w:val="center"/>
          </w:tcPr>
          <w:p w:rsidR="00A32052" w:rsidRPr="00C83DF5" w:rsidRDefault="00A32052" w:rsidP="005C647E">
            <w:pPr>
              <w:spacing w:before="60" w:after="60"/>
              <w:ind w:left="144"/>
              <w:rPr>
                <w:rFonts w:cs="Tahoma"/>
              </w:rPr>
            </w:pPr>
            <w:r w:rsidRPr="00C83DF5">
              <w:rPr>
                <w:rFonts w:cs="Tahoma"/>
              </w:rPr>
              <w:t>Enterprise-CAL-Suite</w:t>
            </w:r>
          </w:p>
        </w:tc>
        <w:tc>
          <w:tcPr>
            <w:tcW w:w="4017" w:type="dxa"/>
            <w:tcBorders>
              <w:top w:val="nil"/>
              <w:left w:val="nil"/>
              <w:bottom w:val="single" w:sz="8" w:space="0" w:color="auto"/>
              <w:right w:val="single" w:sz="8" w:space="0" w:color="auto"/>
            </w:tcBorders>
            <w:vAlign w:val="center"/>
          </w:tcPr>
          <w:p w:rsidR="00A32052" w:rsidRPr="00C83DF5" w:rsidRDefault="00A32052" w:rsidP="00346F4B">
            <w:pPr>
              <w:numPr>
                <w:ilvl w:val="0"/>
                <w:numId w:val="37"/>
              </w:numPr>
              <w:spacing w:before="60" w:after="60"/>
            </w:pPr>
            <w:r w:rsidRPr="00C83DF5">
              <w:rPr>
                <w:rFonts w:cs="Tahoma"/>
                <w:color w:val="000000"/>
                <w:szCs w:val="18"/>
              </w:rPr>
              <w:t>Office 365 (Enterprise E3)*</w:t>
            </w:r>
          </w:p>
          <w:p w:rsidR="00A32052" w:rsidRPr="00C83DF5" w:rsidRDefault="00A32052" w:rsidP="00346F4B">
            <w:pPr>
              <w:numPr>
                <w:ilvl w:val="0"/>
                <w:numId w:val="37"/>
              </w:numPr>
              <w:spacing w:after="60"/>
            </w:pPr>
            <w:r w:rsidRPr="00C83DF5">
              <w:rPr>
                <w:rFonts w:cs="Tahoma"/>
                <w:color w:val="000000"/>
                <w:szCs w:val="18"/>
              </w:rPr>
              <w:t>Office 365 (Enterprise E4)*</w:t>
            </w:r>
          </w:p>
          <w:p w:rsidR="004D2744" w:rsidRPr="00C83DF5" w:rsidRDefault="004D2744" w:rsidP="00346F4B">
            <w:pPr>
              <w:numPr>
                <w:ilvl w:val="0"/>
                <w:numId w:val="37"/>
              </w:numPr>
              <w:spacing w:after="60"/>
            </w:pPr>
            <w:r w:rsidRPr="00C83DF5">
              <w:rPr>
                <w:rFonts w:cs="Tahoma"/>
                <w:color w:val="000000"/>
                <w:szCs w:val="18"/>
              </w:rPr>
              <w:t>Office 365 (Enterprise G3)*</w:t>
            </w:r>
          </w:p>
          <w:p w:rsidR="004D2744" w:rsidRPr="00C83DF5" w:rsidRDefault="004D2744" w:rsidP="00346F4B">
            <w:pPr>
              <w:numPr>
                <w:ilvl w:val="0"/>
                <w:numId w:val="37"/>
              </w:numPr>
              <w:spacing w:after="60"/>
            </w:pPr>
            <w:r w:rsidRPr="00C83DF5">
              <w:rPr>
                <w:rFonts w:cs="Tahoma"/>
                <w:color w:val="000000"/>
                <w:szCs w:val="18"/>
              </w:rPr>
              <w:t>Office 365 (Enterprise G4)*</w:t>
            </w:r>
          </w:p>
          <w:p w:rsidR="00A32052" w:rsidRPr="00C83DF5" w:rsidRDefault="00A32052" w:rsidP="00346F4B">
            <w:pPr>
              <w:numPr>
                <w:ilvl w:val="0"/>
                <w:numId w:val="37"/>
              </w:numPr>
              <w:ind w:right="144"/>
            </w:pPr>
            <w:r w:rsidRPr="00C83DF5">
              <w:rPr>
                <w:rFonts w:cs="Tahoma"/>
                <w:color w:val="000000"/>
              </w:rPr>
              <w:t>Windows</w:t>
            </w:r>
            <w:r w:rsidRPr="00DF3F89">
              <w:rPr>
                <w:rFonts w:cs="Tahoma"/>
                <w:color w:val="000000"/>
                <w:vertAlign w:val="superscript"/>
              </w:rPr>
              <w:t>®</w:t>
            </w:r>
            <w:r w:rsidRPr="00C83DF5">
              <w:rPr>
                <w:rFonts w:cs="Tahoma"/>
                <w:color w:val="000000"/>
              </w:rPr>
              <w:t xml:space="preserve"> Intune*</w:t>
            </w:r>
          </w:p>
          <w:p w:rsidR="00A32052" w:rsidRPr="00C83DF5" w:rsidRDefault="00A32052" w:rsidP="00BD6C2C">
            <w:pPr>
              <w:ind w:right="144"/>
              <w:rPr>
                <w:rFonts w:cs="Tahoma"/>
                <w:color w:val="000000"/>
              </w:rPr>
            </w:pPr>
          </w:p>
        </w:tc>
      </w:tr>
      <w:tr w:rsidR="00A32052" w:rsidRPr="00C83DF5" w:rsidTr="00F05DA1">
        <w:trPr>
          <w:cantSplit/>
          <w:trHeight w:val="354"/>
        </w:trPr>
        <w:tc>
          <w:tcPr>
            <w:tcW w:w="4240" w:type="dxa"/>
            <w:tcBorders>
              <w:top w:val="single" w:sz="8" w:space="0" w:color="auto"/>
              <w:left w:val="single" w:sz="8" w:space="0" w:color="auto"/>
              <w:bottom w:val="nil"/>
              <w:right w:val="single" w:sz="8" w:space="0" w:color="auto"/>
            </w:tcBorders>
            <w:vAlign w:val="center"/>
          </w:tcPr>
          <w:p w:rsidR="00A32052" w:rsidRPr="00C83DF5" w:rsidRDefault="00A32052" w:rsidP="005C647E">
            <w:pPr>
              <w:spacing w:before="60" w:after="60"/>
              <w:ind w:left="144"/>
              <w:rPr>
                <w:rFonts w:cs="Tahoma"/>
              </w:rPr>
            </w:pPr>
            <w:r w:rsidRPr="00C83DF5">
              <w:rPr>
                <w:rFonts w:cs="Tahoma"/>
              </w:rPr>
              <w:t>Office Professional Plus</w:t>
            </w:r>
          </w:p>
        </w:tc>
        <w:tc>
          <w:tcPr>
            <w:tcW w:w="4017" w:type="dxa"/>
            <w:tcBorders>
              <w:top w:val="single" w:sz="8" w:space="0" w:color="auto"/>
              <w:left w:val="nil"/>
              <w:bottom w:val="nil"/>
              <w:right w:val="single" w:sz="8" w:space="0" w:color="auto"/>
            </w:tcBorders>
            <w:vAlign w:val="center"/>
          </w:tcPr>
          <w:p w:rsidR="00A32052" w:rsidRPr="00C83DF5" w:rsidRDefault="00A32052" w:rsidP="00346F4B">
            <w:pPr>
              <w:numPr>
                <w:ilvl w:val="0"/>
                <w:numId w:val="37"/>
              </w:numPr>
              <w:spacing w:after="60"/>
            </w:pPr>
            <w:r w:rsidRPr="00C83DF5">
              <w:rPr>
                <w:rFonts w:cs="Tahoma"/>
                <w:color w:val="000000"/>
                <w:szCs w:val="18"/>
              </w:rPr>
              <w:t>Office 365 (Enterprise E3)*</w:t>
            </w:r>
          </w:p>
          <w:p w:rsidR="00A32052" w:rsidRPr="00C83DF5" w:rsidRDefault="00A32052" w:rsidP="00346F4B">
            <w:pPr>
              <w:numPr>
                <w:ilvl w:val="0"/>
                <w:numId w:val="37"/>
              </w:numPr>
              <w:spacing w:after="60"/>
            </w:pPr>
            <w:r w:rsidRPr="00C83DF5">
              <w:rPr>
                <w:rFonts w:cs="Tahoma"/>
                <w:color w:val="000000"/>
                <w:szCs w:val="18"/>
              </w:rPr>
              <w:t>Office 365 (Enterprise E4)*</w:t>
            </w:r>
          </w:p>
          <w:p w:rsidR="00A32052" w:rsidRPr="00C83DF5" w:rsidRDefault="00A32052" w:rsidP="00346F4B">
            <w:pPr>
              <w:numPr>
                <w:ilvl w:val="0"/>
                <w:numId w:val="37"/>
              </w:numPr>
              <w:spacing w:after="60"/>
            </w:pPr>
            <w:r w:rsidRPr="00C83DF5">
              <w:rPr>
                <w:rFonts w:cs="Tahoma"/>
                <w:color w:val="000000"/>
                <w:szCs w:val="18"/>
              </w:rPr>
              <w:t>Office 365 (Government G3)</w:t>
            </w:r>
          </w:p>
          <w:p w:rsidR="00A32052" w:rsidRPr="00C83DF5" w:rsidRDefault="00A32052" w:rsidP="00346F4B">
            <w:pPr>
              <w:numPr>
                <w:ilvl w:val="0"/>
                <w:numId w:val="37"/>
              </w:numPr>
              <w:spacing w:after="60"/>
            </w:pPr>
            <w:r w:rsidRPr="00C83DF5">
              <w:rPr>
                <w:rFonts w:cs="Tahoma"/>
                <w:color w:val="000000"/>
                <w:szCs w:val="18"/>
              </w:rPr>
              <w:t>Office 365 (Government G4)</w:t>
            </w:r>
          </w:p>
          <w:p w:rsidR="00A32052" w:rsidRPr="00C83DF5" w:rsidRDefault="004D2744" w:rsidP="00346F4B">
            <w:pPr>
              <w:numPr>
                <w:ilvl w:val="0"/>
                <w:numId w:val="37"/>
              </w:numPr>
              <w:spacing w:after="60"/>
            </w:pPr>
            <w:r w:rsidRPr="00C83DF5">
              <w:rPr>
                <w:rFonts w:cs="Tahoma"/>
                <w:color w:val="000000"/>
                <w:szCs w:val="18"/>
              </w:rPr>
              <w:t>Office 365 ProPlus**</w:t>
            </w:r>
          </w:p>
          <w:p w:rsidR="002D25C8" w:rsidRPr="00C83DF5" w:rsidRDefault="002D25C8" w:rsidP="0055442E">
            <w:pPr>
              <w:ind w:left="720"/>
              <w:rPr>
                <w:rFonts w:cs="Tahoma"/>
                <w:color w:val="000000"/>
              </w:rPr>
            </w:pPr>
          </w:p>
        </w:tc>
      </w:tr>
      <w:tr w:rsidR="00A32052" w:rsidRPr="00C83DF5" w:rsidTr="00F05DA1">
        <w:trPr>
          <w:cantSplit/>
          <w:trHeight w:val="354"/>
        </w:trPr>
        <w:tc>
          <w:tcPr>
            <w:tcW w:w="4240" w:type="dxa"/>
            <w:tcBorders>
              <w:top w:val="single" w:sz="8" w:space="0" w:color="auto"/>
              <w:left w:val="single" w:sz="8" w:space="0" w:color="auto"/>
              <w:bottom w:val="nil"/>
              <w:right w:val="single" w:sz="8" w:space="0" w:color="auto"/>
            </w:tcBorders>
            <w:vAlign w:val="center"/>
          </w:tcPr>
          <w:p w:rsidR="00A32052" w:rsidRPr="00C83DF5" w:rsidRDefault="00A32052" w:rsidP="005C647E">
            <w:pPr>
              <w:spacing w:before="60" w:after="60"/>
              <w:ind w:left="144"/>
              <w:rPr>
                <w:rFonts w:cs="Tahoma"/>
                <w:lang w:val="fr-FR"/>
              </w:rPr>
            </w:pPr>
            <w:r w:rsidRPr="00C83DF5">
              <w:rPr>
                <w:rFonts w:cs="Tahoma"/>
                <w:lang w:val="fr-FR"/>
              </w:rPr>
              <w:t>Office Professional Plus und Core CAL Suite</w:t>
            </w:r>
          </w:p>
        </w:tc>
        <w:tc>
          <w:tcPr>
            <w:tcW w:w="4017" w:type="dxa"/>
            <w:tcBorders>
              <w:top w:val="single" w:sz="8" w:space="0" w:color="auto"/>
              <w:left w:val="nil"/>
              <w:bottom w:val="nil"/>
              <w:right w:val="single" w:sz="8" w:space="0" w:color="auto"/>
            </w:tcBorders>
            <w:vAlign w:val="center"/>
          </w:tcPr>
          <w:p w:rsidR="008368B4" w:rsidRPr="00C83DF5" w:rsidRDefault="008368B4" w:rsidP="00346F4B">
            <w:pPr>
              <w:numPr>
                <w:ilvl w:val="0"/>
                <w:numId w:val="37"/>
              </w:numPr>
              <w:spacing w:after="60"/>
            </w:pPr>
            <w:r w:rsidRPr="00C83DF5">
              <w:rPr>
                <w:rFonts w:cs="Tahoma"/>
                <w:color w:val="000000"/>
                <w:szCs w:val="18"/>
              </w:rPr>
              <w:t>Office 365 (Enterprise E3)*</w:t>
            </w:r>
          </w:p>
          <w:p w:rsidR="008368B4" w:rsidRPr="00C83DF5" w:rsidRDefault="008368B4" w:rsidP="00346F4B">
            <w:pPr>
              <w:numPr>
                <w:ilvl w:val="0"/>
                <w:numId w:val="37"/>
              </w:numPr>
              <w:spacing w:after="60"/>
            </w:pPr>
            <w:r w:rsidRPr="00C83DF5">
              <w:rPr>
                <w:rFonts w:cs="Tahoma"/>
                <w:color w:val="000000"/>
                <w:szCs w:val="18"/>
              </w:rPr>
              <w:t>Office 365 (Enterprise E4)*</w:t>
            </w:r>
          </w:p>
          <w:p w:rsidR="008368B4" w:rsidRPr="00C83DF5" w:rsidRDefault="008368B4" w:rsidP="00346F4B">
            <w:pPr>
              <w:numPr>
                <w:ilvl w:val="0"/>
                <w:numId w:val="37"/>
              </w:numPr>
              <w:spacing w:after="60"/>
            </w:pPr>
            <w:r w:rsidRPr="00C83DF5">
              <w:rPr>
                <w:rFonts w:cs="Tahoma"/>
                <w:color w:val="000000"/>
                <w:szCs w:val="18"/>
              </w:rPr>
              <w:t>Office 365 (Government G3)*</w:t>
            </w:r>
          </w:p>
          <w:p w:rsidR="008368B4" w:rsidRPr="00C83DF5" w:rsidRDefault="008368B4" w:rsidP="00346F4B">
            <w:pPr>
              <w:numPr>
                <w:ilvl w:val="0"/>
                <w:numId w:val="37"/>
              </w:numPr>
              <w:spacing w:after="60"/>
            </w:pPr>
            <w:r w:rsidRPr="00C83DF5">
              <w:rPr>
                <w:rFonts w:cs="Tahoma"/>
                <w:color w:val="000000"/>
                <w:szCs w:val="18"/>
              </w:rPr>
              <w:t>Office 365 (Government G4)*</w:t>
            </w:r>
          </w:p>
          <w:p w:rsidR="002D25C8" w:rsidRPr="00C83DF5" w:rsidRDefault="002D25C8" w:rsidP="0055442E">
            <w:pPr>
              <w:ind w:left="720"/>
              <w:rPr>
                <w:rFonts w:cs="Tahoma"/>
                <w:color w:val="000000"/>
              </w:rPr>
            </w:pPr>
          </w:p>
        </w:tc>
      </w:tr>
      <w:tr w:rsidR="00A32052" w:rsidRPr="00C83DF5" w:rsidTr="00F05DA1">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A32052" w:rsidRPr="00C83DF5" w:rsidRDefault="00A32052" w:rsidP="005C647E">
            <w:pPr>
              <w:spacing w:before="60" w:after="60"/>
              <w:ind w:left="144"/>
              <w:rPr>
                <w:rFonts w:cs="Tahoma"/>
                <w:lang w:val="fr-FR"/>
              </w:rPr>
            </w:pPr>
            <w:r w:rsidRPr="00C83DF5">
              <w:rPr>
                <w:rFonts w:cs="Tahoma"/>
                <w:lang w:val="fr-FR"/>
              </w:rPr>
              <w:t>Office Professional Plus und Enterprise CAL Suite</w:t>
            </w:r>
          </w:p>
        </w:tc>
        <w:tc>
          <w:tcPr>
            <w:tcW w:w="4017" w:type="dxa"/>
            <w:tcBorders>
              <w:top w:val="single" w:sz="8" w:space="0" w:color="auto"/>
              <w:left w:val="nil"/>
              <w:bottom w:val="single" w:sz="8" w:space="0" w:color="auto"/>
              <w:right w:val="single" w:sz="8" w:space="0" w:color="auto"/>
            </w:tcBorders>
            <w:vAlign w:val="center"/>
          </w:tcPr>
          <w:p w:rsidR="008368B4" w:rsidRPr="00C83DF5" w:rsidRDefault="008368B4" w:rsidP="00346F4B">
            <w:pPr>
              <w:numPr>
                <w:ilvl w:val="0"/>
                <w:numId w:val="37"/>
              </w:numPr>
              <w:spacing w:before="60" w:after="60"/>
            </w:pPr>
            <w:r w:rsidRPr="00C83DF5">
              <w:rPr>
                <w:rFonts w:cs="Tahoma"/>
                <w:color w:val="000000"/>
                <w:szCs w:val="18"/>
              </w:rPr>
              <w:t>Office 365 (Enterprise E3)*</w:t>
            </w:r>
          </w:p>
          <w:p w:rsidR="008368B4" w:rsidRPr="00C83DF5" w:rsidRDefault="008368B4" w:rsidP="00346F4B">
            <w:pPr>
              <w:numPr>
                <w:ilvl w:val="0"/>
                <w:numId w:val="37"/>
              </w:numPr>
              <w:spacing w:after="60"/>
            </w:pPr>
            <w:r w:rsidRPr="00C83DF5">
              <w:rPr>
                <w:rFonts w:cs="Tahoma"/>
                <w:color w:val="000000"/>
                <w:szCs w:val="18"/>
              </w:rPr>
              <w:t>Office 365 (Enterprise E4)*</w:t>
            </w:r>
          </w:p>
          <w:p w:rsidR="008368B4" w:rsidRPr="00C83DF5" w:rsidRDefault="008368B4" w:rsidP="00346F4B">
            <w:pPr>
              <w:numPr>
                <w:ilvl w:val="0"/>
                <w:numId w:val="37"/>
              </w:numPr>
              <w:spacing w:after="60"/>
            </w:pPr>
            <w:r w:rsidRPr="00C83DF5">
              <w:rPr>
                <w:rFonts w:cs="Tahoma"/>
                <w:color w:val="000000"/>
                <w:szCs w:val="18"/>
              </w:rPr>
              <w:t>Office 365 (Government G3)*</w:t>
            </w:r>
          </w:p>
          <w:p w:rsidR="008368B4" w:rsidRPr="00C83DF5" w:rsidRDefault="008368B4" w:rsidP="00346F4B">
            <w:pPr>
              <w:numPr>
                <w:ilvl w:val="0"/>
                <w:numId w:val="37"/>
              </w:numPr>
              <w:spacing w:after="60"/>
            </w:pPr>
            <w:r w:rsidRPr="00C83DF5">
              <w:rPr>
                <w:rFonts w:cs="Tahoma"/>
                <w:color w:val="000000"/>
                <w:szCs w:val="18"/>
              </w:rPr>
              <w:t>Office 365 (Government G4)*</w:t>
            </w:r>
          </w:p>
          <w:p w:rsidR="002D25C8" w:rsidRPr="00C83DF5" w:rsidRDefault="002D25C8" w:rsidP="0055442E">
            <w:pPr>
              <w:ind w:left="720"/>
              <w:rPr>
                <w:rFonts w:cs="Tahoma"/>
                <w:color w:val="000000"/>
              </w:rPr>
            </w:pPr>
          </w:p>
        </w:tc>
      </w:tr>
      <w:tr w:rsidR="00454646" w:rsidRPr="00C83DF5" w:rsidTr="00F05DA1">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454646" w:rsidRPr="00C83DF5" w:rsidRDefault="00454646" w:rsidP="00B1054F">
            <w:pPr>
              <w:spacing w:before="60" w:after="60"/>
              <w:ind w:left="144"/>
              <w:rPr>
                <w:rFonts w:cs="Tahoma"/>
              </w:rPr>
            </w:pPr>
            <w:r w:rsidRPr="00C83DF5">
              <w:rPr>
                <w:rFonts w:cs="Tahoma"/>
              </w:rPr>
              <w:t>Project Professional</w:t>
            </w:r>
          </w:p>
        </w:tc>
        <w:tc>
          <w:tcPr>
            <w:tcW w:w="4017" w:type="dxa"/>
            <w:tcBorders>
              <w:top w:val="single" w:sz="8" w:space="0" w:color="auto"/>
              <w:left w:val="nil"/>
              <w:bottom w:val="single" w:sz="8" w:space="0" w:color="auto"/>
              <w:right w:val="single" w:sz="8" w:space="0" w:color="auto"/>
            </w:tcBorders>
            <w:vAlign w:val="center"/>
          </w:tcPr>
          <w:p w:rsidR="00454646" w:rsidRPr="00C83DF5" w:rsidRDefault="00454646" w:rsidP="00346F4B">
            <w:pPr>
              <w:numPr>
                <w:ilvl w:val="0"/>
                <w:numId w:val="37"/>
              </w:numPr>
              <w:spacing w:before="60" w:after="60"/>
              <w:rPr>
                <w:rFonts w:cs="Tahoma"/>
                <w:color w:val="000000" w:themeColor="text1"/>
              </w:rPr>
            </w:pPr>
            <w:r w:rsidRPr="00C83DF5">
              <w:rPr>
                <w:rFonts w:cs="Tahoma"/>
                <w:color w:val="000000" w:themeColor="text1"/>
              </w:rPr>
              <w:t>Project Pro für Office 365</w:t>
            </w:r>
          </w:p>
        </w:tc>
      </w:tr>
      <w:tr w:rsidR="00454646" w:rsidRPr="00C83DF5" w:rsidTr="00F05DA1">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454646" w:rsidRPr="00C83DF5" w:rsidRDefault="00454646" w:rsidP="00B1054F">
            <w:pPr>
              <w:spacing w:before="60" w:after="60"/>
              <w:ind w:left="144"/>
              <w:rPr>
                <w:rFonts w:cs="Tahoma"/>
              </w:rPr>
            </w:pPr>
            <w:r w:rsidRPr="00C83DF5">
              <w:rPr>
                <w:rFonts w:cs="Tahoma"/>
              </w:rPr>
              <w:t>CAL für Project Server</w:t>
            </w:r>
          </w:p>
        </w:tc>
        <w:tc>
          <w:tcPr>
            <w:tcW w:w="4017" w:type="dxa"/>
            <w:tcBorders>
              <w:top w:val="single" w:sz="8" w:space="0" w:color="auto"/>
              <w:left w:val="nil"/>
              <w:bottom w:val="single" w:sz="8" w:space="0" w:color="auto"/>
              <w:right w:val="single" w:sz="8" w:space="0" w:color="auto"/>
            </w:tcBorders>
            <w:vAlign w:val="center"/>
          </w:tcPr>
          <w:p w:rsidR="00454646" w:rsidRPr="00C83DF5" w:rsidRDefault="00454646" w:rsidP="00346F4B">
            <w:pPr>
              <w:numPr>
                <w:ilvl w:val="0"/>
                <w:numId w:val="37"/>
              </w:numPr>
              <w:spacing w:before="60" w:after="60"/>
              <w:rPr>
                <w:rFonts w:cs="Tahoma"/>
                <w:color w:val="000000" w:themeColor="text1"/>
              </w:rPr>
            </w:pPr>
            <w:r w:rsidRPr="00C83DF5">
              <w:rPr>
                <w:rFonts w:cs="Tahoma"/>
                <w:color w:val="000000" w:themeColor="text1"/>
              </w:rPr>
              <w:t>Project Online</w:t>
            </w:r>
          </w:p>
        </w:tc>
      </w:tr>
      <w:tr w:rsidR="00454646" w:rsidRPr="00C83DF5" w:rsidTr="00F05DA1">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454646" w:rsidRPr="00C83DF5" w:rsidRDefault="00454646" w:rsidP="00B1054F">
            <w:pPr>
              <w:spacing w:before="60" w:after="60"/>
              <w:ind w:left="144"/>
              <w:rPr>
                <w:rFonts w:cs="Tahoma"/>
              </w:rPr>
            </w:pPr>
            <w:r w:rsidRPr="00C83DF5">
              <w:rPr>
                <w:rFonts w:cs="Tahoma"/>
              </w:rPr>
              <w:t>Visio Professional</w:t>
            </w:r>
          </w:p>
        </w:tc>
        <w:tc>
          <w:tcPr>
            <w:tcW w:w="4017" w:type="dxa"/>
            <w:tcBorders>
              <w:top w:val="single" w:sz="8" w:space="0" w:color="auto"/>
              <w:left w:val="nil"/>
              <w:bottom w:val="single" w:sz="8" w:space="0" w:color="auto"/>
              <w:right w:val="single" w:sz="8" w:space="0" w:color="auto"/>
            </w:tcBorders>
            <w:vAlign w:val="center"/>
          </w:tcPr>
          <w:p w:rsidR="00454646" w:rsidRPr="00C83DF5" w:rsidRDefault="00454646" w:rsidP="00346F4B">
            <w:pPr>
              <w:numPr>
                <w:ilvl w:val="0"/>
                <w:numId w:val="37"/>
              </w:numPr>
              <w:spacing w:before="60" w:after="60"/>
              <w:rPr>
                <w:rFonts w:cs="Tahoma"/>
                <w:color w:val="000000" w:themeColor="text1"/>
              </w:rPr>
            </w:pPr>
            <w:r w:rsidRPr="00C83DF5">
              <w:rPr>
                <w:rFonts w:cs="Tahoma"/>
                <w:color w:val="000000" w:themeColor="text1"/>
              </w:rPr>
              <w:t>Visio Pro für Office 365</w:t>
            </w:r>
          </w:p>
        </w:tc>
      </w:tr>
      <w:tr w:rsidR="00B1054F" w:rsidRPr="00C83DF5" w:rsidTr="00F05DA1">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B1054F" w:rsidRPr="00C83DF5" w:rsidRDefault="00B1054F" w:rsidP="00B1054F">
            <w:pPr>
              <w:spacing w:before="60" w:after="60"/>
              <w:ind w:left="144"/>
              <w:rPr>
                <w:rFonts w:cs="Tahoma"/>
              </w:rPr>
            </w:pPr>
            <w:r w:rsidRPr="00C83DF5">
              <w:rPr>
                <w:rFonts w:cs="Tahoma"/>
              </w:rPr>
              <w:t xml:space="preserve">Windows Pro-Upgrade </w:t>
            </w:r>
          </w:p>
        </w:tc>
        <w:tc>
          <w:tcPr>
            <w:tcW w:w="4017" w:type="dxa"/>
            <w:tcBorders>
              <w:top w:val="single" w:sz="8" w:space="0" w:color="auto"/>
              <w:left w:val="nil"/>
              <w:bottom w:val="single" w:sz="8" w:space="0" w:color="auto"/>
              <w:right w:val="single" w:sz="8" w:space="0" w:color="auto"/>
            </w:tcBorders>
            <w:vAlign w:val="center"/>
          </w:tcPr>
          <w:p w:rsidR="00B1054F" w:rsidRPr="00C83DF5" w:rsidRDefault="00B1054F" w:rsidP="00346F4B">
            <w:pPr>
              <w:numPr>
                <w:ilvl w:val="0"/>
                <w:numId w:val="37"/>
              </w:numPr>
              <w:spacing w:before="60" w:after="60"/>
              <w:rPr>
                <w:rFonts w:cs="Tahoma"/>
                <w:color w:val="000000"/>
                <w:szCs w:val="18"/>
              </w:rPr>
            </w:pPr>
            <w:r w:rsidRPr="00C83DF5">
              <w:rPr>
                <w:rFonts w:cs="Tahoma"/>
                <w:color w:val="000000" w:themeColor="text1"/>
              </w:rPr>
              <w:t>Windows Virtual Desktop Access</w:t>
            </w:r>
          </w:p>
        </w:tc>
      </w:tr>
      <w:tr w:rsidR="00B1054F" w:rsidRPr="00C83DF5" w:rsidTr="00F05DA1">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B1054F" w:rsidRPr="00C83DF5" w:rsidRDefault="00B1054F" w:rsidP="00B1054F">
            <w:pPr>
              <w:spacing w:before="60" w:after="60"/>
              <w:ind w:left="144"/>
              <w:rPr>
                <w:rFonts w:cs="Tahoma"/>
              </w:rPr>
            </w:pPr>
            <w:r w:rsidRPr="00C83DF5">
              <w:rPr>
                <w:rFonts w:cs="Tahoma"/>
                <w:color w:val="000000" w:themeColor="text1"/>
              </w:rPr>
              <w:t>Windows Virtual Desktop Access</w:t>
            </w:r>
          </w:p>
        </w:tc>
        <w:tc>
          <w:tcPr>
            <w:tcW w:w="4017" w:type="dxa"/>
            <w:tcBorders>
              <w:top w:val="single" w:sz="8" w:space="0" w:color="auto"/>
              <w:left w:val="nil"/>
              <w:bottom w:val="single" w:sz="8" w:space="0" w:color="auto"/>
              <w:right w:val="single" w:sz="8" w:space="0" w:color="auto"/>
            </w:tcBorders>
            <w:vAlign w:val="center"/>
          </w:tcPr>
          <w:p w:rsidR="00B1054F" w:rsidRPr="00C83DF5" w:rsidRDefault="00B1054F" w:rsidP="00346F4B">
            <w:pPr>
              <w:numPr>
                <w:ilvl w:val="0"/>
                <w:numId w:val="37"/>
              </w:numPr>
              <w:spacing w:before="60" w:after="60"/>
              <w:rPr>
                <w:rFonts w:cs="Tahoma"/>
                <w:color w:val="000000"/>
                <w:szCs w:val="18"/>
              </w:rPr>
            </w:pPr>
            <w:r w:rsidRPr="00C83DF5">
              <w:rPr>
                <w:rFonts w:cs="Tahoma"/>
                <w:color w:val="000000" w:themeColor="text1"/>
              </w:rPr>
              <w:t>Windows Companion-Abonnementlizenz</w:t>
            </w:r>
          </w:p>
        </w:tc>
      </w:tr>
      <w:tr w:rsidR="00B1054F" w:rsidRPr="00C83DF5" w:rsidTr="00F05DA1">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B1054F" w:rsidRPr="00C83DF5" w:rsidRDefault="00B1054F" w:rsidP="00B1054F">
            <w:pPr>
              <w:spacing w:before="60" w:after="60"/>
              <w:ind w:left="144"/>
              <w:rPr>
                <w:rFonts w:cs="Tahoma"/>
              </w:rPr>
            </w:pPr>
            <w:r w:rsidRPr="00C83DF5">
              <w:rPr>
                <w:rFonts w:cs="Tahoma"/>
              </w:rPr>
              <w:t>Windows Pro-Upgrade</w:t>
            </w:r>
          </w:p>
        </w:tc>
        <w:tc>
          <w:tcPr>
            <w:tcW w:w="4017" w:type="dxa"/>
            <w:tcBorders>
              <w:top w:val="single" w:sz="8" w:space="0" w:color="auto"/>
              <w:left w:val="nil"/>
              <w:bottom w:val="single" w:sz="8" w:space="0" w:color="auto"/>
              <w:right w:val="single" w:sz="8" w:space="0" w:color="auto"/>
            </w:tcBorders>
            <w:vAlign w:val="center"/>
          </w:tcPr>
          <w:p w:rsidR="00B1054F" w:rsidRPr="00C83DF5" w:rsidRDefault="00B1054F" w:rsidP="00346F4B">
            <w:pPr>
              <w:numPr>
                <w:ilvl w:val="0"/>
                <w:numId w:val="37"/>
              </w:numPr>
              <w:spacing w:before="60" w:after="60"/>
              <w:rPr>
                <w:rFonts w:cs="Tahoma"/>
                <w:color w:val="000000"/>
                <w:szCs w:val="18"/>
              </w:rPr>
            </w:pPr>
            <w:r w:rsidRPr="00C83DF5">
              <w:rPr>
                <w:rFonts w:cs="Tahoma"/>
                <w:color w:val="000000" w:themeColor="text1"/>
              </w:rPr>
              <w:t>Windows Companion-Abonnementlizenz</w:t>
            </w:r>
          </w:p>
        </w:tc>
      </w:tr>
    </w:tbl>
    <w:p w:rsidR="00456002" w:rsidRPr="00C83DF5" w:rsidRDefault="00456002" w:rsidP="00456002">
      <w:pPr>
        <w:tabs>
          <w:tab w:val="left" w:pos="360"/>
        </w:tabs>
        <w:ind w:left="720"/>
        <w:rPr>
          <w:lang w:val="de-DE"/>
        </w:rPr>
      </w:pPr>
      <w:r w:rsidRPr="00C83DF5">
        <w:rPr>
          <w:rFonts w:cs="Tahoma"/>
          <w:i/>
          <w:sz w:val="16"/>
          <w:szCs w:val="20"/>
          <w:lang w:val="de-DE"/>
        </w:rPr>
        <w:t>* Erfordert eine entsprechende CAL Suite Bridge. Weitere Informationen zu CAL Suite Bridge finden Sie im Abschnitt „Produkthinweise</w:t>
      </w:r>
      <w:r w:rsidRPr="00C372A0">
        <w:rPr>
          <w:rFonts w:cs="Tahoma"/>
          <w:iCs/>
          <w:sz w:val="16"/>
          <w:szCs w:val="20"/>
          <w:lang w:val="de-DE"/>
        </w:rPr>
        <w:t>“</w:t>
      </w:r>
      <w:r w:rsidRPr="00C83DF5">
        <w:rPr>
          <w:rFonts w:cs="Tahoma"/>
          <w:i/>
          <w:sz w:val="16"/>
          <w:szCs w:val="20"/>
          <w:lang w:val="de-DE"/>
        </w:rPr>
        <w:t xml:space="preserve"> dieses Dokuments.</w:t>
      </w:r>
    </w:p>
    <w:p w:rsidR="00252E73" w:rsidRPr="00C83DF5" w:rsidRDefault="00252E73" w:rsidP="00252E73">
      <w:pPr>
        <w:tabs>
          <w:tab w:val="left" w:pos="360"/>
        </w:tabs>
        <w:ind w:left="720"/>
        <w:rPr>
          <w:lang w:val="de-DE"/>
        </w:rPr>
      </w:pPr>
      <w:r w:rsidRPr="00C83DF5">
        <w:rPr>
          <w:rFonts w:cs="Tahoma"/>
          <w:i/>
          <w:sz w:val="16"/>
          <w:szCs w:val="20"/>
          <w:lang w:val="de-DE"/>
        </w:rPr>
        <w:t>** Office 365 ProPlus ist ein Konzernprodukt und erfüllt möglicherweise auch die Konzernweite Anforderung.</w:t>
      </w:r>
    </w:p>
    <w:p w:rsidR="00252E73" w:rsidRPr="00C83DF5" w:rsidRDefault="00252E73" w:rsidP="00456002">
      <w:pPr>
        <w:tabs>
          <w:tab w:val="left" w:pos="360"/>
        </w:tabs>
        <w:ind w:left="720"/>
        <w:rPr>
          <w:lang w:val="de-DE"/>
        </w:rPr>
      </w:pPr>
    </w:p>
    <w:p w:rsidR="00456002" w:rsidRPr="00C83DF5" w:rsidRDefault="00456002" w:rsidP="00456002">
      <w:pPr>
        <w:tabs>
          <w:tab w:val="left" w:pos="360"/>
        </w:tabs>
        <w:ind w:left="720"/>
        <w:rPr>
          <w:lang w:val="de-DE"/>
        </w:rPr>
      </w:pPr>
    </w:p>
    <w:p w:rsidR="00456002" w:rsidRPr="00C83DF5" w:rsidRDefault="00456002" w:rsidP="00366502">
      <w:pPr>
        <w:rPr>
          <w:lang w:val="de-DE"/>
        </w:rPr>
      </w:pPr>
      <w:r w:rsidRPr="00C83DF5">
        <w:rPr>
          <w:rFonts w:cs="Tahoma"/>
          <w:szCs w:val="20"/>
          <w:lang w:val="de-DE"/>
        </w:rPr>
        <w:t>Weitere Übergänge können nach Ermessen von Microsoft hinzugefügt werden.</w:t>
      </w:r>
      <w:r w:rsidR="00E71F46" w:rsidRPr="00C83DF5">
        <w:rPr>
          <w:rFonts w:cs="Tahoma"/>
          <w:szCs w:val="20"/>
          <w:lang w:val="de-DE"/>
        </w:rPr>
        <w:t xml:space="preserve"> </w:t>
      </w:r>
      <w:r w:rsidRPr="00C83DF5">
        <w:rPr>
          <w:rFonts w:cs="Tahoma"/>
          <w:szCs w:val="20"/>
          <w:lang w:val="de-DE"/>
        </w:rPr>
        <w:t>Hierfür können zusätzliche Gebühren und Lizenzbestimmungen gelten.</w:t>
      </w:r>
      <w:r w:rsidR="00E71F46" w:rsidRPr="00C83DF5">
        <w:rPr>
          <w:rFonts w:cs="Tahoma"/>
          <w:szCs w:val="20"/>
          <w:lang w:val="de-DE"/>
        </w:rPr>
        <w:t xml:space="preserve"> </w:t>
      </w:r>
    </w:p>
    <w:p w:rsidR="00456002" w:rsidRPr="00C83DF5" w:rsidRDefault="00456002" w:rsidP="00366502">
      <w:pPr>
        <w:outlineLvl w:val="2"/>
        <w:rPr>
          <w:lang w:val="de-DE"/>
        </w:rPr>
      </w:pPr>
    </w:p>
    <w:p w:rsidR="00456002" w:rsidRPr="00C83DF5" w:rsidRDefault="00456002" w:rsidP="0055442E">
      <w:pPr>
        <w:keepNext/>
        <w:tabs>
          <w:tab w:val="num" w:pos="720"/>
        </w:tabs>
        <w:spacing w:after="60"/>
        <w:outlineLvl w:val="3"/>
        <w:rPr>
          <w:lang w:val="de-DE"/>
        </w:rPr>
      </w:pPr>
      <w:r w:rsidRPr="00C83DF5">
        <w:rPr>
          <w:rFonts w:cs="Tahoma"/>
          <w:b/>
          <w:szCs w:val="20"/>
          <w:lang w:val="de-DE"/>
        </w:rPr>
        <w:lastRenderedPageBreak/>
        <w:t>Onlinedienste-True Up oder jährliche Bestellungen</w:t>
      </w:r>
      <w:r w:rsidRPr="00C83DF5">
        <w:rPr>
          <w:rFonts w:eastAsia="Times New Roman" w:cs="Tahoma"/>
          <w:b/>
          <w:sz w:val="22"/>
          <w:szCs w:val="20"/>
          <w:lang w:val="de-DE"/>
        </w:rPr>
        <w:t xml:space="preserve"> </w:t>
      </w:r>
    </w:p>
    <w:p w:rsidR="00456002" w:rsidRPr="00C83DF5" w:rsidRDefault="00456002" w:rsidP="00010D5F">
      <w:pPr>
        <w:rPr>
          <w:lang w:val="de-DE"/>
        </w:rPr>
      </w:pPr>
      <w:r w:rsidRPr="00C83DF5">
        <w:rPr>
          <w:rFonts w:cs="Tahoma"/>
          <w:b/>
          <w:szCs w:val="20"/>
          <w:lang w:val="de-DE"/>
        </w:rPr>
        <w:t>Anmerkung:</w:t>
      </w:r>
      <w:r w:rsidRPr="00C83DF5">
        <w:rPr>
          <w:rFonts w:cs="Tahoma"/>
          <w:szCs w:val="20"/>
          <w:lang w:val="de-DE"/>
        </w:rPr>
        <w:t xml:space="preserve"> Die folgenden Bestimmungen gelten für Kunden mit Konzern- und Konzern-Abonnement-Beitritt, die</w:t>
      </w:r>
      <w:r w:rsidR="00010D5F">
        <w:rPr>
          <w:rFonts w:cs="Tahoma"/>
          <w:szCs w:val="20"/>
          <w:lang w:val="de-DE"/>
        </w:rPr>
        <w:t> </w:t>
      </w:r>
      <w:r w:rsidRPr="00C83DF5">
        <w:rPr>
          <w:rFonts w:cs="Tahoma"/>
          <w:szCs w:val="20"/>
          <w:lang w:val="de-DE"/>
        </w:rPr>
        <w:t>zum Einreichen von True Up- oder jährlichen Bestellungen für Onlinedienste berechtigt sind.</w:t>
      </w:r>
      <w:r w:rsidR="00E71F46" w:rsidRPr="00C83DF5">
        <w:rPr>
          <w:rFonts w:cs="Tahoma"/>
          <w:szCs w:val="20"/>
          <w:lang w:val="de-DE"/>
        </w:rPr>
        <w:t xml:space="preserve"> </w:t>
      </w:r>
      <w:r w:rsidRPr="00C83DF5">
        <w:rPr>
          <w:rFonts w:cs="Tahoma"/>
          <w:szCs w:val="20"/>
          <w:lang w:val="de-DE"/>
        </w:rPr>
        <w:t>Kunden, die hinsichtlich der Berechtigung zum Einreichen von True Up- oder jährlichen Bestellungen für Onlinedienste unsicher sind, erhalten von ihrem Software Advisor, Handelspartner oder Microsoft-Kundenbetreuer weitere Informationen.</w:t>
      </w:r>
    </w:p>
    <w:p w:rsidR="00456002" w:rsidRPr="00F037D5" w:rsidRDefault="00456002" w:rsidP="00366502">
      <w:pPr>
        <w:rPr>
          <w:rFonts w:cs="Tahoma"/>
          <w:szCs w:val="20"/>
          <w:lang w:val="de-DE"/>
        </w:rPr>
      </w:pPr>
    </w:p>
    <w:p w:rsidR="00456002" w:rsidRPr="00C83DF5" w:rsidRDefault="00456002" w:rsidP="00366502">
      <w:pPr>
        <w:rPr>
          <w:lang w:val="de-DE"/>
        </w:rPr>
      </w:pPr>
      <w:r w:rsidRPr="00C83DF5">
        <w:rPr>
          <w:rFonts w:cs="Tahoma"/>
          <w:szCs w:val="20"/>
          <w:lang w:val="de-DE"/>
        </w:rPr>
        <w:t xml:space="preserve">Die folgenden Onlinedienste sind zum Einreichen von True Up- oder jährlichen Bestellungen für Onlinedienste berechtigt: </w:t>
      </w:r>
    </w:p>
    <w:p w:rsidR="00456002" w:rsidRPr="00F037D5" w:rsidRDefault="00456002" w:rsidP="0055442E">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C83DF5" w:rsidTr="005C647E">
        <w:trPr>
          <w:trHeight w:val="80"/>
          <w:tblHeader/>
        </w:trPr>
        <w:tc>
          <w:tcPr>
            <w:tcW w:w="5000" w:type="pct"/>
            <w:gridSpan w:val="2"/>
            <w:shd w:val="clear" w:color="auto" w:fill="FABF8F"/>
          </w:tcPr>
          <w:p w:rsidR="00456002" w:rsidRPr="00C83DF5" w:rsidRDefault="00456002" w:rsidP="005C647E">
            <w:pPr>
              <w:jc w:val="center"/>
              <w:rPr>
                <w:rFonts w:cs="Tahoma"/>
                <w:b/>
              </w:rPr>
            </w:pPr>
            <w:r w:rsidRPr="00C83DF5">
              <w:rPr>
                <w:rFonts w:cs="Tahoma"/>
                <w:b/>
              </w:rPr>
              <w:t>Onlinedienste</w:t>
            </w:r>
          </w:p>
        </w:tc>
      </w:tr>
      <w:tr w:rsidR="00456002" w:rsidRPr="00C83DF5" w:rsidTr="005C647E">
        <w:trPr>
          <w:trHeight w:val="219"/>
        </w:trPr>
        <w:tc>
          <w:tcPr>
            <w:tcW w:w="2603" w:type="pct"/>
          </w:tcPr>
          <w:p w:rsidR="00D85FDD" w:rsidRPr="00F037D5" w:rsidRDefault="00D85FDD" w:rsidP="0000424D">
            <w:pPr>
              <w:numPr>
                <w:ilvl w:val="0"/>
                <w:numId w:val="38"/>
              </w:numPr>
              <w:spacing w:before="80"/>
              <w:ind w:left="625" w:hanging="345"/>
              <w:rPr>
                <w:lang w:val="de-DE"/>
              </w:rPr>
            </w:pPr>
            <w:r w:rsidRPr="00F037D5">
              <w:rPr>
                <w:rFonts w:cs="Tahoma"/>
                <w:lang w:val="de-DE"/>
              </w:rPr>
              <w:t xml:space="preserve">Exchange Online-Archivierung für </w:t>
            </w:r>
            <w:r w:rsidR="0000424D" w:rsidRPr="00F037D5">
              <w:rPr>
                <w:rFonts w:cs="Tahoma"/>
                <w:lang w:val="de-DE"/>
              </w:rPr>
              <w:br/>
            </w:r>
            <w:r w:rsidRPr="00F037D5">
              <w:rPr>
                <w:rFonts w:cs="Tahoma"/>
                <w:lang w:val="de-DE"/>
              </w:rPr>
              <w:t>Exchange Online*</w:t>
            </w:r>
          </w:p>
          <w:p w:rsidR="00D85FDD" w:rsidRPr="0000424D" w:rsidRDefault="00D85FDD" w:rsidP="0000424D">
            <w:pPr>
              <w:numPr>
                <w:ilvl w:val="0"/>
                <w:numId w:val="38"/>
              </w:numPr>
              <w:spacing w:before="80"/>
              <w:ind w:left="625" w:hanging="345"/>
              <w:rPr>
                <w:lang w:val="de-DE"/>
              </w:rPr>
            </w:pPr>
            <w:r w:rsidRPr="0000424D">
              <w:rPr>
                <w:rFonts w:cs="Tahoma"/>
                <w:lang w:val="de-DE"/>
              </w:rPr>
              <w:t xml:space="preserve">Exchange Online-Archivierung für </w:t>
            </w:r>
            <w:r w:rsidR="0000424D" w:rsidRPr="0000424D">
              <w:rPr>
                <w:rFonts w:cs="Tahoma"/>
                <w:lang w:val="de-DE"/>
              </w:rPr>
              <w:br/>
            </w:r>
            <w:r w:rsidRPr="0000424D">
              <w:rPr>
                <w:rFonts w:cs="Tahoma"/>
                <w:lang w:val="de-DE"/>
              </w:rPr>
              <w:t>Exchange Server*</w:t>
            </w:r>
          </w:p>
          <w:p w:rsidR="00456002" w:rsidRPr="00C83DF5" w:rsidRDefault="00456002" w:rsidP="00A42F94">
            <w:pPr>
              <w:numPr>
                <w:ilvl w:val="0"/>
                <w:numId w:val="38"/>
              </w:numPr>
              <w:spacing w:before="80"/>
              <w:ind w:left="625" w:hanging="345"/>
              <w:jc w:val="both"/>
            </w:pPr>
            <w:r w:rsidRPr="00C83DF5">
              <w:rPr>
                <w:rFonts w:cs="Tahoma"/>
              </w:rPr>
              <w:t>Exchange Online Kiosk*</w:t>
            </w:r>
          </w:p>
          <w:p w:rsidR="00456002" w:rsidRPr="00C83DF5" w:rsidRDefault="00456002" w:rsidP="00A42F94">
            <w:pPr>
              <w:numPr>
                <w:ilvl w:val="0"/>
                <w:numId w:val="38"/>
              </w:numPr>
              <w:spacing w:before="80"/>
              <w:ind w:left="625" w:hanging="345"/>
              <w:jc w:val="both"/>
            </w:pPr>
            <w:r w:rsidRPr="00C83DF5">
              <w:rPr>
                <w:rFonts w:cs="Tahoma"/>
              </w:rPr>
              <w:t>Exchange Online Plan 1*</w:t>
            </w:r>
          </w:p>
          <w:p w:rsidR="00456002" w:rsidRPr="00C83DF5" w:rsidRDefault="00456002" w:rsidP="00A42F94">
            <w:pPr>
              <w:numPr>
                <w:ilvl w:val="0"/>
                <w:numId w:val="38"/>
              </w:numPr>
              <w:spacing w:before="80"/>
              <w:ind w:left="625" w:hanging="345"/>
              <w:jc w:val="both"/>
            </w:pPr>
            <w:r w:rsidRPr="00C83DF5">
              <w:rPr>
                <w:rFonts w:cs="Tahoma"/>
              </w:rPr>
              <w:t>Exchange Online Plan 2*</w:t>
            </w:r>
          </w:p>
          <w:p w:rsidR="00D85FDD" w:rsidRPr="00C83DF5" w:rsidRDefault="00D85FDD" w:rsidP="00A42F94">
            <w:pPr>
              <w:numPr>
                <w:ilvl w:val="0"/>
                <w:numId w:val="38"/>
              </w:numPr>
              <w:spacing w:before="80"/>
              <w:ind w:left="625" w:hanging="345"/>
              <w:jc w:val="both"/>
            </w:pPr>
            <w:r w:rsidRPr="00C83DF5">
              <w:rPr>
                <w:rFonts w:cs="Tahoma"/>
              </w:rPr>
              <w:t>Exchange Online Protection*</w:t>
            </w:r>
          </w:p>
          <w:p w:rsidR="00456002" w:rsidRPr="00C83DF5" w:rsidRDefault="00456002" w:rsidP="00A42F94">
            <w:pPr>
              <w:numPr>
                <w:ilvl w:val="0"/>
                <w:numId w:val="38"/>
              </w:numPr>
              <w:spacing w:before="80"/>
              <w:ind w:left="625" w:hanging="345"/>
              <w:jc w:val="both"/>
            </w:pPr>
            <w:r w:rsidRPr="00C83DF5">
              <w:rPr>
                <w:rFonts w:cs="Tahoma"/>
              </w:rPr>
              <w:t>Lync Online Plan 1*</w:t>
            </w:r>
          </w:p>
          <w:p w:rsidR="00456002" w:rsidRPr="00C83DF5" w:rsidRDefault="00456002" w:rsidP="00A42F94">
            <w:pPr>
              <w:numPr>
                <w:ilvl w:val="0"/>
                <w:numId w:val="38"/>
              </w:numPr>
              <w:spacing w:before="80"/>
              <w:ind w:left="625" w:hanging="345"/>
              <w:jc w:val="both"/>
            </w:pPr>
            <w:r w:rsidRPr="00C83DF5">
              <w:rPr>
                <w:rFonts w:cs="Tahoma"/>
              </w:rPr>
              <w:t>Lync Online Plan 2*</w:t>
            </w:r>
          </w:p>
          <w:p w:rsidR="00E77288" w:rsidRPr="00C83DF5" w:rsidRDefault="00E77288" w:rsidP="00A42F94">
            <w:pPr>
              <w:numPr>
                <w:ilvl w:val="0"/>
                <w:numId w:val="38"/>
              </w:numPr>
              <w:spacing w:before="80"/>
              <w:ind w:left="625" w:hanging="345"/>
              <w:jc w:val="both"/>
            </w:pPr>
            <w:r w:rsidRPr="00C83DF5">
              <w:rPr>
                <w:rFonts w:cs="Tahoma"/>
              </w:rPr>
              <w:t>Lync Online Plan 3*</w:t>
            </w:r>
          </w:p>
          <w:p w:rsidR="00456002" w:rsidRPr="00C83DF5" w:rsidRDefault="00456002" w:rsidP="00A42F94">
            <w:pPr>
              <w:numPr>
                <w:ilvl w:val="0"/>
                <w:numId w:val="38"/>
              </w:numPr>
              <w:spacing w:before="80"/>
              <w:ind w:left="625" w:hanging="345"/>
              <w:jc w:val="both"/>
            </w:pPr>
            <w:r w:rsidRPr="00C83DF5">
              <w:rPr>
                <w:rFonts w:cs="Tahoma"/>
              </w:rPr>
              <w:t>Office 365 (Enterprise K1)*</w:t>
            </w:r>
          </w:p>
          <w:p w:rsidR="00456002" w:rsidRPr="00C83DF5" w:rsidRDefault="00456002" w:rsidP="00A42F94">
            <w:pPr>
              <w:numPr>
                <w:ilvl w:val="0"/>
                <w:numId w:val="38"/>
              </w:numPr>
              <w:spacing w:before="80"/>
              <w:ind w:left="625" w:hanging="345"/>
              <w:jc w:val="both"/>
            </w:pPr>
            <w:r w:rsidRPr="00C83DF5">
              <w:rPr>
                <w:rFonts w:cs="Tahoma"/>
              </w:rPr>
              <w:t>Office 365 (Enterprise E1)</w:t>
            </w:r>
          </w:p>
          <w:p w:rsidR="00456002" w:rsidRPr="00C83DF5" w:rsidRDefault="00456002" w:rsidP="00A42F94">
            <w:pPr>
              <w:numPr>
                <w:ilvl w:val="0"/>
                <w:numId w:val="38"/>
              </w:numPr>
              <w:spacing w:before="80"/>
              <w:ind w:left="625" w:hanging="345"/>
              <w:jc w:val="both"/>
            </w:pPr>
            <w:r w:rsidRPr="00C83DF5">
              <w:rPr>
                <w:rFonts w:cs="Tahoma"/>
              </w:rPr>
              <w:t>Office 365 (Enterprise E3)</w:t>
            </w:r>
          </w:p>
          <w:p w:rsidR="00456002" w:rsidRPr="00C83DF5" w:rsidRDefault="00456002" w:rsidP="00A42F94">
            <w:pPr>
              <w:numPr>
                <w:ilvl w:val="0"/>
                <w:numId w:val="38"/>
              </w:numPr>
              <w:spacing w:before="80"/>
              <w:ind w:left="625" w:hanging="345"/>
              <w:jc w:val="both"/>
              <w:rPr>
                <w:rFonts w:cs="Tahoma"/>
              </w:rPr>
            </w:pPr>
            <w:r w:rsidRPr="00C83DF5">
              <w:rPr>
                <w:rFonts w:cs="Tahoma"/>
              </w:rPr>
              <w:t>Office 365 (Enterprise E4)</w:t>
            </w:r>
          </w:p>
        </w:tc>
        <w:tc>
          <w:tcPr>
            <w:tcW w:w="2397" w:type="pct"/>
          </w:tcPr>
          <w:p w:rsidR="00A32052" w:rsidRPr="00C83DF5" w:rsidRDefault="00A32052" w:rsidP="00346F4B">
            <w:pPr>
              <w:numPr>
                <w:ilvl w:val="0"/>
                <w:numId w:val="38"/>
              </w:numPr>
              <w:spacing w:before="80"/>
              <w:ind w:left="692"/>
              <w:jc w:val="both"/>
            </w:pPr>
            <w:r w:rsidRPr="00C83DF5">
              <w:rPr>
                <w:rFonts w:cs="Tahoma"/>
                <w:color w:val="000000"/>
              </w:rPr>
              <w:t>Office 365 (Government G1)</w:t>
            </w:r>
          </w:p>
          <w:p w:rsidR="00A32052" w:rsidRPr="00C83DF5" w:rsidRDefault="00A32052" w:rsidP="00346F4B">
            <w:pPr>
              <w:numPr>
                <w:ilvl w:val="0"/>
                <w:numId w:val="38"/>
              </w:numPr>
              <w:spacing w:before="80"/>
              <w:ind w:left="692"/>
              <w:jc w:val="both"/>
            </w:pPr>
            <w:r w:rsidRPr="00C83DF5">
              <w:rPr>
                <w:rFonts w:cs="Tahoma"/>
                <w:color w:val="000000"/>
              </w:rPr>
              <w:t>Office 365 (Government G3)</w:t>
            </w:r>
          </w:p>
          <w:p w:rsidR="00A32052" w:rsidRPr="00C83DF5" w:rsidRDefault="00A32052" w:rsidP="00346F4B">
            <w:pPr>
              <w:numPr>
                <w:ilvl w:val="0"/>
                <w:numId w:val="38"/>
              </w:numPr>
              <w:spacing w:before="80"/>
              <w:ind w:left="692"/>
              <w:jc w:val="both"/>
            </w:pPr>
            <w:r w:rsidRPr="00C83DF5">
              <w:rPr>
                <w:rFonts w:cs="Tahoma"/>
                <w:color w:val="000000"/>
              </w:rPr>
              <w:t>Office 365 (Government G4)</w:t>
            </w:r>
          </w:p>
          <w:p w:rsidR="00252E73" w:rsidRPr="00C83DF5" w:rsidRDefault="00252E73" w:rsidP="00346F4B">
            <w:pPr>
              <w:numPr>
                <w:ilvl w:val="0"/>
                <w:numId w:val="38"/>
              </w:numPr>
              <w:spacing w:before="80"/>
              <w:ind w:left="692"/>
              <w:jc w:val="both"/>
            </w:pPr>
            <w:r w:rsidRPr="00C83DF5">
              <w:rPr>
                <w:rFonts w:cs="Tahoma"/>
                <w:color w:val="000000"/>
              </w:rPr>
              <w:t>Office 365 ProPlus**</w:t>
            </w:r>
          </w:p>
          <w:p w:rsidR="00456002" w:rsidRPr="00C83DF5" w:rsidRDefault="00456002" w:rsidP="00346F4B">
            <w:pPr>
              <w:numPr>
                <w:ilvl w:val="0"/>
                <w:numId w:val="38"/>
              </w:numPr>
              <w:spacing w:before="80"/>
              <w:ind w:left="692"/>
              <w:jc w:val="both"/>
            </w:pPr>
            <w:r w:rsidRPr="00C83DF5">
              <w:rPr>
                <w:rFonts w:cs="Tahoma"/>
                <w:color w:val="000000"/>
              </w:rPr>
              <w:t>Office-Webanwendungen*</w:t>
            </w:r>
          </w:p>
          <w:p w:rsidR="00454646" w:rsidRPr="00C83DF5" w:rsidRDefault="00454646" w:rsidP="00346F4B">
            <w:pPr>
              <w:numPr>
                <w:ilvl w:val="0"/>
                <w:numId w:val="38"/>
              </w:numPr>
              <w:spacing w:before="80"/>
              <w:ind w:left="692"/>
              <w:jc w:val="both"/>
            </w:pPr>
            <w:r w:rsidRPr="00C83DF5">
              <w:rPr>
                <w:rFonts w:cs="Tahoma"/>
                <w:color w:val="000000"/>
              </w:rPr>
              <w:t>Project Pro für Office 365*</w:t>
            </w:r>
          </w:p>
          <w:p w:rsidR="00454646" w:rsidRPr="00C83DF5" w:rsidRDefault="00454646" w:rsidP="00346F4B">
            <w:pPr>
              <w:numPr>
                <w:ilvl w:val="0"/>
                <w:numId w:val="38"/>
              </w:numPr>
              <w:spacing w:before="80"/>
              <w:ind w:left="692"/>
              <w:jc w:val="both"/>
            </w:pPr>
            <w:r w:rsidRPr="00C83DF5">
              <w:rPr>
                <w:rFonts w:cs="Tahoma"/>
                <w:color w:val="000000"/>
              </w:rPr>
              <w:t>Project Online*</w:t>
            </w:r>
          </w:p>
          <w:p w:rsidR="00456002" w:rsidRPr="00C83DF5" w:rsidRDefault="00456002" w:rsidP="00346F4B">
            <w:pPr>
              <w:numPr>
                <w:ilvl w:val="0"/>
                <w:numId w:val="38"/>
              </w:numPr>
              <w:spacing w:before="80"/>
              <w:ind w:left="692"/>
              <w:jc w:val="both"/>
            </w:pPr>
            <w:r w:rsidRPr="00C83DF5">
              <w:rPr>
                <w:rFonts w:cs="Tahoma"/>
                <w:color w:val="000000"/>
              </w:rPr>
              <w:t>SharePoint Online Plan 1*</w:t>
            </w:r>
          </w:p>
          <w:p w:rsidR="00456002" w:rsidRPr="00C83DF5" w:rsidRDefault="00456002" w:rsidP="00346F4B">
            <w:pPr>
              <w:numPr>
                <w:ilvl w:val="0"/>
                <w:numId w:val="38"/>
              </w:numPr>
              <w:spacing w:before="80"/>
              <w:ind w:left="692"/>
              <w:jc w:val="both"/>
            </w:pPr>
            <w:r w:rsidRPr="00C83DF5">
              <w:rPr>
                <w:rFonts w:cs="Tahoma"/>
                <w:color w:val="000000"/>
              </w:rPr>
              <w:t>SharePoint Online Plan 2*</w:t>
            </w:r>
          </w:p>
          <w:p w:rsidR="00456002" w:rsidRPr="00C83DF5" w:rsidRDefault="00456002" w:rsidP="00346F4B">
            <w:pPr>
              <w:numPr>
                <w:ilvl w:val="0"/>
                <w:numId w:val="38"/>
              </w:numPr>
              <w:spacing w:before="80"/>
              <w:ind w:left="692"/>
              <w:jc w:val="both"/>
            </w:pPr>
            <w:r w:rsidRPr="00C83DF5">
              <w:rPr>
                <w:rFonts w:cs="Tahoma"/>
                <w:color w:val="000000"/>
              </w:rPr>
              <w:t>SharePoint Online Partner Access*</w:t>
            </w:r>
          </w:p>
          <w:p w:rsidR="00454646" w:rsidRPr="00C83DF5" w:rsidRDefault="00454646" w:rsidP="00346F4B">
            <w:pPr>
              <w:numPr>
                <w:ilvl w:val="0"/>
                <w:numId w:val="38"/>
              </w:numPr>
              <w:spacing w:before="80"/>
              <w:ind w:left="692"/>
              <w:jc w:val="both"/>
            </w:pPr>
            <w:r w:rsidRPr="00C83DF5">
              <w:rPr>
                <w:rFonts w:cs="Tahoma"/>
                <w:color w:val="000000"/>
              </w:rPr>
              <w:t>Visio Pro für Office 365*</w:t>
            </w:r>
          </w:p>
          <w:p w:rsidR="00D8521B" w:rsidRPr="00C83DF5" w:rsidRDefault="00D8521B" w:rsidP="0000424D">
            <w:pPr>
              <w:numPr>
                <w:ilvl w:val="0"/>
                <w:numId w:val="38"/>
              </w:numPr>
              <w:spacing w:before="80"/>
              <w:ind w:left="692"/>
            </w:pPr>
            <w:r w:rsidRPr="00C83DF5">
              <w:rPr>
                <w:rFonts w:cs="Tahoma"/>
                <w:color w:val="000000"/>
              </w:rPr>
              <w:t>Windows Azure Active Directory-Rechteverwaltung*</w:t>
            </w:r>
          </w:p>
          <w:p w:rsidR="00456002" w:rsidRPr="00C83DF5" w:rsidRDefault="00456002" w:rsidP="00346F4B">
            <w:pPr>
              <w:numPr>
                <w:ilvl w:val="0"/>
                <w:numId w:val="38"/>
              </w:numPr>
              <w:spacing w:before="80"/>
              <w:ind w:left="692"/>
              <w:jc w:val="both"/>
            </w:pPr>
            <w:r w:rsidRPr="00C83DF5">
              <w:rPr>
                <w:rFonts w:cs="Tahoma"/>
                <w:color w:val="000000"/>
              </w:rPr>
              <w:t>Windows Intune</w:t>
            </w:r>
          </w:p>
          <w:p w:rsidR="00456002" w:rsidRPr="00C83DF5" w:rsidRDefault="00BD6C2C" w:rsidP="00346F4B">
            <w:pPr>
              <w:numPr>
                <w:ilvl w:val="0"/>
                <w:numId w:val="38"/>
              </w:numPr>
              <w:spacing w:before="80"/>
              <w:ind w:left="692"/>
              <w:jc w:val="both"/>
            </w:pPr>
            <w:r w:rsidRPr="00C83DF5">
              <w:rPr>
                <w:rFonts w:cs="Tahoma"/>
                <w:color w:val="000000"/>
              </w:rPr>
              <w:t>Add-On für Windows Intune*, ***</w:t>
            </w:r>
          </w:p>
          <w:p w:rsidR="00F27B29" w:rsidRPr="00C83DF5" w:rsidRDefault="00F27B29" w:rsidP="00346F4B">
            <w:pPr>
              <w:numPr>
                <w:ilvl w:val="0"/>
                <w:numId w:val="38"/>
              </w:numPr>
              <w:spacing w:before="80"/>
              <w:ind w:left="692"/>
              <w:jc w:val="both"/>
              <w:rPr>
                <w:rFonts w:cs="Tahoma"/>
              </w:rPr>
            </w:pPr>
            <w:r w:rsidRPr="00C83DF5">
              <w:rPr>
                <w:rFonts w:cs="Tahoma"/>
                <w:color w:val="000000"/>
              </w:rPr>
              <w:t>Yammer Enterprise*</w:t>
            </w:r>
          </w:p>
        </w:tc>
      </w:tr>
    </w:tbl>
    <w:p w:rsidR="00456002" w:rsidRPr="00C83DF5" w:rsidRDefault="00456002" w:rsidP="00456002">
      <w:pPr>
        <w:tabs>
          <w:tab w:val="left" w:pos="360"/>
        </w:tabs>
        <w:ind w:left="720"/>
      </w:pPr>
      <w:r w:rsidRPr="00C83DF5">
        <w:rPr>
          <w:rFonts w:cs="Tahoma"/>
          <w:i/>
          <w:sz w:val="16"/>
          <w:szCs w:val="20"/>
        </w:rPr>
        <w:t>* Zusätzliches Produkt</w:t>
      </w:r>
    </w:p>
    <w:p w:rsidR="00252E73" w:rsidRPr="00C83DF5" w:rsidRDefault="00252E73" w:rsidP="00252E73">
      <w:pPr>
        <w:tabs>
          <w:tab w:val="left" w:pos="360"/>
        </w:tabs>
        <w:ind w:left="720"/>
      </w:pPr>
      <w:r w:rsidRPr="00C83DF5">
        <w:rPr>
          <w:rFonts w:cs="Tahoma"/>
          <w:i/>
          <w:sz w:val="16"/>
          <w:szCs w:val="20"/>
        </w:rPr>
        <w:t>** Konzernprodukt</w:t>
      </w:r>
    </w:p>
    <w:p w:rsidR="00456002" w:rsidRPr="00C83DF5" w:rsidRDefault="003929D1" w:rsidP="00456002">
      <w:pPr>
        <w:tabs>
          <w:tab w:val="left" w:pos="360"/>
        </w:tabs>
        <w:ind w:left="720"/>
      </w:pPr>
      <w:r w:rsidRPr="00C83DF5">
        <w:rPr>
          <w:rFonts w:cs="Tahoma"/>
          <w:i/>
          <w:sz w:val="16"/>
          <w:szCs w:val="20"/>
        </w:rPr>
        <w:t>*** „Add-On für Windows Intune</w:t>
      </w:r>
      <w:r w:rsidRPr="009640BB">
        <w:rPr>
          <w:rFonts w:cs="Tahoma"/>
          <w:iCs/>
          <w:sz w:val="16"/>
          <w:szCs w:val="20"/>
        </w:rPr>
        <w:t>“</w:t>
      </w:r>
      <w:r w:rsidRPr="00C83DF5">
        <w:rPr>
          <w:rFonts w:cs="Tahoma"/>
          <w:i/>
          <w:sz w:val="16"/>
          <w:szCs w:val="20"/>
        </w:rPr>
        <w:t xml:space="preserve"> ist eine Abkürzung für Add-On für Windows Intune für System Center Configuration Manager und System Center Endpoint Protection (Pro Nutzer)</w:t>
      </w:r>
    </w:p>
    <w:p w:rsidR="003929D1" w:rsidRPr="009640BB" w:rsidRDefault="003929D1" w:rsidP="009640BB">
      <w:pPr>
        <w:tabs>
          <w:tab w:val="left" w:pos="360"/>
        </w:tabs>
        <w:rPr>
          <w:rFonts w:cs="Tahoma"/>
          <w:b/>
          <w:szCs w:val="18"/>
        </w:rPr>
      </w:pPr>
    </w:p>
    <w:p w:rsidR="00456002" w:rsidRPr="00C83DF5" w:rsidRDefault="00456002" w:rsidP="001E7C5F">
      <w:pPr>
        <w:tabs>
          <w:tab w:val="left" w:pos="360"/>
        </w:tabs>
        <w:spacing w:after="60"/>
        <w:rPr>
          <w:lang w:val="de-DE"/>
        </w:rPr>
      </w:pPr>
      <w:r w:rsidRPr="00C83DF5">
        <w:rPr>
          <w:rFonts w:cs="Tahoma"/>
          <w:b/>
          <w:szCs w:val="20"/>
          <w:lang w:val="de-DE"/>
        </w:rPr>
        <w:t>Abonnementlizenzverringerungen</w:t>
      </w:r>
    </w:p>
    <w:p w:rsidR="00456002" w:rsidRPr="00C83DF5" w:rsidRDefault="00456002" w:rsidP="00C15865">
      <w:pPr>
        <w:tabs>
          <w:tab w:val="left" w:pos="360"/>
        </w:tabs>
        <w:rPr>
          <w:lang w:val="de-DE"/>
        </w:rPr>
      </w:pPr>
      <w:r w:rsidRPr="00C83DF5">
        <w:rPr>
          <w:rFonts w:cs="Tahoma"/>
          <w:b/>
          <w:szCs w:val="20"/>
          <w:lang w:val="de-DE"/>
        </w:rPr>
        <w:t>Anmerkung:</w:t>
      </w:r>
      <w:r w:rsidRPr="00C83DF5">
        <w:rPr>
          <w:rFonts w:cs="Tahoma"/>
          <w:szCs w:val="20"/>
          <w:lang w:val="de-DE"/>
        </w:rPr>
        <w:t xml:space="preserve"> Die folgenden Bestimmungen gelten für Konzernkunden, die berechtigt sind, Verringerungen bei</w:t>
      </w:r>
      <w:r w:rsidR="00C15865">
        <w:rPr>
          <w:rFonts w:cs="Tahoma"/>
          <w:szCs w:val="20"/>
          <w:lang w:val="de-DE"/>
        </w:rPr>
        <w:t> </w:t>
      </w:r>
      <w:r w:rsidRPr="00C83DF5">
        <w:rPr>
          <w:rFonts w:cs="Tahoma"/>
          <w:szCs w:val="20"/>
          <w:lang w:val="de-DE"/>
        </w:rPr>
        <w:t>der</w:t>
      </w:r>
      <w:r w:rsidR="00C15865">
        <w:rPr>
          <w:rFonts w:cs="Tahoma"/>
          <w:szCs w:val="20"/>
          <w:lang w:val="de-DE"/>
        </w:rPr>
        <w:t> </w:t>
      </w:r>
      <w:r w:rsidRPr="00C83DF5">
        <w:rPr>
          <w:rFonts w:cs="Tahoma"/>
          <w:szCs w:val="20"/>
          <w:lang w:val="de-DE"/>
        </w:rPr>
        <w:t>Anzahl von Abonnementlizenzen zu melden.</w:t>
      </w:r>
      <w:r w:rsidR="00E71F46" w:rsidRPr="00C83DF5">
        <w:rPr>
          <w:rFonts w:cs="Tahoma"/>
          <w:szCs w:val="20"/>
          <w:lang w:val="de-DE"/>
        </w:rPr>
        <w:t xml:space="preserve"> </w:t>
      </w:r>
      <w:r w:rsidRPr="00C83DF5">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E71F46" w:rsidRPr="00C83DF5">
        <w:rPr>
          <w:rFonts w:cs="Tahoma"/>
          <w:szCs w:val="20"/>
          <w:lang w:val="de-DE"/>
        </w:rPr>
        <w:t xml:space="preserve"> </w:t>
      </w:r>
    </w:p>
    <w:p w:rsidR="00456002" w:rsidRPr="00F037D5" w:rsidRDefault="00456002" w:rsidP="00366502">
      <w:pPr>
        <w:tabs>
          <w:tab w:val="left" w:pos="360"/>
        </w:tabs>
        <w:rPr>
          <w:rFonts w:cs="Tahoma"/>
          <w:szCs w:val="20"/>
          <w:lang w:val="de-DE"/>
        </w:rPr>
      </w:pPr>
    </w:p>
    <w:p w:rsidR="00456002" w:rsidRPr="00C83DF5" w:rsidRDefault="00456002" w:rsidP="00366502">
      <w:pPr>
        <w:tabs>
          <w:tab w:val="left" w:pos="360"/>
        </w:tabs>
        <w:rPr>
          <w:lang w:val="de-DE"/>
        </w:rPr>
      </w:pPr>
      <w:r w:rsidRPr="00C83DF5">
        <w:rPr>
          <w:rFonts w:cs="Tahoma"/>
          <w:szCs w:val="20"/>
          <w:lang w:val="de-DE"/>
        </w:rPr>
        <w:t>Die folgenden Abonnementlizenzen sind zu Anpassungen der Lizenzmengen berechtigt:</w:t>
      </w:r>
    </w:p>
    <w:p w:rsidR="00456002" w:rsidRPr="00E17FE7" w:rsidRDefault="00456002" w:rsidP="00456002">
      <w:pPr>
        <w:tabs>
          <w:tab w:val="left" w:pos="360"/>
        </w:tabs>
        <w:ind w:left="720"/>
        <w:rPr>
          <w:rFonts w:cs="Tahoma"/>
          <w:szCs w:val="20"/>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C83DF5" w:rsidTr="002B1E2D">
        <w:trPr>
          <w:trHeight w:val="80"/>
          <w:tblHeader/>
        </w:trPr>
        <w:tc>
          <w:tcPr>
            <w:tcW w:w="5000" w:type="pct"/>
            <w:gridSpan w:val="2"/>
            <w:shd w:val="clear" w:color="auto" w:fill="FABF8F"/>
          </w:tcPr>
          <w:p w:rsidR="00456002" w:rsidRPr="00C83DF5" w:rsidRDefault="00456002" w:rsidP="00B215EA">
            <w:pPr>
              <w:jc w:val="center"/>
              <w:rPr>
                <w:rFonts w:cs="Tahoma"/>
                <w:b/>
              </w:rPr>
            </w:pPr>
            <w:r w:rsidRPr="00C83DF5">
              <w:rPr>
                <w:rFonts w:cs="Tahoma"/>
                <w:b/>
              </w:rPr>
              <w:t>Online-Abonnements</w:t>
            </w:r>
          </w:p>
        </w:tc>
      </w:tr>
      <w:tr w:rsidR="00456002" w:rsidRPr="00C83DF5" w:rsidTr="007E466C">
        <w:trPr>
          <w:trHeight w:val="219"/>
        </w:trPr>
        <w:tc>
          <w:tcPr>
            <w:tcW w:w="2500" w:type="pct"/>
          </w:tcPr>
          <w:p w:rsidR="00D85FDD" w:rsidRPr="00C83DF5" w:rsidRDefault="00D85FDD" w:rsidP="00346F4B">
            <w:pPr>
              <w:numPr>
                <w:ilvl w:val="0"/>
                <w:numId w:val="38"/>
              </w:numPr>
              <w:spacing w:before="80"/>
              <w:rPr>
                <w:lang w:val="de-DE"/>
              </w:rPr>
            </w:pPr>
            <w:r w:rsidRPr="00C83DF5">
              <w:rPr>
                <w:rFonts w:cs="Tahoma"/>
                <w:lang w:val="de-DE"/>
              </w:rPr>
              <w:t>Exchange Online-Archivierung für Exchange Online*</w:t>
            </w:r>
          </w:p>
          <w:p w:rsidR="00D85FDD" w:rsidRPr="00C83DF5" w:rsidRDefault="00D85FDD" w:rsidP="00346F4B">
            <w:pPr>
              <w:numPr>
                <w:ilvl w:val="0"/>
                <w:numId w:val="38"/>
              </w:numPr>
              <w:spacing w:before="80"/>
              <w:rPr>
                <w:lang w:val="de-DE"/>
              </w:rPr>
            </w:pPr>
            <w:r w:rsidRPr="00C83DF5">
              <w:rPr>
                <w:rFonts w:cs="Tahoma"/>
                <w:lang w:val="de-DE"/>
              </w:rPr>
              <w:t>Exchange Online-Archivierung für Exchange Server*</w:t>
            </w:r>
          </w:p>
          <w:p w:rsidR="00456002" w:rsidRPr="00C83DF5" w:rsidRDefault="00456002" w:rsidP="00346F4B">
            <w:pPr>
              <w:numPr>
                <w:ilvl w:val="0"/>
                <w:numId w:val="38"/>
              </w:numPr>
              <w:spacing w:before="80"/>
            </w:pPr>
            <w:r w:rsidRPr="00C83DF5">
              <w:rPr>
                <w:rFonts w:cs="Tahoma"/>
              </w:rPr>
              <w:t>Exchange Online Kiosk*</w:t>
            </w:r>
          </w:p>
          <w:p w:rsidR="00456002" w:rsidRPr="00C83DF5" w:rsidRDefault="00456002" w:rsidP="00346F4B">
            <w:pPr>
              <w:numPr>
                <w:ilvl w:val="0"/>
                <w:numId w:val="38"/>
              </w:numPr>
              <w:spacing w:before="80"/>
            </w:pPr>
            <w:r w:rsidRPr="00C83DF5">
              <w:rPr>
                <w:rFonts w:cs="Tahoma"/>
              </w:rPr>
              <w:t>Exchange Online Plan 1*</w:t>
            </w:r>
          </w:p>
          <w:p w:rsidR="00456002" w:rsidRPr="00C83DF5" w:rsidRDefault="00456002" w:rsidP="00346F4B">
            <w:pPr>
              <w:numPr>
                <w:ilvl w:val="0"/>
                <w:numId w:val="38"/>
              </w:numPr>
              <w:spacing w:before="80"/>
            </w:pPr>
            <w:r w:rsidRPr="00C83DF5">
              <w:rPr>
                <w:rFonts w:cs="Tahoma"/>
              </w:rPr>
              <w:t>Exchange Online Plan 2*</w:t>
            </w:r>
          </w:p>
          <w:p w:rsidR="00D85FDD" w:rsidRPr="00C83DF5" w:rsidRDefault="00D85FDD" w:rsidP="00346F4B">
            <w:pPr>
              <w:numPr>
                <w:ilvl w:val="0"/>
                <w:numId w:val="38"/>
              </w:numPr>
              <w:spacing w:before="80"/>
            </w:pPr>
            <w:r w:rsidRPr="00C83DF5">
              <w:rPr>
                <w:rFonts w:cs="Tahoma"/>
              </w:rPr>
              <w:t>Exchange Online Protection*</w:t>
            </w:r>
          </w:p>
          <w:p w:rsidR="00456002" w:rsidRPr="00C83DF5" w:rsidRDefault="00456002" w:rsidP="00346F4B">
            <w:pPr>
              <w:numPr>
                <w:ilvl w:val="0"/>
                <w:numId w:val="38"/>
              </w:numPr>
              <w:spacing w:before="80"/>
            </w:pPr>
            <w:r w:rsidRPr="00C83DF5">
              <w:rPr>
                <w:rFonts w:cs="Tahoma"/>
              </w:rPr>
              <w:t>Lync Online Plan 1*</w:t>
            </w:r>
          </w:p>
          <w:p w:rsidR="00456002" w:rsidRPr="00C83DF5" w:rsidRDefault="00456002" w:rsidP="00346F4B">
            <w:pPr>
              <w:numPr>
                <w:ilvl w:val="0"/>
                <w:numId w:val="38"/>
              </w:numPr>
              <w:spacing w:before="80"/>
            </w:pPr>
            <w:r w:rsidRPr="00C83DF5">
              <w:rPr>
                <w:rFonts w:cs="Tahoma"/>
              </w:rPr>
              <w:lastRenderedPageBreak/>
              <w:t>Lync Online Plan 2*</w:t>
            </w:r>
          </w:p>
          <w:p w:rsidR="00E77288" w:rsidRPr="00C83DF5" w:rsidRDefault="00E77288" w:rsidP="00346F4B">
            <w:pPr>
              <w:numPr>
                <w:ilvl w:val="0"/>
                <w:numId w:val="38"/>
              </w:numPr>
              <w:spacing w:before="80"/>
            </w:pPr>
            <w:r w:rsidRPr="00C83DF5">
              <w:rPr>
                <w:rFonts w:cs="Tahoma"/>
              </w:rPr>
              <w:t>Lync Online Plan 3*</w:t>
            </w:r>
          </w:p>
          <w:p w:rsidR="00456002" w:rsidRPr="00C83DF5" w:rsidRDefault="00456002" w:rsidP="00346F4B">
            <w:pPr>
              <w:numPr>
                <w:ilvl w:val="0"/>
                <w:numId w:val="38"/>
              </w:numPr>
              <w:spacing w:before="80"/>
            </w:pPr>
            <w:r w:rsidRPr="00C83DF5">
              <w:rPr>
                <w:rFonts w:cs="Tahoma"/>
              </w:rPr>
              <w:t>Office 365 (Enterprise K1)*</w:t>
            </w:r>
          </w:p>
          <w:p w:rsidR="00456002" w:rsidRPr="00C83DF5" w:rsidRDefault="00456002" w:rsidP="00346F4B">
            <w:pPr>
              <w:numPr>
                <w:ilvl w:val="0"/>
                <w:numId w:val="38"/>
              </w:numPr>
              <w:spacing w:before="80"/>
            </w:pPr>
            <w:r w:rsidRPr="00C83DF5">
              <w:rPr>
                <w:rFonts w:cs="Tahoma"/>
              </w:rPr>
              <w:t>Office 365 (Enterprise E1)</w:t>
            </w:r>
          </w:p>
          <w:p w:rsidR="00456002" w:rsidRPr="00C83DF5" w:rsidRDefault="00456002" w:rsidP="00346F4B">
            <w:pPr>
              <w:numPr>
                <w:ilvl w:val="0"/>
                <w:numId w:val="38"/>
              </w:numPr>
              <w:spacing w:before="80"/>
            </w:pPr>
            <w:r w:rsidRPr="00C83DF5">
              <w:rPr>
                <w:rFonts w:cs="Tahoma"/>
              </w:rPr>
              <w:t>Office 365 (Enterprise E3)</w:t>
            </w:r>
          </w:p>
          <w:p w:rsidR="00456002" w:rsidRPr="00C83DF5" w:rsidRDefault="00456002" w:rsidP="00346F4B">
            <w:pPr>
              <w:numPr>
                <w:ilvl w:val="0"/>
                <w:numId w:val="38"/>
              </w:numPr>
              <w:spacing w:before="80"/>
            </w:pPr>
            <w:r w:rsidRPr="00C83DF5">
              <w:rPr>
                <w:rFonts w:cs="Tahoma"/>
              </w:rPr>
              <w:t>Office 365 (Enterprise E4)</w:t>
            </w:r>
          </w:p>
          <w:p w:rsidR="005272FA" w:rsidRPr="00C83DF5" w:rsidRDefault="005272FA" w:rsidP="00346F4B">
            <w:pPr>
              <w:numPr>
                <w:ilvl w:val="0"/>
                <w:numId w:val="38"/>
              </w:numPr>
              <w:spacing w:before="80"/>
              <w:jc w:val="both"/>
            </w:pPr>
            <w:r w:rsidRPr="00C83DF5">
              <w:rPr>
                <w:rFonts w:cs="Tahoma"/>
                <w:color w:val="000000"/>
              </w:rPr>
              <w:t>Office 365 (Government G1)</w:t>
            </w:r>
          </w:p>
          <w:p w:rsidR="005272FA" w:rsidRPr="00C83DF5" w:rsidRDefault="005272FA" w:rsidP="00346F4B">
            <w:pPr>
              <w:numPr>
                <w:ilvl w:val="0"/>
                <w:numId w:val="38"/>
              </w:numPr>
              <w:spacing w:before="80"/>
              <w:jc w:val="both"/>
            </w:pPr>
            <w:r w:rsidRPr="00C83DF5">
              <w:rPr>
                <w:rFonts w:cs="Tahoma"/>
                <w:color w:val="000000"/>
              </w:rPr>
              <w:t>Office 365 (Government G3)</w:t>
            </w:r>
          </w:p>
          <w:p w:rsidR="005272FA" w:rsidRPr="00C83DF5" w:rsidRDefault="005272FA" w:rsidP="00346F4B">
            <w:pPr>
              <w:numPr>
                <w:ilvl w:val="0"/>
                <w:numId w:val="38"/>
              </w:numPr>
              <w:spacing w:before="80"/>
              <w:jc w:val="both"/>
            </w:pPr>
            <w:r w:rsidRPr="00C83DF5">
              <w:rPr>
                <w:rFonts w:cs="Tahoma"/>
                <w:color w:val="000000"/>
              </w:rPr>
              <w:t>Office 365 (Government G4)</w:t>
            </w:r>
          </w:p>
          <w:p w:rsidR="005272FA" w:rsidRPr="00C83DF5" w:rsidRDefault="005272FA" w:rsidP="007E466C">
            <w:pPr>
              <w:spacing w:before="80"/>
              <w:ind w:left="522"/>
              <w:rPr>
                <w:rFonts w:cs="Tahoma"/>
              </w:rPr>
            </w:pPr>
          </w:p>
        </w:tc>
        <w:tc>
          <w:tcPr>
            <w:tcW w:w="2500" w:type="pct"/>
          </w:tcPr>
          <w:p w:rsidR="00252E73" w:rsidRPr="00C83DF5" w:rsidRDefault="00252E73" w:rsidP="00346F4B">
            <w:pPr>
              <w:numPr>
                <w:ilvl w:val="0"/>
                <w:numId w:val="38"/>
              </w:numPr>
              <w:spacing w:before="80"/>
              <w:jc w:val="both"/>
            </w:pPr>
            <w:r w:rsidRPr="00C83DF5">
              <w:rPr>
                <w:rFonts w:cs="Tahoma"/>
                <w:color w:val="000000"/>
              </w:rPr>
              <w:lastRenderedPageBreak/>
              <w:t>Office 365 ProPlus**</w:t>
            </w:r>
          </w:p>
          <w:p w:rsidR="00456002" w:rsidRPr="00C83DF5" w:rsidRDefault="00456002" w:rsidP="00346F4B">
            <w:pPr>
              <w:numPr>
                <w:ilvl w:val="0"/>
                <w:numId w:val="38"/>
              </w:numPr>
              <w:spacing w:before="80"/>
              <w:jc w:val="both"/>
            </w:pPr>
            <w:r w:rsidRPr="00C83DF5">
              <w:rPr>
                <w:rFonts w:cs="Tahoma"/>
                <w:color w:val="000000"/>
              </w:rPr>
              <w:t>Office-Webanwendungen*</w:t>
            </w:r>
          </w:p>
          <w:p w:rsidR="00CE1716" w:rsidRPr="00C83DF5" w:rsidRDefault="00CE1716" w:rsidP="00346F4B">
            <w:pPr>
              <w:numPr>
                <w:ilvl w:val="0"/>
                <w:numId w:val="38"/>
              </w:numPr>
              <w:spacing w:before="80"/>
              <w:jc w:val="both"/>
            </w:pPr>
            <w:r w:rsidRPr="00C83DF5">
              <w:rPr>
                <w:rFonts w:cs="Tahoma"/>
                <w:color w:val="000000"/>
              </w:rPr>
              <w:t>Project Online*</w:t>
            </w:r>
          </w:p>
          <w:p w:rsidR="005272FA" w:rsidRPr="00C83DF5" w:rsidRDefault="005272FA" w:rsidP="00346F4B">
            <w:pPr>
              <w:numPr>
                <w:ilvl w:val="0"/>
                <w:numId w:val="38"/>
              </w:numPr>
              <w:spacing w:before="80"/>
              <w:jc w:val="both"/>
            </w:pPr>
            <w:r w:rsidRPr="00C83DF5">
              <w:rPr>
                <w:rFonts w:cs="Tahoma"/>
                <w:color w:val="000000"/>
              </w:rPr>
              <w:t>Project Pro für Office 365*</w:t>
            </w:r>
          </w:p>
          <w:p w:rsidR="00456002" w:rsidRPr="00C83DF5" w:rsidRDefault="00456002" w:rsidP="00346F4B">
            <w:pPr>
              <w:numPr>
                <w:ilvl w:val="0"/>
                <w:numId w:val="38"/>
              </w:numPr>
              <w:spacing w:before="80"/>
              <w:jc w:val="both"/>
            </w:pPr>
            <w:r w:rsidRPr="00C83DF5">
              <w:rPr>
                <w:rFonts w:cs="Tahoma"/>
                <w:color w:val="000000"/>
              </w:rPr>
              <w:t>SharePoint Online Plan 1*</w:t>
            </w:r>
          </w:p>
          <w:p w:rsidR="00456002" w:rsidRPr="00C83DF5" w:rsidRDefault="00456002" w:rsidP="00346F4B">
            <w:pPr>
              <w:numPr>
                <w:ilvl w:val="0"/>
                <w:numId w:val="38"/>
              </w:numPr>
              <w:spacing w:before="80"/>
              <w:jc w:val="both"/>
            </w:pPr>
            <w:r w:rsidRPr="00C83DF5">
              <w:rPr>
                <w:rFonts w:cs="Tahoma"/>
                <w:color w:val="000000"/>
              </w:rPr>
              <w:t>SharePoint Online Plan 2*</w:t>
            </w:r>
          </w:p>
          <w:p w:rsidR="00456002" w:rsidRPr="00C83DF5" w:rsidRDefault="00456002" w:rsidP="00346F4B">
            <w:pPr>
              <w:numPr>
                <w:ilvl w:val="0"/>
                <w:numId w:val="38"/>
              </w:numPr>
              <w:spacing w:before="80"/>
              <w:ind w:right="270"/>
              <w:jc w:val="both"/>
            </w:pPr>
            <w:r w:rsidRPr="00C83DF5">
              <w:rPr>
                <w:rFonts w:cs="Tahoma"/>
                <w:color w:val="000000"/>
              </w:rPr>
              <w:t>SharePoint Online Partner Access*</w:t>
            </w:r>
          </w:p>
          <w:p w:rsidR="00D8521B" w:rsidRPr="00C83DF5" w:rsidRDefault="00D8521B" w:rsidP="005A253C">
            <w:pPr>
              <w:numPr>
                <w:ilvl w:val="0"/>
                <w:numId w:val="38"/>
              </w:numPr>
              <w:spacing w:before="80"/>
              <w:ind w:left="896"/>
            </w:pPr>
            <w:r w:rsidRPr="00C83DF5">
              <w:rPr>
                <w:rFonts w:cs="Tahoma"/>
                <w:color w:val="000000"/>
              </w:rPr>
              <w:t>Windows Azure Active Directory-Rechteverwaltung*</w:t>
            </w:r>
          </w:p>
          <w:p w:rsidR="00402C7A" w:rsidRPr="00C83DF5" w:rsidRDefault="00402C7A" w:rsidP="00D8521B">
            <w:pPr>
              <w:numPr>
                <w:ilvl w:val="0"/>
                <w:numId w:val="38"/>
              </w:numPr>
              <w:spacing w:before="80"/>
              <w:ind w:left="896"/>
              <w:jc w:val="both"/>
            </w:pPr>
            <w:r w:rsidRPr="00C83DF5">
              <w:rPr>
                <w:rFonts w:cs="Tahoma"/>
                <w:color w:val="000000"/>
              </w:rPr>
              <w:lastRenderedPageBreak/>
              <w:t>Windows Azure-Dienste*</w:t>
            </w:r>
          </w:p>
          <w:p w:rsidR="00456002" w:rsidRPr="00C83DF5" w:rsidRDefault="00456002" w:rsidP="00346F4B">
            <w:pPr>
              <w:numPr>
                <w:ilvl w:val="0"/>
                <w:numId w:val="38"/>
              </w:numPr>
              <w:spacing w:before="80"/>
              <w:jc w:val="both"/>
            </w:pPr>
            <w:r w:rsidRPr="00C83DF5">
              <w:rPr>
                <w:rFonts w:cs="Tahoma"/>
                <w:color w:val="000000"/>
              </w:rPr>
              <w:t>Windows Intune</w:t>
            </w:r>
          </w:p>
          <w:p w:rsidR="00456002" w:rsidRPr="00C83DF5" w:rsidRDefault="00456002" w:rsidP="00346F4B">
            <w:pPr>
              <w:numPr>
                <w:ilvl w:val="0"/>
                <w:numId w:val="38"/>
              </w:numPr>
              <w:spacing w:before="80"/>
              <w:jc w:val="both"/>
            </w:pPr>
            <w:r w:rsidRPr="00C83DF5">
              <w:rPr>
                <w:rFonts w:cs="Tahoma"/>
                <w:color w:val="000000"/>
              </w:rPr>
              <w:t>Add-On für Windows Intune*</w:t>
            </w:r>
          </w:p>
          <w:p w:rsidR="00A2058E" w:rsidRPr="00C83DF5" w:rsidRDefault="00A2058E" w:rsidP="00346F4B">
            <w:pPr>
              <w:numPr>
                <w:ilvl w:val="0"/>
                <w:numId w:val="38"/>
              </w:numPr>
              <w:spacing w:before="80"/>
              <w:jc w:val="both"/>
            </w:pPr>
            <w:r w:rsidRPr="00C83DF5">
              <w:rPr>
                <w:rFonts w:cs="Tahoma"/>
                <w:color w:val="000000"/>
              </w:rPr>
              <w:t>Microsoft Dynamics CRM Online*</w:t>
            </w:r>
          </w:p>
          <w:p w:rsidR="005272FA" w:rsidRPr="00C83DF5" w:rsidRDefault="005272FA" w:rsidP="00346F4B">
            <w:pPr>
              <w:numPr>
                <w:ilvl w:val="0"/>
                <w:numId w:val="38"/>
              </w:numPr>
              <w:spacing w:before="80"/>
              <w:jc w:val="both"/>
            </w:pPr>
            <w:r w:rsidRPr="00C83DF5">
              <w:rPr>
                <w:rFonts w:cs="Tahoma"/>
                <w:color w:val="000000"/>
              </w:rPr>
              <w:t>Visio Pro für Office 365*</w:t>
            </w:r>
          </w:p>
          <w:p w:rsidR="00F27B29" w:rsidRPr="00C83DF5" w:rsidRDefault="00F27B29" w:rsidP="00346F4B">
            <w:pPr>
              <w:numPr>
                <w:ilvl w:val="0"/>
                <w:numId w:val="38"/>
              </w:numPr>
              <w:spacing w:before="80" w:after="120"/>
              <w:jc w:val="both"/>
              <w:rPr>
                <w:rFonts w:cs="Tahoma"/>
              </w:rPr>
            </w:pPr>
            <w:r w:rsidRPr="00C83DF5">
              <w:rPr>
                <w:rFonts w:cs="Tahoma"/>
                <w:color w:val="000000"/>
              </w:rPr>
              <w:t>Yammer Enterprise*</w:t>
            </w:r>
          </w:p>
        </w:tc>
      </w:tr>
    </w:tbl>
    <w:p w:rsidR="00A12176" w:rsidRPr="00C83DF5" w:rsidRDefault="00456002" w:rsidP="001E7C5F">
      <w:pPr>
        <w:tabs>
          <w:tab w:val="left" w:pos="360"/>
        </w:tabs>
        <w:ind w:left="720"/>
      </w:pPr>
      <w:r w:rsidRPr="00C83DF5">
        <w:rPr>
          <w:rFonts w:cs="Tahoma"/>
          <w:i/>
          <w:sz w:val="16"/>
          <w:szCs w:val="20"/>
        </w:rPr>
        <w:lastRenderedPageBreak/>
        <w:t>* Zusätzliches Produkt</w:t>
      </w:r>
      <w:bookmarkStart w:id="619" w:name="_Toc336338196"/>
    </w:p>
    <w:p w:rsidR="00B215EA" w:rsidRPr="00C83DF5" w:rsidRDefault="00252E73" w:rsidP="00B215EA">
      <w:pPr>
        <w:tabs>
          <w:tab w:val="left" w:pos="360"/>
        </w:tabs>
        <w:ind w:left="720"/>
      </w:pPr>
      <w:r w:rsidRPr="00C83DF5">
        <w:rPr>
          <w:rFonts w:cs="Tahoma"/>
          <w:i/>
          <w:sz w:val="16"/>
          <w:szCs w:val="20"/>
        </w:rPr>
        <w:t>** Konzernprodukt</w:t>
      </w:r>
    </w:p>
    <w:p w:rsidR="00B215EA" w:rsidRPr="00C83DF5" w:rsidRDefault="00B215EA" w:rsidP="00B215EA">
      <w:pPr>
        <w:tabs>
          <w:tab w:val="left" w:pos="360"/>
        </w:tabs>
        <w:spacing w:after="60"/>
      </w:pPr>
    </w:p>
    <w:p w:rsidR="00B215EA" w:rsidRPr="00C83DF5" w:rsidRDefault="00B215EA" w:rsidP="00B215EA">
      <w:pPr>
        <w:tabs>
          <w:tab w:val="left" w:pos="360"/>
        </w:tabs>
        <w:spacing w:after="60"/>
        <w:rPr>
          <w:lang w:val="de-DE"/>
        </w:rPr>
      </w:pPr>
      <w:r w:rsidRPr="00C83DF5">
        <w:rPr>
          <w:rFonts w:cs="Tahoma"/>
          <w:b/>
          <w:szCs w:val="20"/>
          <w:lang w:val="de-DE"/>
        </w:rPr>
        <w:t>Verringerung der Anzahl von Abonnementlizenzen beim Server- und Cloud-Beitritt</w:t>
      </w:r>
    </w:p>
    <w:p w:rsidR="00B215EA" w:rsidRPr="00C83DF5" w:rsidRDefault="00B215EA" w:rsidP="00B57855">
      <w:pPr>
        <w:tabs>
          <w:tab w:val="left" w:pos="360"/>
        </w:tabs>
        <w:rPr>
          <w:lang w:val="de-DE"/>
        </w:rPr>
      </w:pPr>
      <w:r w:rsidRPr="00C83DF5">
        <w:rPr>
          <w:rFonts w:cs="Tahoma"/>
          <w:b/>
          <w:szCs w:val="20"/>
          <w:lang w:val="de-DE"/>
        </w:rPr>
        <w:t>Anmerkung:</w:t>
      </w:r>
      <w:r w:rsidRPr="00C83DF5">
        <w:rPr>
          <w:rFonts w:cs="Tahoma"/>
          <w:szCs w:val="20"/>
          <w:lang w:val="de-DE"/>
        </w:rPr>
        <w:t xml:space="preserve"> Die folgenden Bestimmungen gelten für Kunden mit Server- und Cloud-Beitritt, die berechtigt sind, Verringerungen bei der Anzahl von Abonnementlizenzen zu melden.</w:t>
      </w:r>
      <w:r w:rsidR="00E71F46" w:rsidRPr="00C83DF5">
        <w:rPr>
          <w:rFonts w:cs="Tahoma"/>
          <w:szCs w:val="20"/>
          <w:lang w:val="de-DE"/>
        </w:rPr>
        <w:t xml:space="preserve"> </w:t>
      </w:r>
      <w:r w:rsidRPr="00C83DF5">
        <w:rPr>
          <w:rFonts w:cs="Tahoma"/>
          <w:szCs w:val="20"/>
          <w:lang w:val="de-DE"/>
        </w:rPr>
        <w:t>Kunden, die hinsichtlich der Berechtigung zum</w:t>
      </w:r>
      <w:r w:rsidR="00B57855">
        <w:rPr>
          <w:rFonts w:cs="Tahoma"/>
          <w:szCs w:val="20"/>
          <w:lang w:val="de-DE"/>
        </w:rPr>
        <w:t> </w:t>
      </w:r>
      <w:r w:rsidRPr="00C83DF5">
        <w:rPr>
          <w:rFonts w:cs="Tahoma"/>
          <w:szCs w:val="20"/>
          <w:lang w:val="de-DE"/>
        </w:rPr>
        <w:t>Melden von Verringerungen bei der Anzahl von Abonnementlizenzen unsicher sind, erhalten von ihrem Software</w:t>
      </w:r>
      <w:r w:rsidR="00B57855">
        <w:rPr>
          <w:rFonts w:cs="Tahoma"/>
          <w:szCs w:val="20"/>
          <w:lang w:val="de-DE"/>
        </w:rPr>
        <w:t> </w:t>
      </w:r>
      <w:r w:rsidRPr="00C83DF5">
        <w:rPr>
          <w:rFonts w:cs="Tahoma"/>
          <w:szCs w:val="20"/>
          <w:lang w:val="de-DE"/>
        </w:rPr>
        <w:t>Advisor, Handelspartner oder Microsoft-Kundenbetreuer weitere Informationen.</w:t>
      </w:r>
      <w:r w:rsidR="00E71F46" w:rsidRPr="00C83DF5">
        <w:rPr>
          <w:rFonts w:cs="Tahoma"/>
          <w:szCs w:val="20"/>
          <w:lang w:val="de-DE"/>
        </w:rPr>
        <w:t xml:space="preserve"> </w:t>
      </w:r>
    </w:p>
    <w:p w:rsidR="00B215EA" w:rsidRPr="00C83DF5" w:rsidRDefault="00B215EA" w:rsidP="00B215EA">
      <w:pPr>
        <w:tabs>
          <w:tab w:val="left" w:pos="360"/>
        </w:tabs>
        <w:rPr>
          <w:lang w:val="de-DE"/>
        </w:rPr>
      </w:pPr>
    </w:p>
    <w:p w:rsidR="00B215EA" w:rsidRPr="00C83DF5" w:rsidRDefault="00B215EA" w:rsidP="00B215EA">
      <w:pPr>
        <w:tabs>
          <w:tab w:val="left" w:pos="360"/>
        </w:tabs>
        <w:rPr>
          <w:lang w:val="de-DE"/>
        </w:rPr>
      </w:pPr>
      <w:r w:rsidRPr="00C83DF5">
        <w:rPr>
          <w:rFonts w:cs="Tahoma"/>
          <w:szCs w:val="20"/>
          <w:lang w:val="de-DE"/>
        </w:rPr>
        <w:t>Die folgenden Abonnementlizenzen sind nach 12 zusammenhängenden Monaten zu Anpassungen der Abonnementlizenzmengen berechtigt:</w:t>
      </w:r>
    </w:p>
    <w:p w:rsidR="00B215EA" w:rsidRPr="00C83DF5" w:rsidRDefault="00B215EA" w:rsidP="00B215EA">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C83DF5" w:rsidTr="00892A1D">
        <w:trPr>
          <w:trHeight w:val="80"/>
        </w:trPr>
        <w:tc>
          <w:tcPr>
            <w:tcW w:w="5000" w:type="pct"/>
            <w:gridSpan w:val="2"/>
            <w:shd w:val="clear" w:color="auto" w:fill="FABF8F"/>
          </w:tcPr>
          <w:p w:rsidR="00B215EA" w:rsidRPr="00C83DF5" w:rsidRDefault="00B215EA" w:rsidP="00892A1D">
            <w:pPr>
              <w:jc w:val="center"/>
              <w:rPr>
                <w:rFonts w:cs="Tahoma"/>
                <w:b/>
              </w:rPr>
            </w:pPr>
            <w:r w:rsidRPr="00C83DF5">
              <w:rPr>
                <w:rFonts w:cs="Tahoma"/>
                <w:b/>
              </w:rPr>
              <w:t>Online-Abonnements</w:t>
            </w:r>
          </w:p>
        </w:tc>
      </w:tr>
      <w:tr w:rsidR="00B215EA" w:rsidRPr="00C83DF5" w:rsidTr="00892A1D">
        <w:trPr>
          <w:trHeight w:val="219"/>
        </w:trPr>
        <w:tc>
          <w:tcPr>
            <w:tcW w:w="2500" w:type="pct"/>
          </w:tcPr>
          <w:p w:rsidR="00B215EA" w:rsidRPr="00C83DF5" w:rsidRDefault="00B215EA" w:rsidP="00892A1D">
            <w:pPr>
              <w:numPr>
                <w:ilvl w:val="0"/>
                <w:numId w:val="38"/>
              </w:numPr>
              <w:spacing w:before="80"/>
            </w:pPr>
            <w:r w:rsidRPr="00C83DF5">
              <w:rPr>
                <w:color w:val="000000"/>
              </w:rPr>
              <w:t>SQL Server Enterprise pro Core</w:t>
            </w:r>
            <w:r w:rsidRPr="00C83DF5">
              <w:rPr>
                <w:rFonts w:cs="Tahoma"/>
              </w:rPr>
              <w:t>-Abonnement</w:t>
            </w:r>
          </w:p>
          <w:p w:rsidR="00B215EA" w:rsidRPr="00C83DF5" w:rsidRDefault="00B215EA" w:rsidP="00892A1D">
            <w:pPr>
              <w:numPr>
                <w:ilvl w:val="0"/>
                <w:numId w:val="38"/>
              </w:numPr>
              <w:spacing w:before="80"/>
            </w:pPr>
            <w:r w:rsidRPr="00C83DF5">
              <w:rPr>
                <w:color w:val="000000"/>
              </w:rPr>
              <w:t>SQL Server Business Intelligence Server</w:t>
            </w:r>
            <w:r w:rsidRPr="00C83DF5">
              <w:rPr>
                <w:rFonts w:cs="Tahoma"/>
              </w:rPr>
              <w:t>-Abonnement</w:t>
            </w:r>
          </w:p>
          <w:p w:rsidR="00B215EA" w:rsidRPr="00C83DF5" w:rsidRDefault="00B215EA" w:rsidP="00892A1D">
            <w:pPr>
              <w:numPr>
                <w:ilvl w:val="0"/>
                <w:numId w:val="38"/>
              </w:numPr>
              <w:spacing w:before="80"/>
            </w:pPr>
            <w:r w:rsidRPr="00C83DF5">
              <w:rPr>
                <w:color w:val="000000"/>
              </w:rPr>
              <w:t>SQL Server Standard pro Core</w:t>
            </w:r>
            <w:r w:rsidRPr="00C83DF5">
              <w:rPr>
                <w:rFonts w:cs="Tahoma"/>
              </w:rPr>
              <w:t>-Abonnement</w:t>
            </w:r>
          </w:p>
          <w:p w:rsidR="00B215EA" w:rsidRPr="00C83DF5" w:rsidRDefault="00B215EA" w:rsidP="00892A1D">
            <w:pPr>
              <w:numPr>
                <w:ilvl w:val="0"/>
                <w:numId w:val="38"/>
              </w:numPr>
              <w:spacing w:before="80"/>
            </w:pPr>
            <w:r w:rsidRPr="00C83DF5">
              <w:rPr>
                <w:color w:val="000000"/>
              </w:rPr>
              <w:t>SQL Server Standard</w:t>
            </w:r>
            <w:r w:rsidRPr="00C83DF5">
              <w:rPr>
                <w:rFonts w:cs="Tahoma"/>
              </w:rPr>
              <w:t>-Abonnement</w:t>
            </w:r>
          </w:p>
          <w:p w:rsidR="00B215EA" w:rsidRPr="00C83DF5" w:rsidRDefault="00B215EA" w:rsidP="00892A1D">
            <w:pPr>
              <w:numPr>
                <w:ilvl w:val="0"/>
                <w:numId w:val="38"/>
              </w:numPr>
              <w:spacing w:before="80"/>
            </w:pPr>
            <w:r w:rsidRPr="00C83DF5">
              <w:rPr>
                <w:color w:val="000000"/>
              </w:rPr>
              <w:t>BizTalk Server Enterprise pro Core</w:t>
            </w:r>
            <w:r w:rsidRPr="00C83DF5">
              <w:rPr>
                <w:rFonts w:cs="Tahoma"/>
              </w:rPr>
              <w:t>-Abonnement</w:t>
            </w:r>
          </w:p>
          <w:p w:rsidR="00B215EA" w:rsidRPr="00C83DF5" w:rsidRDefault="00B215EA" w:rsidP="00892A1D">
            <w:pPr>
              <w:numPr>
                <w:ilvl w:val="0"/>
                <w:numId w:val="38"/>
              </w:numPr>
              <w:spacing w:before="80"/>
            </w:pPr>
            <w:r w:rsidRPr="00C83DF5">
              <w:rPr>
                <w:color w:val="000000"/>
              </w:rPr>
              <w:t>BizTalk Server Standard pro Core-Abonnement</w:t>
            </w:r>
          </w:p>
          <w:p w:rsidR="00B215EA" w:rsidRPr="00C83DF5" w:rsidRDefault="00B215EA" w:rsidP="00892A1D">
            <w:pPr>
              <w:numPr>
                <w:ilvl w:val="0"/>
                <w:numId w:val="38"/>
              </w:numPr>
              <w:spacing w:before="80"/>
            </w:pPr>
            <w:r w:rsidRPr="00C83DF5">
              <w:rPr>
                <w:color w:val="000000"/>
              </w:rPr>
              <w:t>BizTalk Server Branch pro Core-Abonnement</w:t>
            </w:r>
          </w:p>
          <w:p w:rsidR="00B215EA" w:rsidRPr="00C83DF5" w:rsidRDefault="00B215EA" w:rsidP="00C4792F">
            <w:pPr>
              <w:numPr>
                <w:ilvl w:val="0"/>
                <w:numId w:val="38"/>
              </w:numPr>
              <w:spacing w:before="80"/>
              <w:rPr>
                <w:lang w:val="de-DE"/>
              </w:rPr>
            </w:pPr>
            <w:r w:rsidRPr="00C83DF5">
              <w:rPr>
                <w:color w:val="000000"/>
                <w:lang w:val="de-DE"/>
              </w:rPr>
              <w:t>Visual Studio Ultimate-Abonnement mit</w:t>
            </w:r>
            <w:r w:rsidR="00C4792F">
              <w:rPr>
                <w:color w:val="000000"/>
                <w:lang w:val="de-DE"/>
              </w:rPr>
              <w:t> </w:t>
            </w:r>
            <w:r w:rsidRPr="00C83DF5">
              <w:rPr>
                <w:color w:val="000000"/>
                <w:lang w:val="de-DE"/>
              </w:rPr>
              <w:t>MSDN</w:t>
            </w:r>
            <w:r w:rsidRPr="00C83DF5">
              <w:rPr>
                <w:rFonts w:cs="Tahoma"/>
                <w:lang w:val="de-DE"/>
              </w:rPr>
              <w:t xml:space="preserve"> </w:t>
            </w:r>
          </w:p>
          <w:p w:rsidR="00B215EA" w:rsidRPr="00C83DF5" w:rsidRDefault="00B215EA" w:rsidP="00C4792F">
            <w:pPr>
              <w:numPr>
                <w:ilvl w:val="0"/>
                <w:numId w:val="38"/>
              </w:numPr>
              <w:spacing w:before="80"/>
            </w:pPr>
            <w:r w:rsidRPr="00C83DF5">
              <w:rPr>
                <w:color w:val="000000"/>
              </w:rPr>
              <w:t>Visual Studio Premium-Abonnement mit</w:t>
            </w:r>
            <w:r w:rsidR="00C4792F">
              <w:rPr>
                <w:color w:val="000000"/>
              </w:rPr>
              <w:t> </w:t>
            </w:r>
            <w:r w:rsidRPr="00C83DF5">
              <w:rPr>
                <w:color w:val="000000"/>
              </w:rPr>
              <w:t>MSDN</w:t>
            </w:r>
            <w:r w:rsidRPr="00C83DF5">
              <w:rPr>
                <w:rFonts w:cs="Tahoma"/>
              </w:rPr>
              <w:t xml:space="preserve"> </w:t>
            </w:r>
          </w:p>
          <w:p w:rsidR="00B215EA" w:rsidRPr="00C83DF5" w:rsidRDefault="00B215EA" w:rsidP="00892A1D">
            <w:pPr>
              <w:numPr>
                <w:ilvl w:val="0"/>
                <w:numId w:val="38"/>
              </w:numPr>
              <w:spacing w:before="80"/>
            </w:pPr>
            <w:r w:rsidRPr="00C83DF5">
              <w:rPr>
                <w:color w:val="000000"/>
              </w:rPr>
              <w:t>Visual Studio Test Professional-Abonnement mit MSDN</w:t>
            </w:r>
            <w:r w:rsidRPr="00C83DF5">
              <w:rPr>
                <w:rFonts w:cs="Tahoma"/>
              </w:rPr>
              <w:t xml:space="preserve"> </w:t>
            </w:r>
          </w:p>
          <w:p w:rsidR="00B215EA" w:rsidRPr="00C83DF5" w:rsidRDefault="00B215EA" w:rsidP="00C4792F">
            <w:pPr>
              <w:numPr>
                <w:ilvl w:val="0"/>
                <w:numId w:val="38"/>
              </w:numPr>
              <w:spacing w:before="80"/>
            </w:pPr>
            <w:r w:rsidRPr="00C83DF5">
              <w:rPr>
                <w:color w:val="000000"/>
              </w:rPr>
              <w:t>CAL-Abonnement für Visual Studio Team Foundation Server</w:t>
            </w:r>
          </w:p>
          <w:p w:rsidR="00B215EA" w:rsidRPr="00C83DF5" w:rsidRDefault="00B215EA" w:rsidP="00C4792F">
            <w:pPr>
              <w:numPr>
                <w:ilvl w:val="0"/>
                <w:numId w:val="38"/>
              </w:numPr>
              <w:spacing w:before="80"/>
            </w:pPr>
            <w:r w:rsidRPr="00C83DF5">
              <w:rPr>
                <w:color w:val="000000"/>
              </w:rPr>
              <w:t>MSDN-Plattformen</w:t>
            </w:r>
            <w:r w:rsidRPr="00C83DF5">
              <w:rPr>
                <w:rFonts w:cs="Tahoma"/>
                <w:color w:val="000000"/>
              </w:rPr>
              <w:t xml:space="preserve">-Abonnement </w:t>
            </w:r>
          </w:p>
          <w:p w:rsidR="00B215EA" w:rsidRPr="00C83DF5" w:rsidRDefault="00B215EA" w:rsidP="00C4792F">
            <w:pPr>
              <w:numPr>
                <w:ilvl w:val="0"/>
                <w:numId w:val="38"/>
              </w:numPr>
              <w:spacing w:before="80"/>
              <w:rPr>
                <w:rFonts w:cs="Tahoma"/>
                <w:color w:val="000000"/>
              </w:rPr>
            </w:pPr>
            <w:r w:rsidRPr="00C83DF5">
              <w:rPr>
                <w:color w:val="000000"/>
              </w:rPr>
              <w:t>Visual Studio Deployment Standard-Abonnement</w:t>
            </w:r>
            <w:r w:rsidRPr="00C83DF5">
              <w:rPr>
                <w:rFonts w:cs="Tahoma"/>
              </w:rPr>
              <w:t xml:space="preserve"> </w:t>
            </w:r>
          </w:p>
        </w:tc>
        <w:tc>
          <w:tcPr>
            <w:tcW w:w="2500" w:type="pct"/>
          </w:tcPr>
          <w:p w:rsidR="00B215EA" w:rsidRPr="00C83DF5" w:rsidRDefault="00B215EA" w:rsidP="0074530C">
            <w:pPr>
              <w:numPr>
                <w:ilvl w:val="0"/>
                <w:numId w:val="38"/>
              </w:numPr>
              <w:spacing w:before="80"/>
            </w:pPr>
            <w:r w:rsidRPr="00C83DF5">
              <w:rPr>
                <w:color w:val="000000"/>
              </w:rPr>
              <w:t>Visual Studio Deployment Datacenter-Abonnement</w:t>
            </w:r>
            <w:r w:rsidRPr="00C83DF5">
              <w:rPr>
                <w:rFonts w:cs="Tahoma"/>
                <w:color w:val="000000"/>
              </w:rPr>
              <w:t xml:space="preserve"> </w:t>
            </w:r>
          </w:p>
          <w:p w:rsidR="00B215EA" w:rsidRPr="00C83DF5" w:rsidRDefault="00B215EA" w:rsidP="00892A1D">
            <w:pPr>
              <w:numPr>
                <w:ilvl w:val="0"/>
                <w:numId w:val="38"/>
              </w:numPr>
              <w:spacing w:before="80"/>
              <w:jc w:val="both"/>
            </w:pPr>
            <w:r w:rsidRPr="00C83DF5">
              <w:rPr>
                <w:color w:val="000000"/>
              </w:rPr>
              <w:t>SharePoint Server-Abonnement</w:t>
            </w:r>
            <w:r w:rsidRPr="00C83DF5">
              <w:rPr>
                <w:rFonts w:cs="Tahoma"/>
                <w:color w:val="000000"/>
              </w:rPr>
              <w:t xml:space="preserve"> </w:t>
            </w:r>
          </w:p>
          <w:p w:rsidR="00B215EA" w:rsidRPr="00C83DF5" w:rsidRDefault="00B215EA" w:rsidP="00892A1D">
            <w:pPr>
              <w:numPr>
                <w:ilvl w:val="0"/>
                <w:numId w:val="38"/>
              </w:numPr>
              <w:spacing w:before="80"/>
              <w:jc w:val="both"/>
            </w:pPr>
            <w:r w:rsidRPr="00C83DF5">
              <w:rPr>
                <w:color w:val="000000"/>
              </w:rPr>
              <w:t>CIS Datacenter-Abonnement</w:t>
            </w:r>
          </w:p>
          <w:p w:rsidR="00B215EA" w:rsidRPr="00C83DF5" w:rsidRDefault="00B215EA" w:rsidP="00892A1D">
            <w:pPr>
              <w:numPr>
                <w:ilvl w:val="0"/>
                <w:numId w:val="38"/>
              </w:numPr>
              <w:spacing w:before="80"/>
              <w:jc w:val="both"/>
            </w:pPr>
            <w:r w:rsidRPr="00C83DF5">
              <w:rPr>
                <w:color w:val="000000"/>
              </w:rPr>
              <w:t>CIS Standard</w:t>
            </w:r>
            <w:r w:rsidRPr="00C83DF5">
              <w:rPr>
                <w:rFonts w:cs="Tahoma"/>
                <w:color w:val="000000"/>
              </w:rPr>
              <w:t>-Abonnement</w:t>
            </w:r>
          </w:p>
          <w:p w:rsidR="00B215EA" w:rsidRPr="00C83DF5" w:rsidRDefault="00B215EA" w:rsidP="00892A1D">
            <w:pPr>
              <w:spacing w:before="80" w:after="120"/>
              <w:ind w:left="882"/>
              <w:jc w:val="both"/>
              <w:rPr>
                <w:rFonts w:cs="Tahoma"/>
              </w:rPr>
            </w:pPr>
          </w:p>
        </w:tc>
      </w:tr>
    </w:tbl>
    <w:p w:rsidR="00456002" w:rsidRPr="00C83DF5" w:rsidRDefault="00456002" w:rsidP="00B07D1D">
      <w:pPr>
        <w:pStyle w:val="Heading2"/>
        <w:tabs>
          <w:tab w:val="left" w:pos="6323"/>
        </w:tabs>
        <w:ind w:left="0"/>
      </w:pPr>
      <w:bookmarkStart w:id="620" w:name="_Toc370983304"/>
      <w:r w:rsidRPr="00C83DF5">
        <w:rPr>
          <w:rFonts w:ascii="Tahoma" w:hAnsi="Tahoma" w:cs="Tahoma"/>
        </w:rPr>
        <w:lastRenderedPageBreak/>
        <w:t>Dienstkontinuität mittels Verlängerter Laufzeit</w:t>
      </w:r>
      <w:bookmarkEnd w:id="619"/>
      <w:bookmarkEnd w:id="620"/>
    </w:p>
    <w:p w:rsidR="00456002" w:rsidRPr="00C4792F" w:rsidRDefault="00456002" w:rsidP="00366502">
      <w:pPr>
        <w:tabs>
          <w:tab w:val="left" w:pos="360"/>
        </w:tabs>
        <w:rPr>
          <w:rFonts w:cs="Tahoma"/>
          <w:szCs w:val="20"/>
        </w:rPr>
      </w:pPr>
    </w:p>
    <w:p w:rsidR="00456002" w:rsidRPr="00C83DF5" w:rsidRDefault="00456002" w:rsidP="00917A05">
      <w:pPr>
        <w:tabs>
          <w:tab w:val="left" w:pos="360"/>
        </w:tabs>
        <w:rPr>
          <w:lang w:val="de-DE"/>
        </w:rPr>
      </w:pPr>
      <w:r w:rsidRPr="00C83DF5">
        <w:rPr>
          <w:rFonts w:cs="Tahoma"/>
          <w:b/>
          <w:szCs w:val="20"/>
          <w:lang w:val="de-DE"/>
        </w:rPr>
        <w:t>Anmerkung:</w:t>
      </w:r>
      <w:r w:rsidRPr="00C83DF5">
        <w:rPr>
          <w:rFonts w:cs="Tahoma"/>
          <w:szCs w:val="20"/>
          <w:lang w:val="de-DE"/>
        </w:rPr>
        <w:t xml:space="preserve"> Die folgenden Bestimmungen gelten für Kunden mit Konzern- und Konzern-Abonnement-Beitritt, die</w:t>
      </w:r>
      <w:r w:rsidR="00917A05">
        <w:rPr>
          <w:rFonts w:cs="Tahoma"/>
          <w:szCs w:val="20"/>
          <w:lang w:val="de-DE"/>
        </w:rPr>
        <w:t> </w:t>
      </w:r>
      <w:r w:rsidRPr="00C83DF5">
        <w:rPr>
          <w:rFonts w:cs="Tahoma"/>
          <w:szCs w:val="20"/>
          <w:lang w:val="de-DE"/>
        </w:rPr>
        <w:t>zur Dienstkontinuität mittels verlängerter Laufzeit berechtigt sind.</w:t>
      </w:r>
      <w:r w:rsidR="00E71F46" w:rsidRPr="00C83DF5">
        <w:rPr>
          <w:rFonts w:cs="Tahoma"/>
          <w:szCs w:val="20"/>
          <w:lang w:val="de-DE"/>
        </w:rPr>
        <w:t xml:space="preserve"> </w:t>
      </w:r>
      <w:r w:rsidRPr="00C83DF5">
        <w:rPr>
          <w:rFonts w:cs="Tahoma"/>
          <w:szCs w:val="20"/>
          <w:lang w:val="de-DE"/>
        </w:rPr>
        <w:t>Kunden, die hinsichtlich der Berechtigung zu Dienstkontinuität mittels verlängerter Laufzeit unsicher sind, erhalten von ihrem Software Advisor, Handelspartner oder Microsoft-Kundenbetreuer weitere Informationen.</w:t>
      </w:r>
      <w:r w:rsidR="00E71F46" w:rsidRPr="00C83DF5">
        <w:rPr>
          <w:rFonts w:cs="Tahoma"/>
          <w:szCs w:val="20"/>
          <w:lang w:val="de-DE"/>
        </w:rPr>
        <w:t xml:space="preserve"> </w:t>
      </w:r>
    </w:p>
    <w:p w:rsidR="00456002" w:rsidRPr="00F037D5" w:rsidRDefault="00456002" w:rsidP="00366502">
      <w:pPr>
        <w:tabs>
          <w:tab w:val="left" w:pos="360"/>
        </w:tabs>
        <w:rPr>
          <w:rFonts w:cs="Tahoma"/>
          <w:szCs w:val="20"/>
          <w:lang w:val="de-DE"/>
        </w:rPr>
      </w:pPr>
    </w:p>
    <w:p w:rsidR="00456002" w:rsidRPr="00C83DF5" w:rsidRDefault="00456002" w:rsidP="00366502">
      <w:pPr>
        <w:tabs>
          <w:tab w:val="left" w:pos="360"/>
        </w:tabs>
        <w:rPr>
          <w:lang w:val="de-DE"/>
        </w:rPr>
      </w:pPr>
      <w:r w:rsidRPr="00C83DF5">
        <w:rPr>
          <w:rFonts w:cs="Tahoma"/>
          <w:szCs w:val="20"/>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rsidR="00456002" w:rsidRPr="00F037D5" w:rsidRDefault="00456002" w:rsidP="0014632E">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C83DF5" w:rsidTr="005C647E">
        <w:trPr>
          <w:trHeight w:val="80"/>
          <w:tblHeader/>
        </w:trPr>
        <w:tc>
          <w:tcPr>
            <w:tcW w:w="5000" w:type="pct"/>
            <w:gridSpan w:val="2"/>
            <w:shd w:val="clear" w:color="auto" w:fill="FABF8F"/>
          </w:tcPr>
          <w:p w:rsidR="00456002" w:rsidRPr="00C83DF5" w:rsidRDefault="00456002" w:rsidP="005C647E">
            <w:pPr>
              <w:jc w:val="center"/>
              <w:rPr>
                <w:rFonts w:cs="Tahoma"/>
                <w:b/>
                <w:sz w:val="20"/>
              </w:rPr>
            </w:pPr>
            <w:r w:rsidRPr="00C83DF5">
              <w:rPr>
                <w:rFonts w:cs="Tahoma"/>
                <w:b/>
                <w:sz w:val="20"/>
              </w:rPr>
              <w:t>Onlinedienste</w:t>
            </w:r>
          </w:p>
        </w:tc>
      </w:tr>
      <w:tr w:rsidR="00456002" w:rsidRPr="00C83DF5" w:rsidTr="005C647E">
        <w:trPr>
          <w:trHeight w:val="219"/>
        </w:trPr>
        <w:tc>
          <w:tcPr>
            <w:tcW w:w="2603" w:type="pct"/>
          </w:tcPr>
          <w:p w:rsidR="00D85FDD" w:rsidRPr="00C83DF5" w:rsidRDefault="00D85FDD" w:rsidP="00C4792F">
            <w:pPr>
              <w:keepNext/>
              <w:numPr>
                <w:ilvl w:val="0"/>
                <w:numId w:val="38"/>
              </w:numPr>
              <w:spacing w:before="80"/>
              <w:ind w:left="905" w:hanging="540"/>
              <w:rPr>
                <w:lang w:val="de-DE"/>
              </w:rPr>
            </w:pPr>
            <w:r w:rsidRPr="00C83DF5">
              <w:rPr>
                <w:rFonts w:cs="Tahoma"/>
                <w:lang w:val="de-DE"/>
              </w:rPr>
              <w:t>Exchange Online-Archivierung für Exchange Online*</w:t>
            </w:r>
          </w:p>
          <w:p w:rsidR="00D85FDD" w:rsidRPr="00C83DF5" w:rsidRDefault="00D85FDD" w:rsidP="00C4792F">
            <w:pPr>
              <w:keepNext/>
              <w:numPr>
                <w:ilvl w:val="0"/>
                <w:numId w:val="38"/>
              </w:numPr>
              <w:spacing w:before="80"/>
              <w:ind w:left="905" w:hanging="540"/>
              <w:rPr>
                <w:lang w:val="de-DE"/>
              </w:rPr>
            </w:pPr>
            <w:r w:rsidRPr="00C83DF5">
              <w:rPr>
                <w:rFonts w:cs="Tahoma"/>
                <w:lang w:val="de-DE"/>
              </w:rPr>
              <w:t xml:space="preserve">Exchange Online-Archivierung für Exchange Server* </w:t>
            </w:r>
          </w:p>
          <w:p w:rsidR="00456002" w:rsidRPr="00C83DF5" w:rsidRDefault="00456002" w:rsidP="00346F4B">
            <w:pPr>
              <w:keepNext/>
              <w:numPr>
                <w:ilvl w:val="0"/>
                <w:numId w:val="38"/>
              </w:numPr>
              <w:spacing w:before="80"/>
              <w:ind w:left="905" w:hanging="540"/>
              <w:jc w:val="both"/>
            </w:pPr>
            <w:r w:rsidRPr="00C83DF5">
              <w:rPr>
                <w:rFonts w:cs="Tahoma"/>
              </w:rPr>
              <w:t>Exchange Online Kiosk*</w:t>
            </w:r>
          </w:p>
          <w:p w:rsidR="00456002" w:rsidRPr="00C83DF5" w:rsidRDefault="00456002" w:rsidP="00346F4B">
            <w:pPr>
              <w:keepNext/>
              <w:numPr>
                <w:ilvl w:val="0"/>
                <w:numId w:val="38"/>
              </w:numPr>
              <w:spacing w:before="80"/>
              <w:ind w:left="905" w:hanging="540"/>
              <w:jc w:val="both"/>
            </w:pPr>
            <w:r w:rsidRPr="00C83DF5">
              <w:rPr>
                <w:rFonts w:cs="Tahoma"/>
              </w:rPr>
              <w:t>Exchange Online Plan 1*</w:t>
            </w:r>
          </w:p>
          <w:p w:rsidR="00456002" w:rsidRPr="00C83DF5" w:rsidRDefault="00456002" w:rsidP="00346F4B">
            <w:pPr>
              <w:keepNext/>
              <w:numPr>
                <w:ilvl w:val="0"/>
                <w:numId w:val="38"/>
              </w:numPr>
              <w:spacing w:before="80"/>
              <w:ind w:left="905" w:hanging="540"/>
              <w:jc w:val="both"/>
            </w:pPr>
            <w:r w:rsidRPr="00C83DF5">
              <w:rPr>
                <w:rFonts w:cs="Tahoma"/>
              </w:rPr>
              <w:t>Exchange Online Plan 2*</w:t>
            </w:r>
          </w:p>
          <w:p w:rsidR="00D85FDD" w:rsidRPr="00C83DF5" w:rsidRDefault="00D85FDD" w:rsidP="00346F4B">
            <w:pPr>
              <w:keepNext/>
              <w:numPr>
                <w:ilvl w:val="0"/>
                <w:numId w:val="38"/>
              </w:numPr>
              <w:spacing w:before="80"/>
              <w:ind w:left="905" w:hanging="540"/>
              <w:jc w:val="both"/>
            </w:pPr>
            <w:r w:rsidRPr="00C83DF5">
              <w:rPr>
                <w:rFonts w:cs="Tahoma"/>
              </w:rPr>
              <w:t>Exchange Online Protection*</w:t>
            </w:r>
          </w:p>
          <w:p w:rsidR="00456002" w:rsidRPr="00C83DF5" w:rsidRDefault="00456002" w:rsidP="00346F4B">
            <w:pPr>
              <w:keepNext/>
              <w:numPr>
                <w:ilvl w:val="0"/>
                <w:numId w:val="38"/>
              </w:numPr>
              <w:spacing w:before="80"/>
              <w:ind w:left="905" w:hanging="540"/>
              <w:jc w:val="both"/>
            </w:pPr>
            <w:r w:rsidRPr="00C83DF5">
              <w:rPr>
                <w:rFonts w:cs="Tahoma"/>
              </w:rPr>
              <w:t>Lync Online Plan 1*</w:t>
            </w:r>
          </w:p>
          <w:p w:rsidR="00456002" w:rsidRPr="00C83DF5" w:rsidRDefault="00456002" w:rsidP="00346F4B">
            <w:pPr>
              <w:keepNext/>
              <w:numPr>
                <w:ilvl w:val="0"/>
                <w:numId w:val="38"/>
              </w:numPr>
              <w:spacing w:before="80"/>
              <w:ind w:left="905" w:hanging="540"/>
              <w:jc w:val="both"/>
            </w:pPr>
            <w:r w:rsidRPr="00C83DF5">
              <w:rPr>
                <w:rFonts w:cs="Tahoma"/>
              </w:rPr>
              <w:t>Lync Online Plan 2*</w:t>
            </w:r>
          </w:p>
          <w:p w:rsidR="00E77288" w:rsidRPr="00C83DF5" w:rsidRDefault="00E77288" w:rsidP="00346F4B">
            <w:pPr>
              <w:keepNext/>
              <w:numPr>
                <w:ilvl w:val="0"/>
                <w:numId w:val="38"/>
              </w:numPr>
              <w:spacing w:before="80"/>
              <w:ind w:left="905" w:hanging="540"/>
              <w:jc w:val="both"/>
            </w:pPr>
            <w:r w:rsidRPr="00C83DF5">
              <w:rPr>
                <w:rFonts w:cs="Tahoma"/>
              </w:rPr>
              <w:t>Lync Online Plan 3*</w:t>
            </w:r>
          </w:p>
          <w:p w:rsidR="00456002" w:rsidRPr="00C83DF5" w:rsidRDefault="00456002" w:rsidP="00346F4B">
            <w:pPr>
              <w:keepNext/>
              <w:numPr>
                <w:ilvl w:val="0"/>
                <w:numId w:val="38"/>
              </w:numPr>
              <w:spacing w:before="80"/>
              <w:ind w:left="905" w:hanging="540"/>
              <w:jc w:val="both"/>
            </w:pPr>
            <w:r w:rsidRPr="00C83DF5">
              <w:rPr>
                <w:rFonts w:cs="Tahoma"/>
              </w:rPr>
              <w:t>Office 365 (Enterprise K1)*</w:t>
            </w:r>
          </w:p>
          <w:p w:rsidR="00456002" w:rsidRPr="00C83DF5" w:rsidRDefault="00456002" w:rsidP="00346F4B">
            <w:pPr>
              <w:keepNext/>
              <w:numPr>
                <w:ilvl w:val="0"/>
                <w:numId w:val="38"/>
              </w:numPr>
              <w:spacing w:before="80"/>
              <w:ind w:left="905" w:hanging="540"/>
              <w:jc w:val="both"/>
            </w:pPr>
            <w:r w:rsidRPr="00C83DF5">
              <w:rPr>
                <w:rFonts w:cs="Tahoma"/>
              </w:rPr>
              <w:t>Office 365 (Enterprise E1)</w:t>
            </w:r>
          </w:p>
          <w:p w:rsidR="00456002" w:rsidRPr="00C83DF5" w:rsidRDefault="00456002" w:rsidP="00346F4B">
            <w:pPr>
              <w:keepNext/>
              <w:numPr>
                <w:ilvl w:val="0"/>
                <w:numId w:val="38"/>
              </w:numPr>
              <w:spacing w:before="80"/>
              <w:ind w:left="895" w:hanging="530"/>
              <w:jc w:val="both"/>
            </w:pPr>
            <w:r w:rsidRPr="00C83DF5">
              <w:rPr>
                <w:rFonts w:cs="Tahoma"/>
              </w:rPr>
              <w:t>Office 365 (Enterprise E3)</w:t>
            </w:r>
          </w:p>
          <w:p w:rsidR="00456002" w:rsidRPr="00C83DF5" w:rsidRDefault="00456002" w:rsidP="00346F4B">
            <w:pPr>
              <w:keepNext/>
              <w:numPr>
                <w:ilvl w:val="0"/>
                <w:numId w:val="38"/>
              </w:numPr>
              <w:spacing w:before="80"/>
              <w:ind w:left="895" w:hanging="530"/>
              <w:jc w:val="both"/>
              <w:rPr>
                <w:rFonts w:cs="Tahoma"/>
              </w:rPr>
            </w:pPr>
            <w:r w:rsidRPr="00C83DF5">
              <w:rPr>
                <w:rFonts w:cs="Tahoma"/>
              </w:rPr>
              <w:t>Office 365 (Enterprise E4)</w:t>
            </w:r>
          </w:p>
        </w:tc>
        <w:tc>
          <w:tcPr>
            <w:tcW w:w="2397" w:type="pct"/>
          </w:tcPr>
          <w:p w:rsidR="00C177EF" w:rsidRPr="00C83DF5" w:rsidRDefault="00C177EF" w:rsidP="00346F4B">
            <w:pPr>
              <w:keepNext/>
              <w:numPr>
                <w:ilvl w:val="0"/>
                <w:numId w:val="38"/>
              </w:numPr>
              <w:spacing w:before="80"/>
              <w:ind w:left="725"/>
              <w:jc w:val="both"/>
            </w:pPr>
            <w:r w:rsidRPr="00C83DF5">
              <w:rPr>
                <w:rFonts w:cs="Tahoma"/>
              </w:rPr>
              <w:t>Microsoft Dynamics CRM Online*</w:t>
            </w:r>
          </w:p>
          <w:p w:rsidR="009E224B" w:rsidRPr="00C83DF5" w:rsidRDefault="009E224B" w:rsidP="00346F4B">
            <w:pPr>
              <w:keepNext/>
              <w:numPr>
                <w:ilvl w:val="0"/>
                <w:numId w:val="38"/>
              </w:numPr>
              <w:spacing w:before="80"/>
              <w:ind w:left="725"/>
              <w:jc w:val="both"/>
            </w:pPr>
            <w:r w:rsidRPr="00C83DF5">
              <w:rPr>
                <w:rFonts w:cs="Tahoma"/>
              </w:rPr>
              <w:t>Office 365 (Government G1)</w:t>
            </w:r>
          </w:p>
          <w:p w:rsidR="009E224B" w:rsidRPr="00C83DF5" w:rsidRDefault="009E224B" w:rsidP="00346F4B">
            <w:pPr>
              <w:keepNext/>
              <w:numPr>
                <w:ilvl w:val="0"/>
                <w:numId w:val="38"/>
              </w:numPr>
              <w:spacing w:before="80"/>
              <w:ind w:left="725"/>
              <w:jc w:val="both"/>
            </w:pPr>
            <w:r w:rsidRPr="00C83DF5">
              <w:rPr>
                <w:rFonts w:cs="Tahoma"/>
              </w:rPr>
              <w:t>Office 365 (Government G3)</w:t>
            </w:r>
          </w:p>
          <w:p w:rsidR="009E224B" w:rsidRPr="00C83DF5" w:rsidRDefault="009E224B" w:rsidP="00346F4B">
            <w:pPr>
              <w:keepNext/>
              <w:numPr>
                <w:ilvl w:val="0"/>
                <w:numId w:val="38"/>
              </w:numPr>
              <w:spacing w:before="80"/>
              <w:ind w:left="725"/>
              <w:jc w:val="both"/>
            </w:pPr>
            <w:r w:rsidRPr="00C83DF5">
              <w:rPr>
                <w:rFonts w:cs="Tahoma"/>
              </w:rPr>
              <w:t>Office 365 (Government G4)</w:t>
            </w:r>
          </w:p>
          <w:p w:rsidR="00456002" w:rsidRPr="00C83DF5" w:rsidRDefault="00456002" w:rsidP="00346F4B">
            <w:pPr>
              <w:keepNext/>
              <w:numPr>
                <w:ilvl w:val="0"/>
                <w:numId w:val="38"/>
              </w:numPr>
              <w:spacing w:before="80"/>
              <w:ind w:left="725"/>
              <w:jc w:val="both"/>
            </w:pPr>
            <w:r w:rsidRPr="00C83DF5">
              <w:rPr>
                <w:rFonts w:cs="Tahoma"/>
              </w:rPr>
              <w:t>Office-Webanwendungen*</w:t>
            </w:r>
          </w:p>
          <w:p w:rsidR="00C177EF" w:rsidRPr="00C83DF5" w:rsidRDefault="00C177EF" w:rsidP="00346F4B">
            <w:pPr>
              <w:keepNext/>
              <w:numPr>
                <w:ilvl w:val="0"/>
                <w:numId w:val="38"/>
              </w:numPr>
              <w:spacing w:before="80"/>
              <w:ind w:left="725"/>
              <w:jc w:val="both"/>
            </w:pPr>
            <w:r w:rsidRPr="00C83DF5">
              <w:rPr>
                <w:rFonts w:cs="Tahoma"/>
              </w:rPr>
              <w:t>Project Online*</w:t>
            </w:r>
          </w:p>
          <w:p w:rsidR="00C177EF" w:rsidRPr="00C83DF5" w:rsidRDefault="00C177EF" w:rsidP="00346F4B">
            <w:pPr>
              <w:keepNext/>
              <w:numPr>
                <w:ilvl w:val="0"/>
                <w:numId w:val="38"/>
              </w:numPr>
              <w:spacing w:before="80"/>
              <w:ind w:left="725"/>
              <w:jc w:val="both"/>
            </w:pPr>
            <w:r w:rsidRPr="00C83DF5">
              <w:rPr>
                <w:rFonts w:cs="Tahoma"/>
              </w:rPr>
              <w:t>Project Pro für Office 365*</w:t>
            </w:r>
          </w:p>
          <w:p w:rsidR="00456002" w:rsidRPr="00C83DF5" w:rsidRDefault="00456002" w:rsidP="00346F4B">
            <w:pPr>
              <w:keepNext/>
              <w:numPr>
                <w:ilvl w:val="0"/>
                <w:numId w:val="38"/>
              </w:numPr>
              <w:spacing w:before="80"/>
              <w:ind w:left="725"/>
              <w:jc w:val="both"/>
            </w:pPr>
            <w:r w:rsidRPr="00C83DF5">
              <w:rPr>
                <w:rFonts w:cs="Tahoma"/>
              </w:rPr>
              <w:t>SharePoint Online Plan 1*</w:t>
            </w:r>
          </w:p>
          <w:p w:rsidR="00456002" w:rsidRPr="00C83DF5" w:rsidRDefault="00456002" w:rsidP="00346F4B">
            <w:pPr>
              <w:keepNext/>
              <w:numPr>
                <w:ilvl w:val="0"/>
                <w:numId w:val="38"/>
              </w:numPr>
              <w:spacing w:before="80"/>
              <w:ind w:left="725"/>
              <w:jc w:val="both"/>
            </w:pPr>
            <w:r w:rsidRPr="00C83DF5">
              <w:rPr>
                <w:rFonts w:cs="Tahoma"/>
              </w:rPr>
              <w:t>SharePoint Online Plan 2*</w:t>
            </w:r>
          </w:p>
          <w:p w:rsidR="00456002" w:rsidRPr="00C83DF5" w:rsidRDefault="00456002" w:rsidP="00346F4B">
            <w:pPr>
              <w:keepNext/>
              <w:numPr>
                <w:ilvl w:val="0"/>
                <w:numId w:val="38"/>
              </w:numPr>
              <w:spacing w:before="80"/>
              <w:ind w:left="725"/>
              <w:jc w:val="both"/>
            </w:pPr>
            <w:r w:rsidRPr="00C83DF5">
              <w:rPr>
                <w:rFonts w:cs="Tahoma"/>
              </w:rPr>
              <w:t>SharePoint Online Partner Access*</w:t>
            </w:r>
          </w:p>
          <w:p w:rsidR="00C177EF" w:rsidRPr="00C83DF5" w:rsidRDefault="00C177EF" w:rsidP="00346F4B">
            <w:pPr>
              <w:keepNext/>
              <w:numPr>
                <w:ilvl w:val="0"/>
                <w:numId w:val="38"/>
              </w:numPr>
              <w:spacing w:before="80"/>
              <w:ind w:left="725"/>
              <w:jc w:val="both"/>
            </w:pPr>
            <w:r w:rsidRPr="00C83DF5">
              <w:rPr>
                <w:rFonts w:cs="Tahoma"/>
              </w:rPr>
              <w:t>Viso Pro für Office 365*</w:t>
            </w:r>
          </w:p>
          <w:p w:rsidR="00D8521B" w:rsidRPr="00C83DF5" w:rsidRDefault="00D8521B" w:rsidP="00C4792F">
            <w:pPr>
              <w:numPr>
                <w:ilvl w:val="0"/>
                <w:numId w:val="38"/>
              </w:numPr>
              <w:spacing w:before="80"/>
              <w:ind w:left="692"/>
            </w:pPr>
            <w:r w:rsidRPr="00C83DF5">
              <w:rPr>
                <w:rFonts w:cs="Tahoma"/>
                <w:color w:val="000000"/>
              </w:rPr>
              <w:t>Windows Azure Active Directory-Rechteverwaltung*</w:t>
            </w:r>
          </w:p>
          <w:p w:rsidR="00776E3B" w:rsidRPr="00C83DF5" w:rsidRDefault="00776E3B" w:rsidP="00346F4B">
            <w:pPr>
              <w:keepNext/>
              <w:numPr>
                <w:ilvl w:val="0"/>
                <w:numId w:val="38"/>
              </w:numPr>
              <w:spacing w:before="80"/>
              <w:ind w:left="725"/>
              <w:jc w:val="both"/>
            </w:pPr>
            <w:r w:rsidRPr="00C83DF5">
              <w:rPr>
                <w:rFonts w:cs="Tahoma"/>
              </w:rPr>
              <w:t>Windows Azure-Dienste*</w:t>
            </w:r>
          </w:p>
          <w:p w:rsidR="00456002" w:rsidRPr="00C83DF5" w:rsidRDefault="00456002" w:rsidP="00346F4B">
            <w:pPr>
              <w:keepNext/>
              <w:numPr>
                <w:ilvl w:val="0"/>
                <w:numId w:val="38"/>
              </w:numPr>
              <w:spacing w:before="80"/>
              <w:ind w:left="720"/>
              <w:jc w:val="both"/>
            </w:pPr>
            <w:r w:rsidRPr="00C83DF5">
              <w:rPr>
                <w:rFonts w:cs="Tahoma"/>
              </w:rPr>
              <w:t>Windows Intune</w:t>
            </w:r>
          </w:p>
          <w:p w:rsidR="00456002" w:rsidRPr="00C83DF5" w:rsidRDefault="00456002" w:rsidP="00346F4B">
            <w:pPr>
              <w:keepNext/>
              <w:numPr>
                <w:ilvl w:val="0"/>
                <w:numId w:val="38"/>
              </w:numPr>
              <w:spacing w:before="80"/>
              <w:ind w:left="725"/>
              <w:jc w:val="both"/>
            </w:pPr>
            <w:r w:rsidRPr="00C83DF5">
              <w:rPr>
                <w:rFonts w:cs="Tahoma"/>
              </w:rPr>
              <w:t>Add-On für Windows Intune*</w:t>
            </w:r>
          </w:p>
          <w:p w:rsidR="00F27B29" w:rsidRPr="00C83DF5" w:rsidRDefault="00F27B29" w:rsidP="00346F4B">
            <w:pPr>
              <w:keepNext/>
              <w:numPr>
                <w:ilvl w:val="0"/>
                <w:numId w:val="38"/>
              </w:numPr>
              <w:spacing w:before="80" w:after="120"/>
              <w:ind w:left="720"/>
              <w:jc w:val="both"/>
              <w:rPr>
                <w:rFonts w:cs="Tahoma"/>
              </w:rPr>
            </w:pPr>
            <w:r w:rsidRPr="00C83DF5">
              <w:rPr>
                <w:rFonts w:cs="Tahoma"/>
              </w:rPr>
              <w:t>Yammer Enterprise*</w:t>
            </w:r>
          </w:p>
        </w:tc>
      </w:tr>
    </w:tbl>
    <w:p w:rsidR="00776E3B" w:rsidRPr="00C83DF5" w:rsidRDefault="00776E3B" w:rsidP="00776E3B">
      <w:pPr>
        <w:tabs>
          <w:tab w:val="left" w:pos="360"/>
        </w:tabs>
        <w:ind w:left="720"/>
      </w:pPr>
      <w:r w:rsidRPr="00C83DF5">
        <w:rPr>
          <w:rFonts w:cs="Tahoma"/>
          <w:i/>
          <w:sz w:val="16"/>
          <w:szCs w:val="20"/>
        </w:rPr>
        <w:t>* Zusätzliches Produkt</w:t>
      </w:r>
    </w:p>
    <w:p w:rsidR="00023FE7" w:rsidRPr="00776C34" w:rsidRDefault="00023FE7" w:rsidP="00B0065F">
      <w:pPr>
        <w:pStyle w:val="Heading1"/>
      </w:pPr>
      <w:r w:rsidRPr="00776C34">
        <w:br w:type="page"/>
      </w:r>
      <w:bookmarkStart w:id="621" w:name="_Toc336338197"/>
      <w:bookmarkStart w:id="622" w:name="_Toc370983305"/>
      <w:r w:rsidRPr="00776C34">
        <w:lastRenderedPageBreak/>
        <w:t>ABSCHNITT 4 – Lizenztypen und Gebühren</w:t>
      </w:r>
      <w:bookmarkEnd w:id="621"/>
      <w:bookmarkEnd w:id="622"/>
      <w:r w:rsidRPr="00776C34">
        <w:t xml:space="preserve"> </w:t>
      </w:r>
    </w:p>
    <w:p w:rsidR="00023FE7" w:rsidRPr="00776C34" w:rsidRDefault="00023FE7">
      <w:pPr>
        <w:pStyle w:val="Heading2"/>
        <w:ind w:left="0" w:right="720"/>
        <w:rPr>
          <w:rFonts w:ascii="Tahoma" w:hAnsi="Tahoma" w:cs="Tahoma"/>
        </w:rPr>
      </w:pPr>
    </w:p>
    <w:p w:rsidR="00456002" w:rsidRPr="00776C34" w:rsidRDefault="00456002" w:rsidP="00456002">
      <w:pPr>
        <w:pStyle w:val="Heading2"/>
        <w:tabs>
          <w:tab w:val="left" w:pos="90"/>
        </w:tabs>
        <w:ind w:left="0" w:right="720"/>
        <w:rPr>
          <w:rFonts w:ascii="Tahoma" w:hAnsi="Tahoma" w:cs="Tahoma"/>
        </w:rPr>
      </w:pPr>
      <w:bookmarkStart w:id="623" w:name="_Toc336338198"/>
      <w:bookmarkStart w:id="624" w:name="_Toc370983306"/>
      <w:r w:rsidRPr="00776C34">
        <w:rPr>
          <w:rFonts w:ascii="Tahoma" w:hAnsi="Tahoma" w:cs="Tahoma"/>
        </w:rPr>
        <w:t>Gebühren</w:t>
      </w:r>
      <w:bookmarkEnd w:id="623"/>
      <w:bookmarkEnd w:id="624"/>
      <w:r w:rsidRPr="00776C34">
        <w:rPr>
          <w:rFonts w:ascii="Tahoma" w:hAnsi="Tahoma" w:cs="Tahoma"/>
        </w:rPr>
        <w:t xml:space="preserve"> </w:t>
      </w:r>
    </w:p>
    <w:p w:rsidR="00456002" w:rsidRPr="00C83DF5" w:rsidRDefault="00456002" w:rsidP="00ED589D">
      <w:pPr>
        <w:ind w:right="720"/>
      </w:pPr>
    </w:p>
    <w:p w:rsidR="00456002" w:rsidRPr="00C83DF5" w:rsidRDefault="00456002" w:rsidP="00776C34">
      <w:pPr>
        <w:pStyle w:val="AppendixBodyText"/>
        <w:spacing w:after="0"/>
        <w:rPr>
          <w:lang w:val="de-DE"/>
        </w:rPr>
      </w:pPr>
      <w:r w:rsidRPr="00C83DF5">
        <w:rPr>
          <w:rFonts w:ascii="Tahoma" w:hAnsi="Tahoma" w:cs="Tahoma"/>
          <w:sz w:val="18"/>
          <w:lang w:val="de-DE"/>
        </w:rPr>
        <w:t>Dieser Produkttyp ist für einige Onlinedienste und Softwareprodukte verfügbar.</w:t>
      </w:r>
      <w:r w:rsidR="00E71F46" w:rsidRPr="00C83DF5">
        <w:rPr>
          <w:rFonts w:ascii="Tahoma" w:hAnsi="Tahoma" w:cs="Tahoma"/>
          <w:sz w:val="18"/>
          <w:lang w:val="de-DE"/>
        </w:rPr>
        <w:t xml:space="preserve"> </w:t>
      </w:r>
      <w:r w:rsidRPr="00C83DF5">
        <w:rPr>
          <w:rFonts w:ascii="Tahoma" w:hAnsi="Tahoma" w:cs="Tahoma"/>
          <w:sz w:val="18"/>
          <w:lang w:val="de-DE"/>
        </w:rPr>
        <w:t>Er ist nicht versionsspezifisch</w:t>
      </w:r>
      <w:r w:rsidR="00E71F46" w:rsidRPr="00C83DF5">
        <w:rPr>
          <w:rFonts w:ascii="Tahoma" w:hAnsi="Tahoma" w:cs="Tahoma"/>
          <w:sz w:val="18"/>
          <w:lang w:val="de-DE"/>
        </w:rPr>
        <w:t xml:space="preserve"> </w:t>
      </w:r>
      <w:r w:rsidRPr="00C83DF5">
        <w:rPr>
          <w:rFonts w:ascii="Tahoma" w:hAnsi="Tahoma" w:cs="Tahoma"/>
          <w:sz w:val="18"/>
          <w:lang w:val="de-DE"/>
        </w:rPr>
        <w:t>und</w:t>
      </w:r>
      <w:r w:rsidR="00776C34">
        <w:rPr>
          <w:rFonts w:ascii="Tahoma" w:hAnsi="Tahoma" w:cs="Tahoma"/>
          <w:sz w:val="18"/>
          <w:lang w:val="de-DE"/>
        </w:rPr>
        <w:t> </w:t>
      </w:r>
      <w:r w:rsidRPr="00C83DF5">
        <w:rPr>
          <w:rFonts w:ascii="Tahoma" w:hAnsi="Tahoma" w:cs="Tahoma"/>
          <w:sz w:val="18"/>
          <w:lang w:val="de-DE"/>
        </w:rPr>
        <w:t>kann mit Einrichtungskosten oder anderen Angeboten wie Activation Packs verknüpft werden.</w:t>
      </w:r>
      <w:r w:rsidR="00E71F46" w:rsidRPr="00C83DF5">
        <w:rPr>
          <w:rFonts w:ascii="Tahoma" w:hAnsi="Tahoma" w:cs="Tahoma"/>
          <w:sz w:val="18"/>
          <w:lang w:val="de-DE"/>
        </w:rPr>
        <w:t xml:space="preserve"> </w:t>
      </w:r>
      <w:r w:rsidRPr="00C83DF5">
        <w:rPr>
          <w:rFonts w:ascii="Tahoma" w:hAnsi="Tahoma" w:cs="Tahoma"/>
          <w:sz w:val="18"/>
          <w:lang w:val="de-DE"/>
        </w:rPr>
        <w:t>Im Allgemeinen werden damit keine Rechte zur Nutzung eines Produktes oder Onlinediensts gewährt.</w:t>
      </w:r>
      <w:r w:rsidR="00E71F46" w:rsidRPr="00C83DF5">
        <w:rPr>
          <w:rFonts w:ascii="Tahoma" w:hAnsi="Tahoma" w:cs="Tahoma"/>
          <w:sz w:val="18"/>
          <w:lang w:val="de-DE"/>
        </w:rPr>
        <w:t xml:space="preserve"> </w:t>
      </w:r>
      <w:r w:rsidRPr="00C83DF5">
        <w:rPr>
          <w:rFonts w:ascii="Tahoma" w:hAnsi="Tahoma" w:cs="Tahoma"/>
          <w:sz w:val="18"/>
          <w:lang w:val="de-DE"/>
        </w:rPr>
        <w:t>Dementsprechend werden mit</w:t>
      </w:r>
      <w:r w:rsidR="00776C34">
        <w:rPr>
          <w:rFonts w:ascii="Tahoma" w:hAnsi="Tahoma" w:cs="Tahoma"/>
          <w:sz w:val="18"/>
          <w:lang w:val="de-DE"/>
        </w:rPr>
        <w:t> </w:t>
      </w:r>
      <w:r w:rsidRPr="00C83DF5">
        <w:rPr>
          <w:rFonts w:ascii="Tahoma" w:hAnsi="Tahoma" w:cs="Tahoma"/>
          <w:sz w:val="18"/>
          <w:lang w:val="de-DE"/>
        </w:rPr>
        <w:t>diesem Produkttyp keine Vergünstigungen gewährt oder Zwecke abseits des Diensts oder der Software erfüllt, dem bzw. der er entspricht.</w:t>
      </w:r>
      <w:r w:rsidR="00E71F46" w:rsidRPr="00C83DF5">
        <w:rPr>
          <w:rFonts w:ascii="Tahoma" w:hAnsi="Tahoma" w:cs="Tahoma"/>
          <w:sz w:val="18"/>
          <w:lang w:val="de-DE"/>
        </w:rPr>
        <w:t xml:space="preserve"> </w:t>
      </w:r>
      <w:r w:rsidRPr="00C83DF5">
        <w:rPr>
          <w:rFonts w:ascii="Tahoma" w:hAnsi="Tahoma" w:cs="Tahoma"/>
          <w:sz w:val="18"/>
          <w:lang w:val="de-DE"/>
        </w:rPr>
        <w:t>Für die folgenden Programme verfügbar: Open, Open Value, Open Value Subscription, Select und Select Plus.</w:t>
      </w:r>
    </w:p>
    <w:p w:rsidR="00255158" w:rsidRPr="00F037D5" w:rsidRDefault="00255158" w:rsidP="0014632E">
      <w:pPr>
        <w:ind w:right="720"/>
        <w:rPr>
          <w:color w:val="000000"/>
          <w:sz w:val="20"/>
          <w:lang w:val="de-DE"/>
        </w:rPr>
      </w:pPr>
    </w:p>
    <w:p w:rsidR="00456002" w:rsidRPr="00C83DF5" w:rsidRDefault="00456002" w:rsidP="00456002">
      <w:pPr>
        <w:pStyle w:val="Heading2"/>
        <w:tabs>
          <w:tab w:val="left" w:pos="90"/>
        </w:tabs>
        <w:ind w:left="0" w:right="720"/>
        <w:rPr>
          <w:lang w:val="de-DE"/>
        </w:rPr>
      </w:pPr>
      <w:bookmarkStart w:id="625" w:name="_Toc323819648"/>
      <w:bookmarkStart w:id="626" w:name="_Toc336338199"/>
      <w:bookmarkStart w:id="627" w:name="_Toc370983307"/>
      <w:r w:rsidRPr="00C83DF5">
        <w:rPr>
          <w:rFonts w:ascii="Tahoma" w:hAnsi="Tahoma" w:cs="Tahoma"/>
          <w:lang w:val="de-DE"/>
        </w:rPr>
        <w:t>Lizenz</w:t>
      </w:r>
      <w:bookmarkEnd w:id="625"/>
      <w:bookmarkEnd w:id="626"/>
      <w:bookmarkEnd w:id="627"/>
    </w:p>
    <w:p w:rsidR="00456002" w:rsidRPr="00F037D5" w:rsidRDefault="00456002" w:rsidP="00ED589D">
      <w:pPr>
        <w:pStyle w:val="AppendixIndent"/>
        <w:tabs>
          <w:tab w:val="left" w:pos="90"/>
        </w:tabs>
        <w:spacing w:before="0"/>
        <w:ind w:left="0" w:right="720"/>
        <w:rPr>
          <w:rFonts w:ascii="Tahoma" w:hAnsi="Tahoma" w:cs="Tahoma"/>
          <w:sz w:val="18"/>
          <w:lang w:val="de-DE"/>
        </w:rPr>
      </w:pPr>
    </w:p>
    <w:p w:rsidR="00456002" w:rsidRPr="00E16A19" w:rsidRDefault="00456002" w:rsidP="00E16A19">
      <w:pPr>
        <w:pStyle w:val="AppendixBodyText"/>
        <w:spacing w:after="0"/>
        <w:ind w:right="720"/>
        <w:rPr>
          <w:lang w:val="de-DE"/>
        </w:rPr>
      </w:pPr>
      <w:r w:rsidRPr="00C83DF5">
        <w:rPr>
          <w:rFonts w:ascii="Tahoma" w:hAnsi="Tahoma" w:cs="Tahoma"/>
          <w:sz w:val="18"/>
          <w:lang w:val="de-DE"/>
        </w:rPr>
        <w:t>Dieser Produkttyp ist versionsspezifisch und gewährt das Recht, die Version des Produktes auszuführen, für</w:t>
      </w:r>
      <w:r w:rsidR="00E16A19">
        <w:rPr>
          <w:rFonts w:ascii="Tahoma" w:hAnsi="Tahoma" w:cs="Tahoma"/>
          <w:sz w:val="18"/>
          <w:lang w:val="de-DE"/>
        </w:rPr>
        <w:t> </w:t>
      </w:r>
      <w:r w:rsidRPr="00C83DF5">
        <w:rPr>
          <w:rFonts w:ascii="Tahoma" w:hAnsi="Tahoma" w:cs="Tahoma"/>
          <w:sz w:val="18"/>
          <w:lang w:val="de-DE"/>
        </w:rPr>
        <w:t xml:space="preserve">die er bestellt wurde. </w:t>
      </w:r>
      <w:r w:rsidRPr="00E16A19">
        <w:rPr>
          <w:rFonts w:ascii="Tahoma" w:hAnsi="Tahoma" w:cs="Tahoma"/>
          <w:sz w:val="18"/>
          <w:lang w:val="de-DE"/>
        </w:rPr>
        <w:t xml:space="preserve">Für die folgenden Programme verfügbar: </w:t>
      </w:r>
    </w:p>
    <w:p w:rsidR="00456002" w:rsidRPr="00E16A19" w:rsidRDefault="00456002" w:rsidP="0014632E">
      <w:pPr>
        <w:pStyle w:val="AppendixIndent"/>
        <w:tabs>
          <w:tab w:val="left" w:pos="90"/>
        </w:tabs>
        <w:spacing w:before="0"/>
        <w:ind w:left="0" w:right="720"/>
        <w:rPr>
          <w:rFonts w:ascii="Tahoma" w:hAnsi="Tahoma" w:cs="Tahoma"/>
          <w:sz w:val="18"/>
          <w:szCs w:val="18"/>
        </w:rPr>
      </w:pPr>
    </w:p>
    <w:p w:rsidR="00456002" w:rsidRPr="00C83DF5" w:rsidRDefault="00456002" w:rsidP="00346F4B">
      <w:pPr>
        <w:pStyle w:val="AppendixBulletIndent"/>
        <w:numPr>
          <w:ilvl w:val="0"/>
          <w:numId w:val="59"/>
        </w:numPr>
        <w:tabs>
          <w:tab w:val="left" w:pos="90"/>
        </w:tabs>
        <w:spacing w:after="60"/>
        <w:ind w:left="1440" w:right="720"/>
      </w:pPr>
      <w:r w:rsidRPr="00C83DF5">
        <w:rPr>
          <w:rFonts w:ascii="Tahoma" w:hAnsi="Tahoma" w:cs="Tahoma"/>
          <w:sz w:val="18"/>
          <w:szCs w:val="18"/>
        </w:rPr>
        <w:t>Open-Lizenz</w:t>
      </w:r>
    </w:p>
    <w:p w:rsidR="00456002" w:rsidRPr="00C83DF5" w:rsidRDefault="00456002" w:rsidP="00346F4B">
      <w:pPr>
        <w:pStyle w:val="AppendixBulletIndent"/>
        <w:numPr>
          <w:ilvl w:val="0"/>
          <w:numId w:val="59"/>
        </w:numPr>
        <w:tabs>
          <w:tab w:val="left" w:pos="90"/>
        </w:tabs>
        <w:spacing w:after="60"/>
        <w:ind w:left="1440" w:right="720"/>
        <w:rPr>
          <w:lang w:val="de-DE"/>
        </w:rPr>
      </w:pPr>
      <w:r w:rsidRPr="00C83DF5">
        <w:rPr>
          <w:rFonts w:ascii="Tahoma" w:hAnsi="Tahoma" w:cs="Tahoma"/>
          <w:sz w:val="18"/>
          <w:szCs w:val="18"/>
          <w:lang w:val="de-DE"/>
        </w:rPr>
        <w:t xml:space="preserve">Open Value Subscription (nur für Buy-Out-Bestellungen) </w:t>
      </w:r>
    </w:p>
    <w:p w:rsidR="00456002" w:rsidRPr="00C83DF5" w:rsidRDefault="00456002" w:rsidP="00346F4B">
      <w:pPr>
        <w:pStyle w:val="AppendixBulletIndent"/>
        <w:numPr>
          <w:ilvl w:val="0"/>
          <w:numId w:val="59"/>
        </w:numPr>
        <w:tabs>
          <w:tab w:val="left" w:pos="90"/>
        </w:tabs>
        <w:spacing w:after="60"/>
        <w:ind w:left="1440" w:right="720"/>
      </w:pPr>
      <w:r w:rsidRPr="00C83DF5">
        <w:rPr>
          <w:rFonts w:ascii="Tahoma" w:hAnsi="Tahoma" w:cs="Tahoma"/>
          <w:sz w:val="18"/>
          <w:szCs w:val="18"/>
        </w:rPr>
        <w:t xml:space="preserve">Select </w:t>
      </w:r>
    </w:p>
    <w:p w:rsidR="00456002" w:rsidRPr="00C83DF5" w:rsidRDefault="00456002" w:rsidP="00346F4B">
      <w:pPr>
        <w:pStyle w:val="AppendixBulletIndent"/>
        <w:numPr>
          <w:ilvl w:val="0"/>
          <w:numId w:val="59"/>
        </w:numPr>
        <w:tabs>
          <w:tab w:val="left" w:pos="90"/>
        </w:tabs>
        <w:spacing w:after="60"/>
        <w:ind w:left="1440" w:right="720"/>
      </w:pPr>
      <w:r w:rsidRPr="00C83DF5">
        <w:rPr>
          <w:rFonts w:ascii="Tahoma" w:hAnsi="Tahoma" w:cs="Tahoma"/>
          <w:sz w:val="18"/>
          <w:szCs w:val="18"/>
        </w:rPr>
        <w:t>Select Plus</w:t>
      </w:r>
    </w:p>
    <w:p w:rsidR="00456002" w:rsidRPr="00C83DF5" w:rsidRDefault="00B215EA" w:rsidP="00346F4B">
      <w:pPr>
        <w:pStyle w:val="AppendixBulletIndent"/>
        <w:numPr>
          <w:ilvl w:val="0"/>
          <w:numId w:val="59"/>
        </w:numPr>
        <w:tabs>
          <w:tab w:val="left" w:pos="90"/>
        </w:tabs>
        <w:spacing w:after="60"/>
        <w:ind w:left="1440" w:right="720"/>
        <w:rPr>
          <w:lang w:val="de-DE"/>
        </w:rPr>
      </w:pPr>
      <w:r w:rsidRPr="00C83DF5">
        <w:rPr>
          <w:rFonts w:ascii="Tahoma" w:hAnsi="Tahoma" w:cs="Tahoma"/>
          <w:sz w:val="18"/>
          <w:szCs w:val="18"/>
          <w:lang w:val="de-DE"/>
        </w:rPr>
        <w:t>Campus- und School-Vertrag (nur für Buy-Out-Bestellungen)</w:t>
      </w:r>
    </w:p>
    <w:p w:rsidR="00456002" w:rsidRPr="00C83DF5" w:rsidRDefault="00B215EA" w:rsidP="00346F4B">
      <w:pPr>
        <w:pStyle w:val="AppendixBulletIndent"/>
        <w:numPr>
          <w:ilvl w:val="0"/>
          <w:numId w:val="59"/>
        </w:numPr>
        <w:tabs>
          <w:tab w:val="left" w:pos="90"/>
        </w:tabs>
        <w:spacing w:after="60"/>
        <w:ind w:left="1440" w:right="720"/>
        <w:rPr>
          <w:lang w:val="de-DE"/>
        </w:rPr>
      </w:pPr>
      <w:r w:rsidRPr="00C83DF5">
        <w:rPr>
          <w:rFonts w:ascii="Tahoma" w:hAnsi="Tahoma" w:cs="Tahoma"/>
          <w:sz w:val="18"/>
          <w:szCs w:val="18"/>
          <w:lang w:val="de-DE"/>
        </w:rPr>
        <w:t>Beitritt für Bildungslösungen (nur für Buy-Out-Bestellungen)</w:t>
      </w:r>
    </w:p>
    <w:p w:rsidR="00456002" w:rsidRPr="00C83DF5" w:rsidRDefault="00456002" w:rsidP="00346F4B">
      <w:pPr>
        <w:pStyle w:val="AppendixBulletIndent"/>
        <w:numPr>
          <w:ilvl w:val="0"/>
          <w:numId w:val="59"/>
        </w:numPr>
        <w:tabs>
          <w:tab w:val="left" w:pos="90"/>
        </w:tabs>
        <w:ind w:left="1440" w:right="720"/>
        <w:rPr>
          <w:lang w:val="de-DE"/>
        </w:rPr>
      </w:pPr>
      <w:r w:rsidRPr="00C83DF5">
        <w:rPr>
          <w:rFonts w:ascii="Tahoma" w:hAnsi="Tahoma" w:cs="Tahoma"/>
          <w:sz w:val="18"/>
          <w:szCs w:val="18"/>
          <w:lang w:val="de-DE"/>
        </w:rPr>
        <w:t>Konzern-Abonnement-Beitritt (nur für Buy-Out-Bestellungen)</w:t>
      </w:r>
    </w:p>
    <w:p w:rsidR="00B215EA" w:rsidRPr="00C83DF5" w:rsidRDefault="00B215EA" w:rsidP="00346F4B">
      <w:pPr>
        <w:pStyle w:val="AppendixBulletIndent"/>
        <w:numPr>
          <w:ilvl w:val="0"/>
          <w:numId w:val="59"/>
        </w:numPr>
        <w:tabs>
          <w:tab w:val="left" w:pos="90"/>
        </w:tabs>
        <w:ind w:left="1440" w:right="720"/>
        <w:rPr>
          <w:lang w:val="de-DE"/>
        </w:rPr>
      </w:pPr>
      <w:r w:rsidRPr="00C83DF5">
        <w:rPr>
          <w:rFonts w:ascii="Tahoma" w:hAnsi="Tahoma" w:cs="Tahoma"/>
          <w:sz w:val="18"/>
          <w:szCs w:val="18"/>
          <w:lang w:val="de-DE"/>
        </w:rPr>
        <w:t>Server- und Cloud-Beitritt (nur für Buy-Out-Bestellungen)</w:t>
      </w:r>
    </w:p>
    <w:p w:rsidR="00456002" w:rsidRPr="00F037D5" w:rsidRDefault="00456002" w:rsidP="0014632E">
      <w:pPr>
        <w:pStyle w:val="AppendixIndent"/>
        <w:tabs>
          <w:tab w:val="left" w:pos="90"/>
        </w:tabs>
        <w:spacing w:before="0"/>
        <w:ind w:left="0" w:right="720"/>
        <w:rPr>
          <w:rFonts w:ascii="Tahoma" w:hAnsi="Tahoma" w:cs="Tahoma"/>
          <w:sz w:val="18"/>
          <w:szCs w:val="18"/>
          <w:lang w:val="de-DE"/>
        </w:rPr>
      </w:pPr>
    </w:p>
    <w:p w:rsidR="00456002" w:rsidRPr="00C83DF5" w:rsidRDefault="00456002" w:rsidP="00E16A19">
      <w:pPr>
        <w:pStyle w:val="AppendixBodyText"/>
        <w:spacing w:after="0"/>
        <w:rPr>
          <w:lang w:val="de-DE"/>
        </w:rPr>
      </w:pPr>
      <w:r w:rsidRPr="00C83DF5">
        <w:rPr>
          <w:rFonts w:ascii="Tahoma" w:hAnsi="Tahoma" w:cs="Tahoma"/>
          <w:sz w:val="18"/>
          <w:lang w:val="de-DE"/>
        </w:rPr>
        <w:t>Für den Erwerb einer Lizenz in den Open-Lizenz-, Select- und Select Plus-Programmen muss ein Kunde keinerlei Voraussetzungen erfüllen.</w:t>
      </w:r>
      <w:r w:rsidR="00E71F46" w:rsidRPr="00C83DF5">
        <w:rPr>
          <w:rFonts w:ascii="Tahoma" w:hAnsi="Tahoma" w:cs="Tahoma"/>
          <w:sz w:val="18"/>
          <w:lang w:val="de-DE"/>
        </w:rPr>
        <w:t xml:space="preserve"> </w:t>
      </w:r>
      <w:r w:rsidRPr="00C83DF5">
        <w:rPr>
          <w:rFonts w:ascii="Tahoma" w:hAnsi="Tahoma" w:cs="Tahoma"/>
          <w:sz w:val="18"/>
          <w:lang w:val="de-DE"/>
        </w:rPr>
        <w:t>Die Berechtigungsvorschriften zum Bestellen einer zeitlich unbeschränkten Lizenz durch Buy-Out-Bestellungen finden Sie im jeweiligen Programmvertrag.</w:t>
      </w:r>
    </w:p>
    <w:p w:rsidR="00255158" w:rsidRPr="00F037D5" w:rsidRDefault="00255158" w:rsidP="0014632E">
      <w:pPr>
        <w:pStyle w:val="AppendixIndent"/>
        <w:tabs>
          <w:tab w:val="left" w:pos="90"/>
        </w:tabs>
        <w:spacing w:before="0"/>
        <w:ind w:left="0" w:right="720"/>
        <w:rPr>
          <w:rFonts w:ascii="Tahoma" w:hAnsi="Tahoma" w:cs="Tahoma"/>
          <w:sz w:val="18"/>
          <w:szCs w:val="18"/>
          <w:lang w:val="de-DE"/>
        </w:rPr>
      </w:pPr>
    </w:p>
    <w:p w:rsidR="00456002" w:rsidRPr="00F037D5" w:rsidRDefault="00456002" w:rsidP="00456002">
      <w:pPr>
        <w:pStyle w:val="Heading2"/>
        <w:tabs>
          <w:tab w:val="left" w:pos="90"/>
        </w:tabs>
        <w:ind w:left="0" w:right="720"/>
        <w:rPr>
          <w:rFonts w:ascii="Tahoma" w:hAnsi="Tahoma" w:cs="Tahoma"/>
          <w:lang w:val="de-DE"/>
        </w:rPr>
      </w:pPr>
      <w:bookmarkStart w:id="628" w:name="_Toc323819649"/>
      <w:bookmarkStart w:id="629" w:name="_Toc336338200"/>
      <w:bookmarkStart w:id="630" w:name="_Toc370983308"/>
      <w:r w:rsidRPr="00F037D5">
        <w:rPr>
          <w:rFonts w:ascii="Tahoma" w:hAnsi="Tahoma" w:cs="Tahoma"/>
          <w:lang w:val="de-DE"/>
        </w:rPr>
        <w:t>Lizenz und Software Assurance</w:t>
      </w:r>
      <w:bookmarkEnd w:id="628"/>
      <w:bookmarkEnd w:id="629"/>
      <w:bookmarkEnd w:id="630"/>
      <w:r w:rsidRPr="00F037D5">
        <w:rPr>
          <w:rFonts w:ascii="Tahoma" w:hAnsi="Tahoma" w:cs="Tahoma"/>
          <w:lang w:val="de-DE"/>
        </w:rPr>
        <w:t xml:space="preserve"> </w:t>
      </w:r>
    </w:p>
    <w:p w:rsidR="00456002" w:rsidRPr="00F037D5" w:rsidRDefault="00456002" w:rsidP="00ED589D">
      <w:pPr>
        <w:pStyle w:val="AppendixIndent"/>
        <w:tabs>
          <w:tab w:val="left" w:pos="90"/>
        </w:tabs>
        <w:spacing w:before="0"/>
        <w:ind w:left="0" w:right="720"/>
        <w:rPr>
          <w:rFonts w:ascii="Tahoma" w:hAnsi="Tahoma" w:cs="Tahoma"/>
          <w:sz w:val="18"/>
          <w:lang w:val="de-DE"/>
        </w:rPr>
      </w:pPr>
    </w:p>
    <w:p w:rsidR="00456002" w:rsidRPr="00C83DF5" w:rsidRDefault="00456002" w:rsidP="00E16A19">
      <w:pPr>
        <w:pStyle w:val="AppendixBodyText"/>
        <w:spacing w:after="0"/>
      </w:pPr>
      <w:r w:rsidRPr="00C83DF5">
        <w:rPr>
          <w:rFonts w:ascii="Tahoma" w:hAnsi="Tahoma" w:cs="Tahoma"/>
          <w:sz w:val="18"/>
          <w:lang w:val="de-DE"/>
        </w:rPr>
        <w:t xml:space="preserve">Dieser Produkttyp ist nicht versionsspezifisch. Er bietet Kunden die Möglichkeit, die Lizenz und Software Assurance zum gleichen Zeitpunkt zu erwerben. </w:t>
      </w:r>
      <w:r w:rsidRPr="00C83DF5">
        <w:rPr>
          <w:rFonts w:ascii="Tahoma" w:hAnsi="Tahoma" w:cs="Tahoma"/>
          <w:sz w:val="18"/>
        </w:rPr>
        <w:t>Für die folgenden Programme verfügbar:</w:t>
      </w:r>
    </w:p>
    <w:p w:rsidR="00456002" w:rsidRPr="00E16A19" w:rsidRDefault="00456002" w:rsidP="0014632E">
      <w:pPr>
        <w:pStyle w:val="AppendixIndent"/>
        <w:tabs>
          <w:tab w:val="left" w:pos="90"/>
        </w:tabs>
        <w:spacing w:before="0"/>
        <w:ind w:left="0" w:right="720"/>
        <w:rPr>
          <w:rFonts w:ascii="Tahoma" w:hAnsi="Tahoma" w:cs="Tahoma"/>
          <w:sz w:val="18"/>
        </w:rPr>
      </w:pPr>
    </w:p>
    <w:p w:rsidR="00456002" w:rsidRPr="00C83DF5" w:rsidRDefault="00456002" w:rsidP="00346F4B">
      <w:pPr>
        <w:pStyle w:val="AppendixBulletIndent"/>
        <w:numPr>
          <w:ilvl w:val="0"/>
          <w:numId w:val="63"/>
        </w:numPr>
        <w:tabs>
          <w:tab w:val="left" w:pos="1440"/>
        </w:tabs>
        <w:spacing w:after="60"/>
        <w:ind w:left="1440" w:right="720"/>
      </w:pPr>
      <w:r w:rsidRPr="00C83DF5">
        <w:rPr>
          <w:rFonts w:ascii="Tahoma" w:hAnsi="Tahoma" w:cs="Tahoma"/>
          <w:sz w:val="18"/>
        </w:rPr>
        <w:t xml:space="preserve">Open-Lizenz </w:t>
      </w:r>
    </w:p>
    <w:p w:rsidR="00456002" w:rsidRPr="00C83DF5" w:rsidRDefault="00456002" w:rsidP="00346F4B">
      <w:pPr>
        <w:pStyle w:val="AppendixBulletIndent"/>
        <w:numPr>
          <w:ilvl w:val="0"/>
          <w:numId w:val="63"/>
        </w:numPr>
        <w:tabs>
          <w:tab w:val="left" w:pos="1440"/>
        </w:tabs>
        <w:spacing w:after="60"/>
        <w:ind w:left="1440" w:right="720"/>
      </w:pPr>
      <w:r w:rsidRPr="00C83DF5">
        <w:rPr>
          <w:rFonts w:ascii="Tahoma" w:hAnsi="Tahoma" w:cs="Tahoma"/>
          <w:sz w:val="18"/>
        </w:rPr>
        <w:t>Open Value</w:t>
      </w:r>
    </w:p>
    <w:p w:rsidR="00456002" w:rsidRPr="00C83DF5" w:rsidRDefault="00385C82" w:rsidP="00346F4B">
      <w:pPr>
        <w:pStyle w:val="AppendixBulletIndent"/>
        <w:numPr>
          <w:ilvl w:val="0"/>
          <w:numId w:val="63"/>
        </w:numPr>
        <w:tabs>
          <w:tab w:val="left" w:pos="1440"/>
        </w:tabs>
        <w:spacing w:after="60"/>
        <w:ind w:left="1440" w:right="720"/>
      </w:pPr>
      <w:r w:rsidRPr="00C83DF5">
        <w:rPr>
          <w:rFonts w:ascii="Tahoma" w:hAnsi="Tahoma" w:cs="Tahoma"/>
          <w:sz w:val="18"/>
        </w:rPr>
        <w:t>Open Value Subscription</w:t>
      </w:r>
    </w:p>
    <w:p w:rsidR="00456002" w:rsidRPr="00C83DF5" w:rsidRDefault="00456002" w:rsidP="00346F4B">
      <w:pPr>
        <w:pStyle w:val="AppendixBulletIndent"/>
        <w:numPr>
          <w:ilvl w:val="0"/>
          <w:numId w:val="63"/>
        </w:numPr>
        <w:tabs>
          <w:tab w:val="left" w:pos="1440"/>
        </w:tabs>
        <w:spacing w:after="60"/>
        <w:ind w:left="1440" w:right="720"/>
      </w:pPr>
      <w:r w:rsidRPr="00C83DF5">
        <w:rPr>
          <w:rFonts w:ascii="Tahoma" w:hAnsi="Tahoma" w:cs="Tahoma"/>
          <w:sz w:val="18"/>
        </w:rPr>
        <w:t xml:space="preserve">Select </w:t>
      </w:r>
    </w:p>
    <w:p w:rsidR="00456002" w:rsidRPr="00C83DF5" w:rsidRDefault="00456002" w:rsidP="00346F4B">
      <w:pPr>
        <w:pStyle w:val="AppendixBulletIndent"/>
        <w:numPr>
          <w:ilvl w:val="0"/>
          <w:numId w:val="63"/>
        </w:numPr>
        <w:tabs>
          <w:tab w:val="left" w:pos="1440"/>
        </w:tabs>
        <w:spacing w:after="60"/>
        <w:ind w:left="1440" w:right="720"/>
      </w:pPr>
      <w:r w:rsidRPr="00C83DF5">
        <w:rPr>
          <w:rFonts w:ascii="Tahoma" w:hAnsi="Tahoma" w:cs="Tahoma"/>
          <w:sz w:val="18"/>
        </w:rPr>
        <w:t>Select Plus</w:t>
      </w:r>
    </w:p>
    <w:p w:rsidR="00456002" w:rsidRPr="00C83DF5" w:rsidRDefault="00456002" w:rsidP="00346F4B">
      <w:pPr>
        <w:pStyle w:val="AppendixBulletIndent"/>
        <w:numPr>
          <w:ilvl w:val="0"/>
          <w:numId w:val="63"/>
        </w:numPr>
        <w:tabs>
          <w:tab w:val="left" w:pos="1440"/>
        </w:tabs>
        <w:spacing w:after="60"/>
        <w:ind w:left="1440" w:right="720"/>
      </w:pPr>
      <w:r w:rsidRPr="00C83DF5">
        <w:rPr>
          <w:rFonts w:ascii="Tahoma" w:hAnsi="Tahoma" w:cs="Tahoma"/>
          <w:sz w:val="18"/>
        </w:rPr>
        <w:t>Konzernbeitritt</w:t>
      </w:r>
    </w:p>
    <w:p w:rsidR="00456002" w:rsidRPr="00C83DF5" w:rsidRDefault="00456002" w:rsidP="00346F4B">
      <w:pPr>
        <w:pStyle w:val="AppendixBulletIndent"/>
        <w:numPr>
          <w:ilvl w:val="0"/>
          <w:numId w:val="63"/>
        </w:numPr>
        <w:tabs>
          <w:tab w:val="left" w:pos="1440"/>
        </w:tabs>
        <w:ind w:left="1440" w:right="720"/>
      </w:pPr>
      <w:r w:rsidRPr="00C83DF5">
        <w:rPr>
          <w:rFonts w:ascii="Tahoma" w:hAnsi="Tahoma" w:cs="Tahoma"/>
          <w:sz w:val="18"/>
        </w:rPr>
        <w:t>Konzern-Abonnement-Beitritt</w:t>
      </w:r>
    </w:p>
    <w:p w:rsidR="00B215EA" w:rsidRPr="00C83DF5" w:rsidRDefault="00B215EA" w:rsidP="00346F4B">
      <w:pPr>
        <w:pStyle w:val="AppendixBulletIndent"/>
        <w:numPr>
          <w:ilvl w:val="0"/>
          <w:numId w:val="63"/>
        </w:numPr>
        <w:tabs>
          <w:tab w:val="left" w:pos="1440"/>
        </w:tabs>
        <w:ind w:left="1440" w:right="720"/>
      </w:pPr>
      <w:r w:rsidRPr="00C83DF5">
        <w:rPr>
          <w:rFonts w:ascii="Tahoma" w:hAnsi="Tahoma" w:cs="Tahoma"/>
          <w:sz w:val="18"/>
        </w:rPr>
        <w:t>Server- und Cloud-Beitritt</w:t>
      </w:r>
    </w:p>
    <w:p w:rsidR="00456002" w:rsidRPr="00E16A19" w:rsidRDefault="00456002" w:rsidP="00EF6A68">
      <w:pPr>
        <w:pStyle w:val="AppendixIndent"/>
        <w:tabs>
          <w:tab w:val="left" w:pos="90"/>
        </w:tabs>
        <w:spacing w:before="0"/>
        <w:ind w:left="0" w:right="720"/>
        <w:rPr>
          <w:rFonts w:ascii="Tahoma" w:hAnsi="Tahoma" w:cs="Tahoma"/>
          <w:sz w:val="18"/>
        </w:rPr>
      </w:pPr>
    </w:p>
    <w:p w:rsidR="00456002" w:rsidRPr="00C83DF5" w:rsidRDefault="00456002" w:rsidP="00E16A19">
      <w:pPr>
        <w:pStyle w:val="AppendixBodyText"/>
        <w:spacing w:after="0"/>
        <w:rPr>
          <w:lang w:val="de-DE"/>
        </w:rPr>
      </w:pPr>
      <w:r w:rsidRPr="00C83DF5">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w:t>
      </w:r>
      <w:r w:rsidR="00E71F46" w:rsidRPr="00C83DF5">
        <w:rPr>
          <w:rFonts w:ascii="Tahoma" w:hAnsi="Tahoma" w:cs="Tahoma"/>
          <w:sz w:val="18"/>
          <w:lang w:val="de-DE"/>
        </w:rPr>
        <w:t xml:space="preserve"> </w:t>
      </w:r>
      <w:r w:rsidRPr="00C83DF5">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w:t>
      </w:r>
      <w:r w:rsidR="00E16A19">
        <w:rPr>
          <w:rFonts w:ascii="Tahoma" w:hAnsi="Tahoma" w:cs="Tahoma"/>
          <w:sz w:val="18"/>
          <w:lang w:val="de-DE"/>
        </w:rPr>
        <w:t> </w:t>
      </w:r>
      <w:r w:rsidRPr="00C83DF5">
        <w:rPr>
          <w:rFonts w:ascii="Tahoma" w:hAnsi="Tahoma" w:cs="Tahoma"/>
          <w:sz w:val="18"/>
          <w:lang w:val="de-DE"/>
        </w:rPr>
        <w:t>möchte.</w:t>
      </w:r>
    </w:p>
    <w:p w:rsidR="00255158" w:rsidRDefault="00255158" w:rsidP="00EF6A68">
      <w:pPr>
        <w:rPr>
          <w:lang w:val="de-DE"/>
        </w:rPr>
      </w:pPr>
    </w:p>
    <w:p w:rsidR="000F566D" w:rsidRDefault="000F566D" w:rsidP="00EF6A68">
      <w:pPr>
        <w:rPr>
          <w:lang w:val="de-DE"/>
        </w:rPr>
      </w:pPr>
    </w:p>
    <w:p w:rsidR="000F566D" w:rsidRPr="00C83DF5" w:rsidRDefault="000F566D" w:rsidP="00EF6A68">
      <w:pPr>
        <w:rPr>
          <w:lang w:val="de-DE"/>
        </w:rPr>
      </w:pPr>
    </w:p>
    <w:p w:rsidR="00456002" w:rsidRPr="00C83DF5" w:rsidRDefault="00456002" w:rsidP="00456002">
      <w:pPr>
        <w:pStyle w:val="Heading2"/>
        <w:tabs>
          <w:tab w:val="left" w:pos="90"/>
        </w:tabs>
        <w:ind w:left="0" w:right="720"/>
        <w:rPr>
          <w:lang w:val="de-DE"/>
        </w:rPr>
      </w:pPr>
      <w:bookmarkStart w:id="631" w:name="_Toc323819650"/>
      <w:bookmarkStart w:id="632" w:name="_Toc336338201"/>
      <w:bookmarkStart w:id="633" w:name="_Toc370983309"/>
      <w:r w:rsidRPr="00C83DF5">
        <w:rPr>
          <w:rFonts w:ascii="Tahoma" w:hAnsi="Tahoma" w:cs="Tahoma"/>
          <w:lang w:val="de-DE"/>
        </w:rPr>
        <w:t>Software Assurance</w:t>
      </w:r>
      <w:bookmarkEnd w:id="631"/>
      <w:bookmarkEnd w:id="632"/>
      <w:bookmarkEnd w:id="633"/>
    </w:p>
    <w:p w:rsidR="00456002" w:rsidRPr="00F037D5" w:rsidRDefault="00456002" w:rsidP="00EF6A68">
      <w:pPr>
        <w:pStyle w:val="AppendixBodyText"/>
        <w:tabs>
          <w:tab w:val="left" w:pos="90"/>
        </w:tabs>
        <w:spacing w:after="0"/>
        <w:ind w:right="720"/>
        <w:rPr>
          <w:rFonts w:ascii="Tahoma" w:hAnsi="Tahoma" w:cs="Tahoma"/>
          <w:sz w:val="18"/>
          <w:lang w:val="de-DE" w:eastAsia="ja-JP"/>
        </w:rPr>
      </w:pPr>
    </w:p>
    <w:p w:rsidR="00456002" w:rsidRPr="00C83DF5" w:rsidRDefault="00456002" w:rsidP="000F566D">
      <w:pPr>
        <w:pStyle w:val="AppendixBodyText"/>
        <w:spacing w:after="0"/>
        <w:rPr>
          <w:lang w:val="de-DE"/>
        </w:rPr>
      </w:pPr>
      <w:r w:rsidRPr="00C83DF5">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w:t>
      </w:r>
      <w:r w:rsidR="000F566D">
        <w:rPr>
          <w:rFonts w:ascii="Tahoma" w:hAnsi="Tahoma" w:cs="Tahoma"/>
          <w:sz w:val="18"/>
          <w:lang w:val="de-DE"/>
        </w:rPr>
        <w:t> </w:t>
      </w:r>
      <w:r w:rsidRPr="00C83DF5">
        <w:rPr>
          <w:rFonts w:ascii="Tahoma" w:hAnsi="Tahoma" w:cs="Tahoma"/>
          <w:sz w:val="18"/>
          <w:lang w:val="de-DE"/>
        </w:rPr>
        <w:t>einzelnen Vergünstigungen und Richtlinien finden Sie im Abschnitt „Software Assurance (SA)-Vergünstigungen“ dieses Dokuments.</w:t>
      </w:r>
    </w:p>
    <w:p w:rsidR="00456002" w:rsidRPr="00F037D5" w:rsidRDefault="00456002" w:rsidP="00EF6A68">
      <w:pPr>
        <w:pStyle w:val="AppendixIndent"/>
        <w:tabs>
          <w:tab w:val="left" w:pos="90"/>
        </w:tabs>
        <w:spacing w:before="0"/>
        <w:ind w:left="0" w:right="720"/>
        <w:rPr>
          <w:rFonts w:ascii="Tahoma" w:hAnsi="Tahoma" w:cs="Tahoma"/>
          <w:color w:val="000000"/>
          <w:sz w:val="18"/>
          <w:lang w:val="de-DE"/>
        </w:rPr>
      </w:pPr>
    </w:p>
    <w:p w:rsidR="00456002" w:rsidRPr="00C83DF5" w:rsidRDefault="00456002" w:rsidP="000F566D">
      <w:pPr>
        <w:pStyle w:val="AppendixBodyText"/>
        <w:spacing w:after="0"/>
      </w:pPr>
      <w:r w:rsidRPr="00C83DF5">
        <w:rPr>
          <w:rFonts w:ascii="Tahoma" w:hAnsi="Tahoma" w:cs="Tahoma"/>
          <w:sz w:val="18"/>
          <w:lang w:val="de-DE"/>
        </w:rPr>
        <w:t xml:space="preserve">Informationen zu den Nutzungsrechten für Vergünstigungen finden Sie in den Produktbenutzungsrechten für Volumenlizenzprogramme. </w:t>
      </w:r>
      <w:r w:rsidRPr="00C83DF5">
        <w:rPr>
          <w:rFonts w:ascii="Tahoma" w:hAnsi="Tahoma" w:cs="Tahoma"/>
          <w:sz w:val="18"/>
        </w:rPr>
        <w:t>Software Assurance ist für die folgenden Programme erhältlich:</w:t>
      </w:r>
    </w:p>
    <w:p w:rsidR="00456002" w:rsidRPr="000F566D" w:rsidRDefault="00456002" w:rsidP="00EF6A68">
      <w:pPr>
        <w:pStyle w:val="AppendixIndent"/>
        <w:tabs>
          <w:tab w:val="left" w:pos="90"/>
        </w:tabs>
        <w:spacing w:before="0"/>
        <w:ind w:left="0" w:right="720"/>
        <w:rPr>
          <w:rFonts w:ascii="Tahoma" w:hAnsi="Tahoma" w:cs="Tahoma"/>
          <w:sz w:val="18"/>
        </w:rPr>
      </w:pPr>
    </w:p>
    <w:p w:rsidR="00456002" w:rsidRPr="00C83DF5" w:rsidRDefault="00456002" w:rsidP="00346F4B">
      <w:pPr>
        <w:pStyle w:val="AppendixBulletIndent"/>
        <w:numPr>
          <w:ilvl w:val="0"/>
          <w:numId w:val="64"/>
        </w:numPr>
        <w:tabs>
          <w:tab w:val="left" w:pos="1440"/>
        </w:tabs>
        <w:spacing w:after="60"/>
        <w:ind w:left="1440" w:right="720"/>
      </w:pPr>
      <w:r w:rsidRPr="00C83DF5">
        <w:rPr>
          <w:rFonts w:ascii="Tahoma" w:hAnsi="Tahoma" w:cs="Tahoma"/>
          <w:sz w:val="18"/>
        </w:rPr>
        <w:t xml:space="preserve">Open-Lizenz </w:t>
      </w:r>
    </w:p>
    <w:p w:rsidR="00456002" w:rsidRPr="00C83DF5" w:rsidRDefault="00456002" w:rsidP="00346F4B">
      <w:pPr>
        <w:pStyle w:val="AppendixBulletIndent"/>
        <w:numPr>
          <w:ilvl w:val="0"/>
          <w:numId w:val="64"/>
        </w:numPr>
        <w:tabs>
          <w:tab w:val="left" w:pos="1440"/>
        </w:tabs>
        <w:spacing w:after="60"/>
        <w:ind w:left="1440" w:right="720"/>
      </w:pPr>
      <w:r w:rsidRPr="00C83DF5">
        <w:rPr>
          <w:rFonts w:ascii="Tahoma" w:hAnsi="Tahoma" w:cs="Tahoma"/>
          <w:sz w:val="18"/>
        </w:rPr>
        <w:t xml:space="preserve">Open Value </w:t>
      </w:r>
    </w:p>
    <w:p w:rsidR="00456002" w:rsidRPr="00C83DF5" w:rsidRDefault="00456002" w:rsidP="00346F4B">
      <w:pPr>
        <w:pStyle w:val="AppendixBulletIndent"/>
        <w:numPr>
          <w:ilvl w:val="0"/>
          <w:numId w:val="64"/>
        </w:numPr>
        <w:tabs>
          <w:tab w:val="left" w:pos="1440"/>
        </w:tabs>
        <w:spacing w:after="60"/>
        <w:ind w:left="1440" w:right="720"/>
      </w:pPr>
      <w:r w:rsidRPr="00C83DF5">
        <w:rPr>
          <w:rFonts w:ascii="Tahoma" w:hAnsi="Tahoma" w:cs="Tahoma"/>
          <w:sz w:val="18"/>
        </w:rPr>
        <w:t xml:space="preserve">Select </w:t>
      </w:r>
    </w:p>
    <w:p w:rsidR="00456002" w:rsidRPr="00C83DF5" w:rsidRDefault="00456002" w:rsidP="00346F4B">
      <w:pPr>
        <w:pStyle w:val="AppendixBulletIndent"/>
        <w:numPr>
          <w:ilvl w:val="0"/>
          <w:numId w:val="64"/>
        </w:numPr>
        <w:tabs>
          <w:tab w:val="left" w:pos="1440"/>
        </w:tabs>
        <w:spacing w:after="60"/>
        <w:ind w:left="1440" w:right="720"/>
      </w:pPr>
      <w:r w:rsidRPr="00C83DF5">
        <w:rPr>
          <w:rFonts w:ascii="Tahoma" w:hAnsi="Tahoma" w:cs="Tahoma"/>
          <w:sz w:val="18"/>
        </w:rPr>
        <w:t>Select Plus</w:t>
      </w:r>
    </w:p>
    <w:p w:rsidR="00456002" w:rsidRPr="00C83DF5" w:rsidRDefault="00456002" w:rsidP="00346F4B">
      <w:pPr>
        <w:pStyle w:val="AppendixBulletIndent"/>
        <w:numPr>
          <w:ilvl w:val="0"/>
          <w:numId w:val="64"/>
        </w:numPr>
        <w:tabs>
          <w:tab w:val="left" w:pos="1440"/>
        </w:tabs>
        <w:ind w:left="1440" w:right="720"/>
      </w:pPr>
      <w:r w:rsidRPr="00C83DF5">
        <w:rPr>
          <w:rFonts w:ascii="Tahoma" w:hAnsi="Tahoma" w:cs="Tahoma"/>
          <w:sz w:val="18"/>
        </w:rPr>
        <w:t>Konzernbeitritt</w:t>
      </w:r>
    </w:p>
    <w:p w:rsidR="00B215EA" w:rsidRPr="00C83DF5" w:rsidRDefault="00B215EA" w:rsidP="00346F4B">
      <w:pPr>
        <w:pStyle w:val="AppendixBulletIndent"/>
        <w:numPr>
          <w:ilvl w:val="0"/>
          <w:numId w:val="64"/>
        </w:numPr>
        <w:tabs>
          <w:tab w:val="left" w:pos="1440"/>
        </w:tabs>
        <w:ind w:left="1440" w:right="720"/>
      </w:pPr>
      <w:r w:rsidRPr="00C83DF5">
        <w:rPr>
          <w:rFonts w:ascii="Tahoma" w:hAnsi="Tahoma" w:cs="Tahoma"/>
          <w:sz w:val="18"/>
        </w:rPr>
        <w:t>Server- und Cloud-Beitritt</w:t>
      </w:r>
    </w:p>
    <w:p w:rsidR="00456002" w:rsidRPr="000F566D" w:rsidRDefault="00456002" w:rsidP="00B147AB">
      <w:pPr>
        <w:pStyle w:val="AppendixIndent"/>
        <w:spacing w:before="0"/>
        <w:ind w:left="0" w:right="720"/>
        <w:rPr>
          <w:rFonts w:ascii="Tahoma" w:hAnsi="Tahoma" w:cs="Tahoma"/>
          <w:sz w:val="18"/>
        </w:rPr>
      </w:pPr>
    </w:p>
    <w:p w:rsidR="00456002" w:rsidRPr="00C83DF5" w:rsidRDefault="00456002" w:rsidP="000F566D">
      <w:pPr>
        <w:pStyle w:val="AppendixIndent"/>
        <w:spacing w:before="0"/>
        <w:ind w:left="0"/>
      </w:pPr>
      <w:r w:rsidRPr="00C83DF5">
        <w:rPr>
          <w:rFonts w:ascii="Tahoma" w:hAnsi="Tahoma" w:cs="Tahoma"/>
          <w:sz w:val="18"/>
          <w:lang w:val="de-DE"/>
        </w:rPr>
        <w:t>Es gibt drei verschiedene Abnahmestufen, die ein Kunde für Software Assurance auswählen kann.</w:t>
      </w:r>
      <w:r w:rsidR="00E71F46" w:rsidRPr="00C83DF5">
        <w:rPr>
          <w:rFonts w:ascii="Tahoma" w:hAnsi="Tahoma" w:cs="Tahoma"/>
          <w:sz w:val="18"/>
          <w:lang w:val="de-DE"/>
        </w:rPr>
        <w:t xml:space="preserve"> </w:t>
      </w:r>
      <w:r w:rsidRPr="00C83DF5">
        <w:rPr>
          <w:rFonts w:ascii="Tahoma" w:hAnsi="Tahoma" w:cs="Tahoma"/>
          <w:sz w:val="18"/>
          <w:lang w:val="de-DE"/>
        </w:rPr>
        <w:t>Die verfügbaren Stufen hängen vom Programm ab.</w:t>
      </w:r>
      <w:r w:rsidR="00E71F46" w:rsidRPr="00C83DF5">
        <w:rPr>
          <w:rFonts w:ascii="Tahoma" w:hAnsi="Tahoma" w:cs="Tahoma"/>
          <w:sz w:val="18"/>
          <w:lang w:val="de-DE"/>
        </w:rPr>
        <w:t xml:space="preserve"> </w:t>
      </w:r>
      <w:r w:rsidRPr="00C83DF5">
        <w:rPr>
          <w:rFonts w:ascii="Tahoma" w:hAnsi="Tahoma" w:cs="Tahoma"/>
          <w:sz w:val="18"/>
          <w:lang w:val="de-DE"/>
        </w:rPr>
        <w:t>Die Software Assurance-Abnahmestufe eines Kunden ist einer von vielen Faktoren, die die Vergünstigungsberechtigung eines Kunden bestimmen.</w:t>
      </w:r>
      <w:r w:rsidR="00E71F46" w:rsidRPr="00C83DF5">
        <w:rPr>
          <w:rFonts w:ascii="Tahoma" w:hAnsi="Tahoma" w:cs="Tahoma"/>
          <w:sz w:val="18"/>
          <w:lang w:val="de-DE"/>
        </w:rPr>
        <w:t xml:space="preserve"> </w:t>
      </w:r>
      <w:r w:rsidRPr="00C83DF5">
        <w:rPr>
          <w:rFonts w:ascii="Tahoma" w:hAnsi="Tahoma" w:cs="Tahoma"/>
          <w:sz w:val="18"/>
        </w:rPr>
        <w:t>Ein Kunde kann</w:t>
      </w:r>
    </w:p>
    <w:p w:rsidR="004C08A3" w:rsidRPr="000F566D" w:rsidRDefault="004C08A3" w:rsidP="000F566D">
      <w:pPr>
        <w:pStyle w:val="AppendixIndent"/>
        <w:spacing w:before="0"/>
        <w:ind w:left="0" w:right="720"/>
        <w:rPr>
          <w:rFonts w:ascii="Tahoma" w:hAnsi="Tahoma" w:cs="Tahoma"/>
          <w:sz w:val="18"/>
        </w:rPr>
      </w:pPr>
    </w:p>
    <w:p w:rsidR="00456002" w:rsidRPr="00C83DF5" w:rsidRDefault="00456002" w:rsidP="000F566D">
      <w:pPr>
        <w:pStyle w:val="AppendixIndent"/>
        <w:numPr>
          <w:ilvl w:val="0"/>
          <w:numId w:val="65"/>
        </w:numPr>
        <w:ind w:left="1440"/>
        <w:rPr>
          <w:lang w:val="de-DE"/>
        </w:rPr>
      </w:pPr>
      <w:r w:rsidRPr="00C83DF5">
        <w:rPr>
          <w:rFonts w:ascii="Tahoma" w:hAnsi="Tahoma" w:cs="Tahoma"/>
          <w:sz w:val="18"/>
          <w:lang w:val="de-DE"/>
        </w:rPr>
        <w:t>sich verpflichten, Software Assurance für alle Plattformprodukte zu erwerben.</w:t>
      </w:r>
      <w:r w:rsidR="00E71F46" w:rsidRPr="00C83DF5">
        <w:rPr>
          <w:rFonts w:ascii="Tahoma" w:hAnsi="Tahoma" w:cs="Tahoma"/>
          <w:sz w:val="18"/>
          <w:lang w:val="de-DE"/>
        </w:rPr>
        <w:t xml:space="preserve"> </w:t>
      </w:r>
      <w:r w:rsidRPr="00C83DF5">
        <w:rPr>
          <w:rFonts w:ascii="Tahoma" w:hAnsi="Tahoma" w:cs="Tahoma"/>
          <w:sz w:val="18"/>
          <w:lang w:val="de-DE"/>
        </w:rPr>
        <w:t>Diese Stufe ist in der Regel für Konzernvertrag und Open Value verfügbar.</w:t>
      </w:r>
    </w:p>
    <w:p w:rsidR="00456002" w:rsidRPr="00C83DF5" w:rsidRDefault="00456002" w:rsidP="000F566D">
      <w:pPr>
        <w:pStyle w:val="AppendixIndent"/>
        <w:numPr>
          <w:ilvl w:val="0"/>
          <w:numId w:val="65"/>
        </w:numPr>
        <w:ind w:left="1440"/>
      </w:pPr>
      <w:r w:rsidRPr="00C83DF5">
        <w:rPr>
          <w:rFonts w:ascii="Tahoma" w:hAnsi="Tahoma" w:cs="Tahoma"/>
          <w:sz w:val="18"/>
          <w:lang w:val="de-DE"/>
        </w:rPr>
        <w:t>sich verpflichten, Software Assurance für alle Erwerbe unter einem bestimmten Produktpool (Anwendungen, Systeme oder Server) zu erwerben.</w:t>
      </w:r>
      <w:r w:rsidR="00E71F46" w:rsidRPr="00C83DF5">
        <w:rPr>
          <w:rFonts w:ascii="Tahoma" w:hAnsi="Tahoma" w:cs="Tahoma"/>
          <w:sz w:val="18"/>
          <w:lang w:val="de-DE"/>
        </w:rPr>
        <w:t xml:space="preserve"> </w:t>
      </w:r>
      <w:r w:rsidRPr="00C83DF5">
        <w:rPr>
          <w:rFonts w:ascii="Tahoma" w:hAnsi="Tahoma" w:cs="Tahoma"/>
          <w:sz w:val="18"/>
          <w:lang w:val="de-DE"/>
        </w:rPr>
        <w:t xml:space="preserve">Dies wird als Mitgliedschaft bei Software Assurance (Software Assurance Membership, SAM) bezeichnet. Eine unternehmensweite Abnahmeverpflichtung für Software Assurance ist hierfür nicht erforderlich. </w:t>
      </w:r>
      <w:r w:rsidRPr="00C83DF5">
        <w:rPr>
          <w:rFonts w:ascii="Tahoma" w:hAnsi="Tahoma" w:cs="Tahoma"/>
          <w:sz w:val="18"/>
        </w:rPr>
        <w:t>Diese Stufe ist in der</w:t>
      </w:r>
      <w:r w:rsidR="000F566D">
        <w:rPr>
          <w:rFonts w:ascii="Tahoma" w:hAnsi="Tahoma" w:cs="Tahoma"/>
          <w:sz w:val="18"/>
        </w:rPr>
        <w:t> </w:t>
      </w:r>
      <w:r w:rsidRPr="00C83DF5">
        <w:rPr>
          <w:rFonts w:ascii="Tahoma" w:hAnsi="Tahoma" w:cs="Tahoma"/>
          <w:sz w:val="18"/>
        </w:rPr>
        <w:t>Regel für Select verfügbar.</w:t>
      </w:r>
    </w:p>
    <w:p w:rsidR="00456002" w:rsidRPr="00C83DF5" w:rsidRDefault="00456002" w:rsidP="000F566D">
      <w:pPr>
        <w:pStyle w:val="AppendixIndent"/>
        <w:numPr>
          <w:ilvl w:val="0"/>
          <w:numId w:val="65"/>
        </w:numPr>
        <w:ind w:left="1440"/>
        <w:rPr>
          <w:lang w:val="de-DE"/>
        </w:rPr>
      </w:pPr>
      <w:r w:rsidRPr="00C83DF5">
        <w:rPr>
          <w:rFonts w:ascii="Tahoma" w:hAnsi="Tahoma" w:cs="Tahoma"/>
          <w:sz w:val="18"/>
          <w:lang w:val="de-DE"/>
        </w:rPr>
        <w:t>Software Assurance für einzelne Produkte erwerben, ohne sich zur Ausweitung von Software Assurance auf andere Produkte zu verpflichten.</w:t>
      </w:r>
    </w:p>
    <w:p w:rsidR="0053106B" w:rsidRPr="00F037D5" w:rsidRDefault="0053106B" w:rsidP="00A64B70">
      <w:pPr>
        <w:pStyle w:val="AppendixBodyText"/>
        <w:spacing w:after="0"/>
        <w:ind w:right="720"/>
        <w:rPr>
          <w:rFonts w:ascii="Tahoma" w:hAnsi="Tahoma" w:cs="Tahoma"/>
          <w:sz w:val="18"/>
          <w:lang w:val="de-DE" w:eastAsia="ja-JP"/>
        </w:rPr>
      </w:pPr>
    </w:p>
    <w:p w:rsidR="00456002" w:rsidRPr="00C83DF5" w:rsidRDefault="00456002" w:rsidP="00814733">
      <w:pPr>
        <w:pStyle w:val="AppendixBodyText"/>
        <w:spacing w:after="0"/>
        <w:rPr>
          <w:lang w:val="de-DE"/>
        </w:rPr>
      </w:pPr>
      <w:r w:rsidRPr="00C83DF5">
        <w:rPr>
          <w:rFonts w:ascii="Tahoma" w:hAnsi="Tahoma" w:cs="Tahoma"/>
          <w:sz w:val="18"/>
          <w:lang w:val="de-DE"/>
        </w:rPr>
        <w:t>Software Assurance muss zeitgleich mit der Lizenz oder bei Verlängerung einer bestehenden Software Assurance-Laufzeit erworben werden.</w:t>
      </w:r>
      <w:r w:rsidR="00E71F46" w:rsidRPr="00C83DF5">
        <w:rPr>
          <w:rFonts w:ascii="Tahoma" w:hAnsi="Tahoma" w:cs="Tahoma"/>
          <w:sz w:val="18"/>
          <w:lang w:val="de-DE"/>
        </w:rPr>
        <w:t xml:space="preserve"> </w:t>
      </w:r>
      <w:r w:rsidRPr="00C83DF5">
        <w:rPr>
          <w:rFonts w:ascii="Tahoma" w:hAnsi="Tahoma" w:cs="Tahoma"/>
          <w:sz w:val="18"/>
          <w:lang w:val="de-DE"/>
        </w:rPr>
        <w:t>Andernfalls muss der Kunde eine neue Lizenz oder Lizenz und Software Assurance erwerben, um die Lizenz zu einem späteren Datum upzugraden (für das Windows Desktop-Betriebssystem ist die Option Upgrade und Software Assurance verfügbar).</w:t>
      </w:r>
      <w:r w:rsidR="00E71F46" w:rsidRPr="00C83DF5">
        <w:rPr>
          <w:rFonts w:ascii="Tahoma" w:hAnsi="Tahoma" w:cs="Tahoma"/>
          <w:sz w:val="18"/>
          <w:lang w:val="de-DE"/>
        </w:rPr>
        <w:t xml:space="preserve"> </w:t>
      </w:r>
      <w:r w:rsidRPr="00C83DF5">
        <w:rPr>
          <w:rFonts w:ascii="Tahoma" w:hAnsi="Tahoma" w:cs="Tahoma"/>
          <w:sz w:val="18"/>
          <w:lang w:val="de-DE"/>
        </w:rPr>
        <w:t>EAP-Kunden, die zuvor Lizenz-SKUs zurückgestellt haben (SApriorL), müssen ein Buy-Out ihrer Lizenzen durchführen, bevor sie Software Assurance verlängern können.</w:t>
      </w:r>
      <w:r w:rsidR="00E71F46" w:rsidRPr="00C83DF5">
        <w:rPr>
          <w:rFonts w:ascii="Tahoma" w:hAnsi="Tahoma" w:cs="Tahoma"/>
          <w:sz w:val="18"/>
          <w:lang w:val="de-DE"/>
        </w:rPr>
        <w:t xml:space="preserve"> </w:t>
      </w:r>
      <w:r w:rsidRPr="00C83DF5">
        <w:rPr>
          <w:rFonts w:ascii="Tahoma" w:hAnsi="Tahoma" w:cs="Tahoma"/>
          <w:sz w:val="18"/>
          <w:lang w:val="de-DE"/>
        </w:rPr>
        <w:t>Die</w:t>
      </w:r>
      <w:r w:rsidR="00814733">
        <w:rPr>
          <w:rFonts w:ascii="Tahoma" w:hAnsi="Tahoma" w:cs="Tahoma"/>
          <w:sz w:val="18"/>
          <w:lang w:val="de-DE"/>
        </w:rPr>
        <w:t> </w:t>
      </w:r>
      <w:r w:rsidRPr="00C83DF5">
        <w:rPr>
          <w:rFonts w:ascii="Tahoma" w:hAnsi="Tahoma" w:cs="Tahoma"/>
          <w:sz w:val="18"/>
          <w:lang w:val="de-DE"/>
        </w:rPr>
        <w:t>Berechtigungsvorschriften für den Erwerb von Software Assurance finden Sie im Abschnitt zu den Verlängerungsvorschriften und im jeweiligen Programmvertrag.</w:t>
      </w:r>
    </w:p>
    <w:p w:rsidR="004C08A3" w:rsidRPr="00814733" w:rsidRDefault="004C08A3" w:rsidP="00A64B70">
      <w:pPr>
        <w:pStyle w:val="AppendixBodyText"/>
        <w:spacing w:after="0"/>
        <w:rPr>
          <w:rFonts w:ascii="Tahoma" w:hAnsi="Tahoma" w:cs="Tahoma"/>
          <w:sz w:val="18"/>
          <w:lang w:val="de-DE" w:eastAsia="ja-JP"/>
        </w:rPr>
      </w:pPr>
    </w:p>
    <w:p w:rsidR="00456002" w:rsidRPr="00C83DF5" w:rsidRDefault="00456002" w:rsidP="00814733">
      <w:pPr>
        <w:pStyle w:val="AppendixBodyText"/>
        <w:spacing w:after="0"/>
        <w:rPr>
          <w:lang w:val="de-DE"/>
        </w:rPr>
      </w:pPr>
      <w:r w:rsidRPr="00C83DF5">
        <w:rPr>
          <w:rFonts w:ascii="Tahoma" w:hAnsi="Tahoma" w:cs="Tahoma"/>
          <w:sz w:val="18"/>
          <w:lang w:val="de-DE"/>
        </w:rPr>
        <w:t>Bei einer Übertragung von zeitlich unbeschränkten Lizenzen ist der Übertragungsempfänger berechtigt, innerhalb von</w:t>
      </w:r>
      <w:r w:rsidR="00814733">
        <w:rPr>
          <w:rFonts w:ascii="Tahoma" w:hAnsi="Tahoma" w:cs="Tahoma"/>
          <w:sz w:val="18"/>
          <w:lang w:val="de-DE"/>
        </w:rPr>
        <w:t> </w:t>
      </w:r>
      <w:r w:rsidRPr="00C83DF5">
        <w:rPr>
          <w:rFonts w:ascii="Tahoma" w:hAnsi="Tahoma" w:cs="Tahoma"/>
          <w:sz w:val="18"/>
          <w:lang w:val="de-DE"/>
        </w:rPr>
        <w:t>30 Tagen ab dem Übertragungsdatum Software Assurance für diese übertragenen Lizenzen zu erwerben, sofern</w:t>
      </w:r>
      <w:r w:rsidR="00814733">
        <w:rPr>
          <w:rFonts w:ascii="Tahoma" w:hAnsi="Tahoma" w:cs="Tahoma"/>
          <w:sz w:val="18"/>
          <w:lang w:val="de-DE"/>
        </w:rPr>
        <w:t> </w:t>
      </w:r>
      <w:r w:rsidRPr="00C83DF5">
        <w:rPr>
          <w:rFonts w:ascii="Tahoma" w:hAnsi="Tahoma" w:cs="Tahoma"/>
          <w:sz w:val="18"/>
          <w:lang w:val="de-DE"/>
        </w:rPr>
        <w:t xml:space="preserve">die übertragenen Lizenzen zum Zeitpunkt der Übertragung über aktive Software Assurance verfügten. </w:t>
      </w:r>
    </w:p>
    <w:p w:rsidR="004C08A3" w:rsidRPr="00814733" w:rsidRDefault="004C08A3" w:rsidP="00A64B70">
      <w:pPr>
        <w:pStyle w:val="AppendixBodyText"/>
        <w:spacing w:after="0"/>
        <w:rPr>
          <w:rFonts w:ascii="Tahoma" w:hAnsi="Tahoma" w:cs="Tahoma"/>
          <w:sz w:val="18"/>
          <w:lang w:val="de-DE" w:eastAsia="ja-JP"/>
        </w:rPr>
      </w:pPr>
    </w:p>
    <w:p w:rsidR="00456002" w:rsidRPr="00C83DF5" w:rsidRDefault="00456002" w:rsidP="004F0702">
      <w:pPr>
        <w:pStyle w:val="AppendixBodyText"/>
        <w:spacing w:after="0"/>
        <w:rPr>
          <w:lang w:val="de-DE"/>
        </w:rPr>
      </w:pPr>
      <w:r w:rsidRPr="00C83DF5">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 Die</w:t>
      </w:r>
      <w:r w:rsidR="00814733">
        <w:rPr>
          <w:rFonts w:ascii="Tahoma" w:hAnsi="Tahoma" w:cs="Tahoma"/>
          <w:sz w:val="18"/>
          <w:lang w:val="de-DE"/>
        </w:rPr>
        <w:t> </w:t>
      </w:r>
      <w:r w:rsidRPr="00C83DF5">
        <w:rPr>
          <w:rFonts w:ascii="Tahoma" w:hAnsi="Tahoma" w:cs="Tahoma"/>
          <w:sz w:val="18"/>
          <w:lang w:val="de-DE"/>
        </w:rPr>
        <w:t>Berechtigung hängt vom Programm, vom Produktpool und der Lizenzherkunft ab (siehe unten).</w:t>
      </w:r>
      <w:r w:rsidR="00E71F46" w:rsidRPr="00C83DF5">
        <w:rPr>
          <w:rFonts w:ascii="Tahoma" w:hAnsi="Tahoma" w:cs="Tahoma"/>
          <w:sz w:val="18"/>
          <w:lang w:val="de-DE"/>
        </w:rPr>
        <w:t xml:space="preserve"> </w:t>
      </w:r>
      <w:r w:rsidRPr="00C83DF5">
        <w:rPr>
          <w:rFonts w:ascii="Tahoma" w:hAnsi="Tahoma" w:cs="Tahoma"/>
          <w:sz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00E71F46" w:rsidRPr="00C83DF5">
        <w:rPr>
          <w:rFonts w:ascii="Tahoma" w:hAnsi="Tahoma" w:cs="Tahoma"/>
          <w:sz w:val="18"/>
          <w:lang w:val="de-DE"/>
        </w:rPr>
        <w:t xml:space="preserve"> </w:t>
      </w:r>
      <w:r w:rsidRPr="00C83DF5">
        <w:rPr>
          <w:rFonts w:ascii="Tahoma" w:hAnsi="Tahoma" w:cs="Tahoma"/>
          <w:sz w:val="18"/>
          <w:lang w:val="de-DE"/>
        </w:rPr>
        <w:t>Unter dem Open Value-Programm gilt diese Option nur für nicht organisationsweite/unternehmensweite Produkte.</w:t>
      </w:r>
      <w:r w:rsidR="00E71F46" w:rsidRPr="00C83DF5">
        <w:rPr>
          <w:rFonts w:ascii="Tahoma" w:hAnsi="Tahoma" w:cs="Tahoma"/>
          <w:sz w:val="18"/>
          <w:lang w:val="de-DE"/>
        </w:rPr>
        <w:t xml:space="preserve"> </w:t>
      </w:r>
      <w:r w:rsidRPr="00C83DF5">
        <w:rPr>
          <w:rFonts w:ascii="Tahoma" w:hAnsi="Tahoma" w:cs="Tahoma"/>
          <w:sz w:val="18"/>
          <w:lang w:val="de-DE"/>
        </w:rPr>
        <w:t>Unter Konzernverträgen gilt sie nur für Zusätzliche Produkte innerhalb von 90 Tagen.</w:t>
      </w:r>
      <w:r w:rsidR="00E71F46" w:rsidRPr="00C83DF5">
        <w:rPr>
          <w:rFonts w:ascii="Tahoma" w:hAnsi="Tahoma" w:cs="Tahoma"/>
          <w:sz w:val="18"/>
          <w:lang w:val="de-DE"/>
        </w:rPr>
        <w:t xml:space="preserve"> </w:t>
      </w:r>
      <w:r w:rsidRPr="00C83DF5">
        <w:rPr>
          <w:rFonts w:ascii="Tahoma" w:hAnsi="Tahoma" w:cs="Tahoma"/>
          <w:sz w:val="18"/>
          <w:lang w:val="de-DE"/>
        </w:rPr>
        <w:t>Kunden, die Software</w:t>
      </w:r>
      <w:r w:rsidR="004F0702">
        <w:rPr>
          <w:rFonts w:ascii="Tahoma" w:hAnsi="Tahoma" w:cs="Tahoma"/>
          <w:sz w:val="18"/>
          <w:lang w:val="de-DE"/>
        </w:rPr>
        <w:t> </w:t>
      </w:r>
      <w:r w:rsidRPr="00C83DF5">
        <w:rPr>
          <w:rFonts w:ascii="Tahoma" w:hAnsi="Tahoma" w:cs="Tahoma"/>
          <w:sz w:val="18"/>
          <w:lang w:val="de-DE"/>
        </w:rPr>
        <w:t>Assurance für OEM- oder Einzelhandelslizenzen erwerben, haben die Möglichkeit, die Volumenlizenzsoftware für die aktuelle Version jederzeit zu installieren und zu verwenden.</w:t>
      </w:r>
      <w:r w:rsidR="00E71F46" w:rsidRPr="00C83DF5">
        <w:rPr>
          <w:rFonts w:ascii="Tahoma" w:hAnsi="Tahoma" w:cs="Tahoma"/>
          <w:sz w:val="18"/>
          <w:lang w:val="de-DE"/>
        </w:rPr>
        <w:t xml:space="preserve"> </w:t>
      </w:r>
      <w:r w:rsidRPr="00C83DF5">
        <w:rPr>
          <w:rFonts w:ascii="Tahoma" w:hAnsi="Tahoma" w:cs="Tahoma"/>
          <w:sz w:val="18"/>
          <w:lang w:val="de-DE"/>
        </w:rPr>
        <w:t>In diesem Fall unterliegt ihre Nutzung der Software den Produktbenutzungsrechten für dieses Produkt und den Bestimmungen des Volumenlizenzvertrages des</w:t>
      </w:r>
      <w:r w:rsidR="004F0702">
        <w:rPr>
          <w:rFonts w:ascii="Tahoma" w:hAnsi="Tahoma" w:cs="Tahoma"/>
          <w:sz w:val="18"/>
          <w:lang w:val="de-DE"/>
        </w:rPr>
        <w:t> </w:t>
      </w:r>
      <w:r w:rsidRPr="00C83DF5">
        <w:rPr>
          <w:rFonts w:ascii="Tahoma" w:hAnsi="Tahoma" w:cs="Tahoma"/>
          <w:sz w:val="18"/>
          <w:lang w:val="de-DE"/>
        </w:rPr>
        <w:t>Kunden.</w:t>
      </w:r>
    </w:p>
    <w:p w:rsidR="00456002" w:rsidRPr="00C83DF5" w:rsidRDefault="00456002" w:rsidP="00B147AB">
      <w:pPr>
        <w:pStyle w:val="AppendixIndent"/>
        <w:spacing w:before="0"/>
        <w:ind w:left="0" w:right="720"/>
        <w:rPr>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C83DF5" w:rsidTr="00E409A7">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C83DF5" w:rsidRDefault="00456002" w:rsidP="005C647E">
            <w:pPr>
              <w:pStyle w:val="AppendixTableHeadings"/>
              <w:rPr>
                <w:rFonts w:ascii="Tahoma" w:hAnsi="Tahoma" w:cs="Tahoma"/>
                <w:sz w:val="20"/>
                <w:szCs w:val="20"/>
                <w:lang w:val="de-DE"/>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C83DF5" w:rsidRDefault="00456002" w:rsidP="005C647E">
            <w:pPr>
              <w:pStyle w:val="AppendixTableHeadings"/>
              <w:rPr>
                <w:rFonts w:ascii="Tahoma" w:hAnsi="Tahoma" w:cs="Tahoma"/>
                <w:sz w:val="20"/>
              </w:rPr>
            </w:pPr>
            <w:r w:rsidRPr="00C83DF5">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C83DF5" w:rsidRDefault="00456002" w:rsidP="005C647E">
            <w:pPr>
              <w:pStyle w:val="AppendixTableHeadings"/>
              <w:rPr>
                <w:rFonts w:ascii="Tahoma" w:hAnsi="Tahoma" w:cs="Tahoma"/>
                <w:sz w:val="20"/>
              </w:rPr>
            </w:pPr>
            <w:r w:rsidRPr="00C83DF5">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C83DF5" w:rsidRDefault="00456002" w:rsidP="005C647E">
            <w:pPr>
              <w:pStyle w:val="AppendixTableHeadings"/>
              <w:rPr>
                <w:rFonts w:ascii="Tahoma" w:hAnsi="Tahoma" w:cs="Tahoma"/>
                <w:sz w:val="20"/>
              </w:rPr>
            </w:pPr>
            <w:r w:rsidRPr="00C83DF5">
              <w:rPr>
                <w:rFonts w:ascii="Tahoma" w:hAnsi="Tahoma" w:cs="Tahoma"/>
                <w:sz w:val="20"/>
              </w:rPr>
              <w:t>Programme</w:t>
            </w:r>
          </w:p>
        </w:tc>
      </w:tr>
      <w:tr w:rsidR="00456002" w:rsidRPr="00572E9D" w:rsidTr="00E409A7">
        <w:trPr>
          <w:trHeight w:val="539"/>
        </w:trPr>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b/>
                <w:color w:val="000000"/>
                <w:sz w:val="20"/>
                <w:szCs w:val="20"/>
              </w:rPr>
            </w:pPr>
            <w:r w:rsidRPr="00C83DF5">
              <w:rPr>
                <w:rFonts w:ascii="Tahoma" w:hAnsi="Tahoma" w:cs="Tahoma"/>
                <w:b/>
                <w:color w:val="000000"/>
                <w:sz w:val="20"/>
                <w:szCs w:val="20"/>
              </w:rPr>
              <w:t xml:space="preserve">Anwendungs-Pool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color w:val="000000"/>
              </w:rPr>
            </w:pPr>
            <w:r w:rsidRPr="00C83DF5">
              <w:rPr>
                <w:rFonts w:ascii="Tahoma" w:hAnsi="Tahoma" w:cs="Tahoma"/>
                <w:color w:val="000000"/>
              </w:rPr>
              <w:t>-</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color w:val="000000"/>
                <w:lang w:val="de-DE"/>
              </w:rPr>
            </w:pPr>
            <w:r w:rsidRPr="00C83DF5">
              <w:rPr>
                <w:rFonts w:ascii="Tahoma" w:hAnsi="Tahoma" w:cs="Tahoma"/>
                <w:color w:val="000000"/>
                <w:lang w:val="de-DE"/>
              </w:rPr>
              <w:t>SA nur wie nachstehend aufgeführt verfügbar</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572E9D" w:rsidRDefault="00456002" w:rsidP="00E409A7">
            <w:pPr>
              <w:pStyle w:val="AppendixTableText"/>
              <w:jc w:val="left"/>
              <w:rPr>
                <w:rFonts w:ascii="Tahoma" w:hAnsi="Tahoma" w:cs="Tahoma"/>
                <w:color w:val="000000"/>
                <w:lang w:val="de-DE"/>
              </w:rPr>
            </w:pPr>
            <w:r w:rsidRPr="00C83DF5">
              <w:rPr>
                <w:rFonts w:ascii="Tahoma" w:hAnsi="Tahoma" w:cs="Tahoma"/>
                <w:color w:val="000000"/>
                <w:lang w:val="de-DE"/>
              </w:rPr>
              <w:t>Gilt für Open-Lizenz, Select, Select</w:t>
            </w:r>
            <w:r w:rsidR="00E409A7">
              <w:rPr>
                <w:rFonts w:ascii="Tahoma" w:hAnsi="Tahoma" w:cs="Tahoma"/>
                <w:color w:val="000000"/>
                <w:lang w:val="de-DE"/>
              </w:rPr>
              <w:t> </w:t>
            </w:r>
            <w:r w:rsidRPr="00C83DF5">
              <w:rPr>
                <w:rFonts w:ascii="Tahoma" w:hAnsi="Tahoma" w:cs="Tahoma"/>
                <w:color w:val="000000"/>
                <w:lang w:val="de-DE"/>
              </w:rPr>
              <w:t xml:space="preserve">Plus und die nicht </w:t>
            </w:r>
            <w:r w:rsidRPr="00C83DF5">
              <w:rPr>
                <w:rFonts w:ascii="Tahoma" w:hAnsi="Tahoma" w:cs="Tahoma"/>
                <w:lang w:val="de-DE"/>
              </w:rPr>
              <w:t>Organisationsweite/Unternehmensweite</w:t>
            </w:r>
            <w:r w:rsidRPr="00C83DF5">
              <w:rPr>
                <w:rFonts w:ascii="Tahoma" w:hAnsi="Tahoma" w:cs="Tahoma"/>
                <w:color w:val="000000"/>
                <w:lang w:val="de-DE"/>
              </w:rPr>
              <w:t xml:space="preserve"> Option unter Open Value-Verträgen sowie Zusätzliche Produkte unter Konzernverträgen. </w:t>
            </w:r>
            <w:r w:rsidRPr="00572E9D">
              <w:rPr>
                <w:rFonts w:ascii="Tahoma" w:hAnsi="Tahoma" w:cs="Tahoma"/>
                <w:color w:val="000000"/>
                <w:lang w:val="de-DE"/>
              </w:rPr>
              <w:t>Gilt nicht für Konzernprodukte unter Open Value- und Konzernverträgen</w:t>
            </w:r>
          </w:p>
        </w:tc>
      </w:tr>
      <w:tr w:rsidR="00456002" w:rsidRPr="00C83DF5" w:rsidTr="00E409A7">
        <w:trPr>
          <w:trHeight w:val="278"/>
        </w:trPr>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b/>
                <w:color w:val="000000"/>
                <w:sz w:val="20"/>
                <w:szCs w:val="20"/>
              </w:rPr>
            </w:pPr>
            <w:r w:rsidRPr="00C83DF5">
              <w:rPr>
                <w:rFonts w:ascii="Tahoma" w:hAnsi="Tahoma" w:cs="Tahoma"/>
                <w:b/>
                <w:color w:val="000000"/>
                <w:sz w:val="20"/>
                <w:szCs w:val="20"/>
              </w:rPr>
              <w:t xml:space="preserve">System-Pool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color w:val="000000"/>
              </w:rPr>
            </w:pPr>
            <w:r w:rsidRPr="00C83DF5">
              <w:rPr>
                <w:rFonts w:ascii="Tahoma" w:hAnsi="Tahoma" w:cs="Tahoma"/>
                <w:color w:val="000000"/>
              </w:rPr>
              <w:t xml:space="preserve">SA verfügbar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color w:val="000000"/>
              </w:rPr>
            </w:pPr>
            <w:r w:rsidRPr="00C83DF5">
              <w:rPr>
                <w:rFonts w:ascii="Tahoma" w:hAnsi="Tahoma" w:cs="Tahoma"/>
                <w:color w:val="000000"/>
              </w:rPr>
              <w:t xml:space="preserve">SA verfügbar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rPr>
                <w:rFonts w:cs="Tahoma"/>
                <w:color w:val="000000"/>
                <w:szCs w:val="18"/>
              </w:rPr>
            </w:pPr>
          </w:p>
        </w:tc>
      </w:tr>
      <w:tr w:rsidR="00456002" w:rsidRPr="00C83DF5" w:rsidTr="00E409A7">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b/>
                <w:color w:val="000000"/>
                <w:sz w:val="20"/>
                <w:szCs w:val="20"/>
              </w:rPr>
            </w:pPr>
            <w:r w:rsidRPr="00C83DF5">
              <w:rPr>
                <w:rFonts w:ascii="Tahoma" w:hAnsi="Tahoma" w:cs="Tahoma"/>
                <w:b/>
                <w:color w:val="000000"/>
                <w:sz w:val="20"/>
                <w:szCs w:val="20"/>
              </w:rPr>
              <w:t>Server-Pool</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color w:val="000000"/>
              </w:rPr>
            </w:pPr>
            <w:r w:rsidRPr="00C83DF5">
              <w:rPr>
                <w:rFonts w:ascii="Tahoma" w:hAnsi="Tahoma" w:cs="Tahoma"/>
                <w:color w:val="000000"/>
              </w:rPr>
              <w:t xml:space="preserve">SA verfügbar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pStyle w:val="AppendixTableText"/>
              <w:rPr>
                <w:rFonts w:ascii="Tahoma" w:hAnsi="Tahoma" w:cs="Tahoma"/>
                <w:color w:val="000000"/>
              </w:rPr>
            </w:pPr>
            <w:r w:rsidRPr="00C83DF5">
              <w:rPr>
                <w:rFonts w:ascii="Tahoma" w:hAnsi="Tahoma" w:cs="Tahoma"/>
                <w:color w:val="000000"/>
              </w:rPr>
              <w:t>SA verfügbar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C83DF5" w:rsidRDefault="00456002" w:rsidP="005C647E">
            <w:pPr>
              <w:rPr>
                <w:rFonts w:cs="Tahoma"/>
                <w:color w:val="000000"/>
                <w:szCs w:val="18"/>
              </w:rPr>
            </w:pPr>
          </w:p>
        </w:tc>
      </w:tr>
    </w:tbl>
    <w:p w:rsidR="00456002" w:rsidRPr="00572E9D" w:rsidRDefault="00456002" w:rsidP="00456002">
      <w:pPr>
        <w:ind w:right="720"/>
        <w:rPr>
          <w:rFonts w:cs="Tahoma"/>
          <w:szCs w:val="18"/>
        </w:rPr>
      </w:pPr>
    </w:p>
    <w:p w:rsidR="00456002" w:rsidRPr="00C83DF5" w:rsidRDefault="00456002" w:rsidP="00572E9D">
      <w:pPr>
        <w:pStyle w:val="AppendixBodyText"/>
        <w:spacing w:after="0"/>
        <w:rPr>
          <w:lang w:val="de-DE"/>
        </w:rPr>
      </w:pPr>
      <w:r w:rsidRPr="00C83DF5">
        <w:rPr>
          <w:rFonts w:ascii="Tahoma" w:hAnsi="Tahoma" w:cs="Tahoma"/>
          <w:sz w:val="18"/>
          <w:szCs w:val="18"/>
          <w:lang w:val="de-DE"/>
        </w:rPr>
        <w:t>Kunden, die Microsoft Office Professional 2013 von einem OEM erwerben, können Software Assurance für Microsoft</w:t>
      </w:r>
      <w:r w:rsidR="00572E9D">
        <w:rPr>
          <w:rFonts w:ascii="Tahoma" w:hAnsi="Tahoma" w:cs="Tahoma"/>
          <w:sz w:val="18"/>
          <w:szCs w:val="18"/>
          <w:lang w:val="de-DE"/>
        </w:rPr>
        <w:t> </w:t>
      </w:r>
      <w:r w:rsidRPr="00C83DF5">
        <w:rPr>
          <w:rFonts w:ascii="Tahoma" w:hAnsi="Tahoma" w:cs="Tahoma"/>
          <w:sz w:val="18"/>
          <w:szCs w:val="18"/>
          <w:lang w:val="de-DE"/>
        </w:rPr>
        <w:t>Office Standard 2013 in den Open-Lizenzprogrammen, Select- und Select Plus-Programmen und der nicht</w:t>
      </w:r>
      <w:r w:rsidR="00572E9D">
        <w:rPr>
          <w:rFonts w:ascii="Tahoma" w:hAnsi="Tahoma" w:cs="Tahoma"/>
          <w:sz w:val="18"/>
          <w:szCs w:val="18"/>
          <w:lang w:val="de-DE"/>
        </w:rPr>
        <w:t> </w:t>
      </w:r>
      <w:r w:rsidRPr="00C83DF5">
        <w:rPr>
          <w:rFonts w:ascii="Tahoma" w:hAnsi="Tahoma" w:cs="Tahoma"/>
          <w:sz w:val="18"/>
          <w:szCs w:val="18"/>
          <w:lang w:val="de-DE"/>
        </w:rPr>
        <w:t>unternehmensweiten Option unter Open Value innerhalb von 90 Tagen ab dem Datum des OEM-Kaufs erwerben. Office Product Key Cards (PKC) gelten als Full Packaged Product-Angebot (Einzelhandel) und sind nicht</w:t>
      </w:r>
      <w:r w:rsidR="00572E9D">
        <w:rPr>
          <w:rFonts w:ascii="Tahoma" w:hAnsi="Tahoma" w:cs="Tahoma"/>
          <w:sz w:val="18"/>
          <w:szCs w:val="18"/>
          <w:lang w:val="de-DE"/>
        </w:rPr>
        <w:t> </w:t>
      </w:r>
      <w:r w:rsidRPr="00C83DF5">
        <w:rPr>
          <w:rFonts w:ascii="Tahoma" w:hAnsi="Tahoma" w:cs="Tahoma"/>
          <w:sz w:val="18"/>
          <w:szCs w:val="18"/>
          <w:lang w:val="de-DE"/>
        </w:rPr>
        <w:t>für</w:t>
      </w:r>
      <w:r w:rsidR="00572E9D">
        <w:rPr>
          <w:rFonts w:ascii="Tahoma" w:hAnsi="Tahoma" w:cs="Tahoma"/>
          <w:sz w:val="18"/>
          <w:szCs w:val="18"/>
          <w:lang w:val="de-DE"/>
        </w:rPr>
        <w:t> </w:t>
      </w:r>
      <w:r w:rsidRPr="00C83DF5">
        <w:rPr>
          <w:rFonts w:ascii="Tahoma" w:hAnsi="Tahoma" w:cs="Tahoma"/>
          <w:sz w:val="18"/>
          <w:szCs w:val="18"/>
          <w:lang w:val="de-DE"/>
        </w:rPr>
        <w:t>die Option zum Erwerb von Software Assurance berechtigt.</w:t>
      </w:r>
    </w:p>
    <w:p w:rsidR="00255158" w:rsidRPr="00572E9D" w:rsidRDefault="00255158" w:rsidP="00572E9D">
      <w:pPr>
        <w:pStyle w:val="AppendixBodyText"/>
        <w:spacing w:after="0"/>
        <w:rPr>
          <w:rFonts w:ascii="Tahoma" w:hAnsi="Tahoma" w:cs="Tahoma"/>
          <w:sz w:val="18"/>
          <w:lang w:val="de-DE" w:eastAsia="ja-JP"/>
        </w:rPr>
      </w:pPr>
    </w:p>
    <w:p w:rsidR="00456002" w:rsidRPr="00C83DF5" w:rsidRDefault="00456002" w:rsidP="00572E9D">
      <w:pPr>
        <w:pStyle w:val="Heading2"/>
        <w:ind w:left="0"/>
        <w:rPr>
          <w:lang w:val="de-DE"/>
        </w:rPr>
      </w:pPr>
      <w:bookmarkStart w:id="634" w:name="_Toc323819651"/>
      <w:bookmarkStart w:id="635" w:name="_Toc336338202"/>
      <w:bookmarkStart w:id="636" w:name="_Toc370983310"/>
      <w:r w:rsidRPr="00C83DF5">
        <w:rPr>
          <w:rFonts w:ascii="Tahoma" w:hAnsi="Tahoma" w:cs="Tahoma"/>
          <w:lang w:val="de-DE"/>
        </w:rPr>
        <w:t>Step Up-Lizenzen</w:t>
      </w:r>
      <w:bookmarkEnd w:id="634"/>
      <w:bookmarkEnd w:id="635"/>
      <w:bookmarkEnd w:id="636"/>
    </w:p>
    <w:p w:rsidR="00456002" w:rsidRPr="00F037D5" w:rsidRDefault="00456002" w:rsidP="00572E9D">
      <w:pPr>
        <w:rPr>
          <w:lang w:val="de-DE"/>
        </w:rPr>
      </w:pPr>
    </w:p>
    <w:p w:rsidR="00456002" w:rsidRPr="00C83DF5" w:rsidRDefault="00456002" w:rsidP="00507357">
      <w:pPr>
        <w:pStyle w:val="AppendixIndent"/>
        <w:ind w:left="0"/>
        <w:rPr>
          <w:lang w:val="de-DE"/>
        </w:rPr>
      </w:pPr>
      <w:r w:rsidRPr="00C83DF5">
        <w:rPr>
          <w:rFonts w:ascii="Tahoma" w:hAnsi="Tahoma" w:cs="Tahoma"/>
          <w:sz w:val="18"/>
          <w:lang w:val="de-DE"/>
        </w:rPr>
        <w:t>Kunden können von der Standard Edition zu einer Premium Edition bestimmter Produkte migrieren, und zwar mit</w:t>
      </w:r>
      <w:r w:rsidR="00572E9D">
        <w:rPr>
          <w:rFonts w:ascii="Tahoma" w:hAnsi="Tahoma" w:cs="Tahoma"/>
          <w:sz w:val="18"/>
          <w:lang w:val="de-DE"/>
        </w:rPr>
        <w:t> </w:t>
      </w:r>
      <w:r w:rsidRPr="00C83DF5">
        <w:rPr>
          <w:rFonts w:ascii="Tahoma" w:hAnsi="Tahoma" w:cs="Tahoma"/>
          <w:sz w:val="18"/>
          <w:lang w:val="de-DE"/>
        </w:rPr>
        <w:t xml:space="preserve">einer Step Up-Lizenz. Um eine Step Up-Lizenz erwerben zu können, müssen die Kunden über eine Lizenz </w:t>
      </w:r>
      <w:r w:rsidRPr="00C83DF5">
        <w:rPr>
          <w:rFonts w:ascii="Tahoma" w:hAnsi="Tahoma" w:cs="Tahoma"/>
          <w:sz w:val="18"/>
          <w:szCs w:val="18"/>
          <w:lang w:val="de-DE"/>
        </w:rPr>
        <w:t xml:space="preserve">mit aktiver Software </w:t>
      </w:r>
      <w:r w:rsidRPr="00C83DF5">
        <w:rPr>
          <w:rFonts w:ascii="Tahoma" w:hAnsi="Tahoma" w:cs="Tahoma"/>
          <w:color w:val="000000"/>
          <w:sz w:val="18"/>
          <w:szCs w:val="18"/>
          <w:lang w:val="de-DE"/>
        </w:rPr>
        <w:t>Assurance für das qualifizierende Produkt verfügen.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Die Step Up-Lizenz muss unter demselben Volumenlizenzprogramm-Vertrag und -Beitritt (sofern vorhanden) erworben werden, unter dem bzw. denen das</w:t>
      </w:r>
      <w:r w:rsidR="00572E9D">
        <w:rPr>
          <w:rFonts w:ascii="Tahoma" w:hAnsi="Tahoma" w:cs="Tahoma"/>
          <w:color w:val="000000"/>
          <w:sz w:val="18"/>
          <w:szCs w:val="18"/>
          <w:lang w:val="de-DE"/>
        </w:rPr>
        <w:t> </w:t>
      </w:r>
      <w:r w:rsidRPr="00C83DF5">
        <w:rPr>
          <w:rFonts w:ascii="Tahoma" w:hAnsi="Tahoma" w:cs="Tahoma"/>
          <w:color w:val="000000"/>
          <w:sz w:val="18"/>
          <w:szCs w:val="18"/>
          <w:lang w:val="de-DE"/>
        </w:rPr>
        <w:t xml:space="preserve">Upgrade-Programm für das qualifizierende Produkt ursprünglich erworben wurde. </w:t>
      </w:r>
      <w:r w:rsidRPr="00C83DF5">
        <w:rPr>
          <w:rFonts w:ascii="Tahoma" w:hAnsi="Tahoma" w:cs="Tahoma"/>
          <w:color w:val="000000"/>
          <w:sz w:val="18"/>
          <w:lang w:val="de-DE"/>
        </w:rPr>
        <w:t>Das Recht des Kunden, Software</w:t>
      </w:r>
      <w:r w:rsidR="00572E9D">
        <w:rPr>
          <w:rFonts w:ascii="Tahoma" w:hAnsi="Tahoma" w:cs="Tahoma"/>
          <w:color w:val="000000"/>
          <w:sz w:val="18"/>
          <w:lang w:val="de-DE"/>
        </w:rPr>
        <w:t> </w:t>
      </w:r>
      <w:r w:rsidRPr="00C83DF5">
        <w:rPr>
          <w:rFonts w:ascii="Tahoma" w:hAnsi="Tahoma" w:cs="Tahoma"/>
          <w:color w:val="000000"/>
          <w:sz w:val="18"/>
          <w:lang w:val="de-DE"/>
        </w:rPr>
        <w:t>unter einer Step Up-Lizenz zu nutzen, setzt voraus, dass der Kunde eine Lizenz für das</w:t>
      </w:r>
      <w:r w:rsidRPr="00C83DF5">
        <w:rPr>
          <w:rFonts w:ascii="Tahoma" w:hAnsi="Tahoma" w:cs="Tahoma"/>
          <w:sz w:val="18"/>
          <w:lang w:val="de-DE"/>
        </w:rPr>
        <w:t xml:space="preserve"> qualifizierende Produkt besitzt und diese behält.</w:t>
      </w:r>
      <w:r w:rsidR="00E71F46" w:rsidRPr="00C83DF5">
        <w:rPr>
          <w:rFonts w:ascii="Tahoma" w:hAnsi="Tahoma" w:cs="Tahoma"/>
          <w:sz w:val="18"/>
          <w:lang w:val="de-DE"/>
        </w:rPr>
        <w:t xml:space="preserve"> </w:t>
      </w:r>
      <w:r w:rsidRPr="00C83DF5">
        <w:rPr>
          <w:rFonts w:ascii="Tahoma" w:hAnsi="Tahoma" w:cs="Tahoma"/>
          <w:sz w:val="18"/>
          <w:lang w:val="de-DE"/>
        </w:rPr>
        <w:t>Die Kunden können die Lizenz für das qualifizierende Produkt nicht separat von der</w:t>
      </w:r>
      <w:r w:rsidR="00572E9D">
        <w:rPr>
          <w:rFonts w:ascii="Tahoma" w:hAnsi="Tahoma" w:cs="Tahoma"/>
          <w:sz w:val="18"/>
          <w:lang w:val="de-DE"/>
        </w:rPr>
        <w:t> </w:t>
      </w:r>
      <w:r w:rsidRPr="00C83DF5">
        <w:rPr>
          <w:rFonts w:ascii="Tahoma" w:hAnsi="Tahoma" w:cs="Tahoma"/>
          <w:sz w:val="18"/>
          <w:szCs w:val="18"/>
          <w:lang w:val="de-DE"/>
        </w:rPr>
        <w:t>Step Up-Lizenz übertragen.</w:t>
      </w:r>
      <w:r w:rsidR="00E71F46" w:rsidRPr="00C83DF5">
        <w:rPr>
          <w:rFonts w:ascii="Tahoma" w:hAnsi="Tahoma" w:cs="Tahoma"/>
          <w:sz w:val="18"/>
          <w:szCs w:val="18"/>
          <w:lang w:val="de-DE"/>
        </w:rPr>
        <w:t xml:space="preserve"> </w:t>
      </w:r>
      <w:r w:rsidRPr="00C83DF5">
        <w:rPr>
          <w:rFonts w:ascii="Tahoma" w:hAnsi="Tahoma" w:cs="Tahoma"/>
          <w:sz w:val="18"/>
          <w:szCs w:val="18"/>
          <w:lang w:val="de-DE"/>
        </w:rPr>
        <w:t xml:space="preserve">Weitere Informationen und Angaben zur Lizenzverfügbarkeit erhalten Sie in der Volumenlizenz-Kurzdarstellung zu Step Up-Lizenzen für Enterprise Edition: </w:t>
      </w:r>
      <w:r w:rsidR="00507357" w:rsidRPr="00507357">
        <w:rPr>
          <w:rFonts w:ascii="Tahoma" w:hAnsi="Tahoma" w:cs="Tahoma"/>
          <w:sz w:val="18"/>
          <w:szCs w:val="18"/>
          <w:lang w:val="de-DE"/>
        </w:rPr>
        <w:t>http://</w:t>
      </w:r>
      <w:hyperlink r:id="rId20" w:history="1">
        <w:r w:rsidR="00507357" w:rsidRPr="00507357">
          <w:rPr>
            <w:rStyle w:val="Hyperlink"/>
            <w:rFonts w:ascii="Tahoma" w:hAnsi="Tahoma" w:cs="Tahoma"/>
            <w:sz w:val="18"/>
            <w:szCs w:val="18"/>
            <w:lang w:val="de-DE"/>
          </w:rPr>
          <w:t>www.microsoft.com/licensing</w:t>
        </w:r>
      </w:hyperlink>
      <w:r w:rsidRPr="00C83DF5">
        <w:rPr>
          <w:rFonts w:ascii="Tahoma" w:hAnsi="Tahoma" w:cs="Tahoma"/>
          <w:sz w:val="18"/>
          <w:szCs w:val="18"/>
          <w:lang w:val="de-DE"/>
        </w:rPr>
        <w:t>.</w:t>
      </w:r>
    </w:p>
    <w:p w:rsidR="00ED589D" w:rsidRPr="00F037D5" w:rsidRDefault="00ED589D" w:rsidP="00572E9D">
      <w:pPr>
        <w:rPr>
          <w:lang w:val="de-DE"/>
        </w:rPr>
      </w:pPr>
    </w:p>
    <w:p w:rsidR="00456002" w:rsidRPr="00C83DF5" w:rsidRDefault="00456002" w:rsidP="00572E9D">
      <w:pPr>
        <w:pStyle w:val="Heading2"/>
        <w:ind w:left="0"/>
        <w:rPr>
          <w:lang w:val="de-DE"/>
        </w:rPr>
      </w:pPr>
      <w:bookmarkStart w:id="637" w:name="_Toc323819652"/>
      <w:bookmarkStart w:id="638" w:name="_Toc336338203"/>
      <w:bookmarkStart w:id="639" w:name="_Toc370983311"/>
      <w:r w:rsidRPr="00C83DF5">
        <w:rPr>
          <w:rFonts w:ascii="Tahoma" w:hAnsi="Tahoma" w:cs="Tahoma"/>
          <w:lang w:val="de-DE"/>
        </w:rPr>
        <w:t>Abonnementlizenzen</w:t>
      </w:r>
      <w:bookmarkEnd w:id="637"/>
      <w:bookmarkEnd w:id="638"/>
      <w:bookmarkEnd w:id="639"/>
    </w:p>
    <w:p w:rsidR="00456002" w:rsidRPr="00F037D5" w:rsidRDefault="00456002" w:rsidP="001070B3">
      <w:pPr>
        <w:ind w:right="720"/>
        <w:rPr>
          <w:lang w:val="de-DE"/>
        </w:rPr>
      </w:pPr>
    </w:p>
    <w:p w:rsidR="00456002" w:rsidRPr="00C83DF5" w:rsidRDefault="00456002" w:rsidP="00572E9D">
      <w:pPr>
        <w:pStyle w:val="AppendixIndent"/>
        <w:spacing w:before="0"/>
        <w:ind w:left="0"/>
      </w:pPr>
      <w:r w:rsidRPr="00C83DF5">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w:t>
      </w:r>
      <w:r w:rsidR="00E71F46" w:rsidRPr="00C83DF5">
        <w:rPr>
          <w:rFonts w:ascii="Tahoma" w:hAnsi="Tahoma" w:cs="Tahoma"/>
          <w:sz w:val="18"/>
          <w:lang w:val="de-DE"/>
        </w:rPr>
        <w:t xml:space="preserve"> </w:t>
      </w:r>
      <w:r w:rsidRPr="00C83DF5">
        <w:rPr>
          <w:rFonts w:ascii="Tahoma" w:hAnsi="Tahoma" w:cs="Tahoma"/>
          <w:sz w:val="18"/>
          <w:lang w:val="de-DE"/>
        </w:rPr>
        <w:t xml:space="preserve">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sidRPr="00C83DF5">
        <w:rPr>
          <w:rFonts w:ascii="Tahoma" w:hAnsi="Tahoma" w:cs="Tahoma"/>
          <w:sz w:val="18"/>
        </w:rPr>
        <w:t xml:space="preserve">Für die folgenden Programme verfügbar: </w:t>
      </w:r>
    </w:p>
    <w:p w:rsidR="00456002" w:rsidRPr="001070B3" w:rsidRDefault="00456002" w:rsidP="00B147AB">
      <w:pPr>
        <w:pStyle w:val="AppendixIndent"/>
        <w:spacing w:before="0"/>
        <w:ind w:left="0" w:right="720"/>
        <w:rPr>
          <w:rFonts w:ascii="Tahoma" w:hAnsi="Tahoma" w:cs="Tahoma"/>
          <w:sz w:val="18"/>
        </w:rPr>
      </w:pPr>
    </w:p>
    <w:p w:rsidR="00456002" w:rsidRPr="00C83DF5" w:rsidRDefault="00456002" w:rsidP="00346F4B">
      <w:pPr>
        <w:pStyle w:val="AppendixBulletIndent"/>
        <w:numPr>
          <w:ilvl w:val="0"/>
          <w:numId w:val="66"/>
        </w:numPr>
        <w:tabs>
          <w:tab w:val="left" w:pos="1440"/>
        </w:tabs>
        <w:spacing w:after="60"/>
        <w:ind w:left="1440" w:right="720"/>
      </w:pPr>
      <w:r w:rsidRPr="00C83DF5">
        <w:rPr>
          <w:rFonts w:ascii="Tahoma" w:hAnsi="Tahoma" w:cs="Tahoma"/>
          <w:sz w:val="18"/>
        </w:rPr>
        <w:t>Open Value</w:t>
      </w:r>
    </w:p>
    <w:p w:rsidR="00456002" w:rsidRPr="00C83DF5" w:rsidRDefault="00456002" w:rsidP="00346F4B">
      <w:pPr>
        <w:pStyle w:val="AppendixBulletIndent"/>
        <w:numPr>
          <w:ilvl w:val="0"/>
          <w:numId w:val="66"/>
        </w:numPr>
        <w:tabs>
          <w:tab w:val="left" w:pos="1440"/>
        </w:tabs>
        <w:spacing w:after="60"/>
        <w:ind w:left="1440" w:right="720"/>
      </w:pPr>
      <w:r w:rsidRPr="00C83DF5">
        <w:rPr>
          <w:rFonts w:ascii="Tahoma" w:hAnsi="Tahoma" w:cs="Tahoma"/>
          <w:sz w:val="18"/>
        </w:rPr>
        <w:t xml:space="preserve">Open Value Subscription </w:t>
      </w:r>
    </w:p>
    <w:p w:rsidR="00456002" w:rsidRPr="00C83DF5" w:rsidRDefault="00456002" w:rsidP="00346F4B">
      <w:pPr>
        <w:pStyle w:val="AppendixBulletIndent"/>
        <w:numPr>
          <w:ilvl w:val="0"/>
          <w:numId w:val="66"/>
        </w:numPr>
        <w:tabs>
          <w:tab w:val="left" w:pos="1440"/>
        </w:tabs>
        <w:spacing w:after="60"/>
        <w:ind w:left="1440" w:right="720"/>
      </w:pPr>
      <w:r w:rsidRPr="00C83DF5">
        <w:rPr>
          <w:rFonts w:ascii="Tahoma" w:hAnsi="Tahoma" w:cs="Tahoma"/>
          <w:sz w:val="18"/>
        </w:rPr>
        <w:t xml:space="preserve">Select </w:t>
      </w:r>
    </w:p>
    <w:p w:rsidR="00456002" w:rsidRPr="00C83DF5" w:rsidRDefault="00456002" w:rsidP="00346F4B">
      <w:pPr>
        <w:pStyle w:val="AppendixBulletIndent"/>
        <w:numPr>
          <w:ilvl w:val="0"/>
          <w:numId w:val="66"/>
        </w:numPr>
        <w:tabs>
          <w:tab w:val="left" w:pos="1440"/>
        </w:tabs>
        <w:spacing w:after="60"/>
        <w:ind w:left="1440" w:right="720"/>
      </w:pPr>
      <w:r w:rsidRPr="00C83DF5">
        <w:rPr>
          <w:rFonts w:ascii="Tahoma" w:hAnsi="Tahoma" w:cs="Tahoma"/>
          <w:sz w:val="18"/>
        </w:rPr>
        <w:t>Select Plus</w:t>
      </w:r>
    </w:p>
    <w:p w:rsidR="00456002" w:rsidRPr="00276B20" w:rsidRDefault="00B215EA" w:rsidP="00346F4B">
      <w:pPr>
        <w:pStyle w:val="AppendixBulletIndent"/>
        <w:numPr>
          <w:ilvl w:val="0"/>
          <w:numId w:val="66"/>
        </w:numPr>
        <w:tabs>
          <w:tab w:val="left" w:pos="1440"/>
        </w:tabs>
        <w:spacing w:after="60"/>
        <w:ind w:left="1440" w:right="720"/>
        <w:rPr>
          <w:rFonts w:ascii="Tahoma" w:hAnsi="Tahoma" w:cs="Tahoma"/>
          <w:sz w:val="18"/>
        </w:rPr>
      </w:pPr>
      <w:r w:rsidRPr="00C83DF5">
        <w:rPr>
          <w:rFonts w:ascii="Tahoma" w:hAnsi="Tahoma" w:cs="Tahoma"/>
          <w:sz w:val="18"/>
        </w:rPr>
        <w:t>Campus- und School-Vertrag</w:t>
      </w:r>
    </w:p>
    <w:p w:rsidR="00456002" w:rsidRPr="00C83DF5" w:rsidRDefault="00B215EA" w:rsidP="00346F4B">
      <w:pPr>
        <w:pStyle w:val="AppendixBulletIndent"/>
        <w:numPr>
          <w:ilvl w:val="0"/>
          <w:numId w:val="66"/>
        </w:numPr>
        <w:tabs>
          <w:tab w:val="left" w:pos="1440"/>
        </w:tabs>
        <w:spacing w:after="60"/>
        <w:ind w:left="1440" w:right="720"/>
      </w:pPr>
      <w:r w:rsidRPr="00C83DF5">
        <w:rPr>
          <w:rFonts w:ascii="Tahoma" w:hAnsi="Tahoma" w:cs="Tahoma"/>
          <w:sz w:val="18"/>
        </w:rPr>
        <w:t>Beitritt für Bildungslösungen</w:t>
      </w:r>
    </w:p>
    <w:p w:rsidR="00456002" w:rsidRPr="00276B20" w:rsidRDefault="00456002" w:rsidP="00346F4B">
      <w:pPr>
        <w:pStyle w:val="AppendixBulletIndent"/>
        <w:numPr>
          <w:ilvl w:val="0"/>
          <w:numId w:val="66"/>
        </w:numPr>
        <w:tabs>
          <w:tab w:val="left" w:pos="1440"/>
        </w:tabs>
        <w:spacing w:after="60"/>
        <w:ind w:left="1440" w:right="720"/>
        <w:rPr>
          <w:rFonts w:ascii="Tahoma" w:hAnsi="Tahoma" w:cs="Tahoma"/>
          <w:sz w:val="18"/>
        </w:rPr>
      </w:pPr>
      <w:r w:rsidRPr="00C83DF5">
        <w:rPr>
          <w:rFonts w:ascii="Tahoma" w:hAnsi="Tahoma" w:cs="Tahoma"/>
          <w:sz w:val="18"/>
        </w:rPr>
        <w:t>Konzernvertrag</w:t>
      </w:r>
    </w:p>
    <w:p w:rsidR="00456002" w:rsidRPr="00276B20" w:rsidRDefault="00456002" w:rsidP="00276B20">
      <w:pPr>
        <w:pStyle w:val="AppendixBulletIndent"/>
        <w:numPr>
          <w:ilvl w:val="0"/>
          <w:numId w:val="66"/>
        </w:numPr>
        <w:tabs>
          <w:tab w:val="left" w:pos="1440"/>
        </w:tabs>
        <w:spacing w:after="60"/>
        <w:ind w:left="1440" w:right="720"/>
        <w:rPr>
          <w:rFonts w:ascii="Tahoma" w:hAnsi="Tahoma" w:cs="Tahoma"/>
          <w:sz w:val="18"/>
        </w:rPr>
      </w:pPr>
      <w:r w:rsidRPr="00C83DF5">
        <w:rPr>
          <w:rFonts w:ascii="Tahoma" w:hAnsi="Tahoma" w:cs="Tahoma"/>
          <w:sz w:val="18"/>
        </w:rPr>
        <w:t>Konzern-Abonnement-Beitritt</w:t>
      </w:r>
    </w:p>
    <w:p w:rsidR="00B215EA" w:rsidRPr="00276B20" w:rsidRDefault="00B215EA" w:rsidP="00276B20">
      <w:pPr>
        <w:pStyle w:val="AppendixBulletIndent"/>
        <w:numPr>
          <w:ilvl w:val="0"/>
          <w:numId w:val="66"/>
        </w:numPr>
        <w:tabs>
          <w:tab w:val="left" w:pos="1440"/>
        </w:tabs>
        <w:spacing w:after="60"/>
        <w:ind w:left="1440" w:right="720"/>
        <w:rPr>
          <w:rFonts w:ascii="Tahoma" w:hAnsi="Tahoma" w:cs="Tahoma"/>
          <w:sz w:val="18"/>
        </w:rPr>
      </w:pPr>
      <w:r w:rsidRPr="00C83DF5">
        <w:rPr>
          <w:rFonts w:ascii="Tahoma" w:hAnsi="Tahoma" w:cs="Tahoma"/>
          <w:sz w:val="18"/>
        </w:rPr>
        <w:t>Server- und Cloud-Beitritt</w:t>
      </w:r>
    </w:p>
    <w:p w:rsidR="00ED589D" w:rsidRDefault="00ED589D" w:rsidP="00B147AB"/>
    <w:p w:rsidR="001B0EA6" w:rsidRDefault="001B0EA6" w:rsidP="00B147AB"/>
    <w:p w:rsidR="001B0EA6" w:rsidRDefault="001B0EA6" w:rsidP="00B147AB"/>
    <w:p w:rsidR="001B0EA6" w:rsidRDefault="001B0EA6" w:rsidP="00B147AB"/>
    <w:p w:rsidR="001B0EA6" w:rsidRDefault="001B0EA6" w:rsidP="00B147AB"/>
    <w:p w:rsidR="001B0EA6" w:rsidRPr="00C83DF5" w:rsidRDefault="001B0EA6" w:rsidP="00B147AB"/>
    <w:p w:rsidR="00456002" w:rsidRPr="00C83DF5" w:rsidRDefault="00456002" w:rsidP="00456002">
      <w:pPr>
        <w:pStyle w:val="Heading2"/>
        <w:ind w:left="0" w:right="720"/>
      </w:pPr>
      <w:bookmarkStart w:id="640" w:name="_Toc323819653"/>
      <w:bookmarkStart w:id="641" w:name="_Toc336338204"/>
      <w:bookmarkStart w:id="642" w:name="_Toc370983312"/>
      <w:r w:rsidRPr="00C83DF5">
        <w:rPr>
          <w:rFonts w:ascii="Tahoma" w:hAnsi="Tahoma" w:cs="Tahoma"/>
        </w:rPr>
        <w:lastRenderedPageBreak/>
        <w:t>Upgrade</w:t>
      </w:r>
      <w:bookmarkEnd w:id="640"/>
      <w:bookmarkEnd w:id="641"/>
      <w:bookmarkEnd w:id="642"/>
    </w:p>
    <w:p w:rsidR="00456002" w:rsidRPr="001B0EA6" w:rsidRDefault="00456002" w:rsidP="00B147AB">
      <w:pPr>
        <w:pStyle w:val="AppendixIndent"/>
        <w:spacing w:before="0"/>
        <w:ind w:left="0" w:right="720"/>
        <w:rPr>
          <w:rFonts w:ascii="Tahoma" w:hAnsi="Tahoma" w:cs="Tahoma"/>
          <w:sz w:val="18"/>
        </w:rPr>
      </w:pPr>
    </w:p>
    <w:p w:rsidR="00456002" w:rsidRPr="00C83DF5" w:rsidRDefault="00456002" w:rsidP="001B0EA6">
      <w:pPr>
        <w:pStyle w:val="AppendixIndent"/>
        <w:spacing w:before="0"/>
        <w:ind w:left="0"/>
      </w:pPr>
      <w:r w:rsidRPr="00C83DF5">
        <w:rPr>
          <w:rFonts w:ascii="Tahoma" w:hAnsi="Tahoma" w:cs="Tahoma"/>
          <w:sz w:val="18"/>
          <w:lang w:val="de-DE"/>
        </w:rPr>
        <w:t xml:space="preserve">Dieser Produkttyp ist nur für das </w:t>
      </w:r>
      <w:r w:rsidRPr="00C83DF5">
        <w:rPr>
          <w:rFonts w:ascii="Tahoma" w:hAnsi="Tahoma" w:cs="Tahoma"/>
          <w:sz w:val="18"/>
          <w:u w:val="single"/>
          <w:lang w:val="de-DE"/>
        </w:rPr>
        <w:t>Windows Desktop-Betriebssystem</w:t>
      </w:r>
      <w:r w:rsidRPr="00C83DF5">
        <w:rPr>
          <w:rFonts w:ascii="Tahoma" w:hAnsi="Tahoma" w:cs="Tahoma"/>
          <w:sz w:val="18"/>
          <w:lang w:val="de-DE"/>
        </w:rPr>
        <w:t xml:space="preserve"> verfügbar und versionsspezifisch. Er gewährt das Recht, die Version des Produktes auszuführen, für die er bestellt wurde.</w:t>
      </w:r>
      <w:r w:rsidR="00E71F46" w:rsidRPr="00C83DF5">
        <w:rPr>
          <w:rFonts w:ascii="Tahoma" w:hAnsi="Tahoma" w:cs="Tahoma"/>
          <w:sz w:val="18"/>
          <w:lang w:val="de-DE"/>
        </w:rPr>
        <w:t xml:space="preserve"> </w:t>
      </w:r>
      <w:r w:rsidRPr="00C83DF5">
        <w:rPr>
          <w:rFonts w:ascii="Tahoma" w:hAnsi="Tahoma" w:cs="Tahoma"/>
          <w:sz w:val="18"/>
        </w:rPr>
        <w:t>Für die folgenden Programme verfügbar:</w:t>
      </w:r>
    </w:p>
    <w:p w:rsidR="00456002" w:rsidRPr="00C83DF5" w:rsidRDefault="00456002" w:rsidP="00B147AB">
      <w:pPr>
        <w:pStyle w:val="AppendixIndent"/>
        <w:spacing w:before="0"/>
        <w:ind w:left="0" w:right="720"/>
      </w:pPr>
    </w:p>
    <w:p w:rsidR="00385C82" w:rsidRPr="00C83DF5" w:rsidRDefault="00385C82" w:rsidP="00346F4B">
      <w:pPr>
        <w:pStyle w:val="AppendixBulletIndent"/>
        <w:numPr>
          <w:ilvl w:val="0"/>
          <w:numId w:val="59"/>
        </w:numPr>
        <w:tabs>
          <w:tab w:val="left" w:pos="1440"/>
        </w:tabs>
        <w:spacing w:after="60"/>
        <w:ind w:left="1440" w:right="720"/>
      </w:pPr>
      <w:r w:rsidRPr="00C83DF5">
        <w:rPr>
          <w:rFonts w:ascii="Tahoma" w:hAnsi="Tahoma" w:cs="Tahoma"/>
          <w:sz w:val="18"/>
          <w:szCs w:val="18"/>
        </w:rPr>
        <w:t>Open-Lizenz</w:t>
      </w:r>
    </w:p>
    <w:p w:rsidR="00385C82" w:rsidRPr="00C83DF5" w:rsidRDefault="00385C82" w:rsidP="00346F4B">
      <w:pPr>
        <w:pStyle w:val="AppendixBulletIndent"/>
        <w:numPr>
          <w:ilvl w:val="0"/>
          <w:numId w:val="59"/>
        </w:numPr>
        <w:tabs>
          <w:tab w:val="left" w:pos="1440"/>
        </w:tabs>
        <w:spacing w:after="60"/>
        <w:ind w:left="1440" w:right="720"/>
        <w:rPr>
          <w:lang w:val="de-DE"/>
        </w:rPr>
      </w:pPr>
      <w:r w:rsidRPr="00C83DF5">
        <w:rPr>
          <w:rFonts w:ascii="Tahoma" w:hAnsi="Tahoma" w:cs="Tahoma"/>
          <w:sz w:val="18"/>
          <w:szCs w:val="18"/>
          <w:lang w:val="de-DE"/>
        </w:rPr>
        <w:t xml:space="preserve">Open Value Subscription (nur für Buy-Out-Bestellungen) </w:t>
      </w:r>
    </w:p>
    <w:p w:rsidR="00385C82" w:rsidRPr="00C83DF5" w:rsidRDefault="00385C82" w:rsidP="00346F4B">
      <w:pPr>
        <w:pStyle w:val="AppendixBulletIndent"/>
        <w:numPr>
          <w:ilvl w:val="0"/>
          <w:numId w:val="59"/>
        </w:numPr>
        <w:tabs>
          <w:tab w:val="left" w:pos="1440"/>
        </w:tabs>
        <w:spacing w:after="60"/>
        <w:ind w:left="1440" w:right="720"/>
      </w:pPr>
      <w:r w:rsidRPr="00C83DF5">
        <w:rPr>
          <w:rFonts w:ascii="Tahoma" w:hAnsi="Tahoma" w:cs="Tahoma"/>
          <w:sz w:val="18"/>
          <w:szCs w:val="18"/>
        </w:rPr>
        <w:t xml:space="preserve">Select </w:t>
      </w:r>
    </w:p>
    <w:p w:rsidR="00385C82" w:rsidRPr="00C83DF5" w:rsidRDefault="00385C82" w:rsidP="00346F4B">
      <w:pPr>
        <w:pStyle w:val="AppendixBulletIndent"/>
        <w:numPr>
          <w:ilvl w:val="0"/>
          <w:numId w:val="59"/>
        </w:numPr>
        <w:tabs>
          <w:tab w:val="left" w:pos="1440"/>
        </w:tabs>
        <w:spacing w:after="60"/>
        <w:ind w:left="1440" w:right="720"/>
      </w:pPr>
      <w:r w:rsidRPr="00C83DF5">
        <w:rPr>
          <w:rFonts w:ascii="Tahoma" w:hAnsi="Tahoma" w:cs="Tahoma"/>
          <w:sz w:val="18"/>
          <w:szCs w:val="18"/>
        </w:rPr>
        <w:t>Select Plus</w:t>
      </w:r>
    </w:p>
    <w:p w:rsidR="00385C82" w:rsidRPr="00C83DF5" w:rsidRDefault="00B215EA" w:rsidP="00346F4B">
      <w:pPr>
        <w:pStyle w:val="AppendixBulletIndent"/>
        <w:numPr>
          <w:ilvl w:val="0"/>
          <w:numId w:val="59"/>
        </w:numPr>
        <w:tabs>
          <w:tab w:val="left" w:pos="1440"/>
        </w:tabs>
        <w:spacing w:after="60"/>
        <w:ind w:left="1440" w:right="720"/>
        <w:rPr>
          <w:lang w:val="de-DE"/>
        </w:rPr>
      </w:pPr>
      <w:r w:rsidRPr="00C83DF5">
        <w:rPr>
          <w:rFonts w:ascii="Tahoma" w:hAnsi="Tahoma" w:cs="Tahoma"/>
          <w:sz w:val="18"/>
          <w:szCs w:val="18"/>
          <w:lang w:val="de-DE"/>
        </w:rPr>
        <w:t>Campus- und School-Vertrag (nur für Buy-Out-Bestellungen)</w:t>
      </w:r>
    </w:p>
    <w:p w:rsidR="00385C82" w:rsidRPr="00C83DF5" w:rsidRDefault="00B215EA" w:rsidP="00346F4B">
      <w:pPr>
        <w:pStyle w:val="AppendixBulletIndent"/>
        <w:numPr>
          <w:ilvl w:val="0"/>
          <w:numId w:val="59"/>
        </w:numPr>
        <w:tabs>
          <w:tab w:val="left" w:pos="1440"/>
        </w:tabs>
        <w:spacing w:after="60"/>
        <w:ind w:left="1440" w:right="720"/>
        <w:rPr>
          <w:lang w:val="de-DE"/>
        </w:rPr>
      </w:pPr>
      <w:r w:rsidRPr="00C83DF5">
        <w:rPr>
          <w:rFonts w:ascii="Tahoma" w:hAnsi="Tahoma" w:cs="Tahoma"/>
          <w:sz w:val="18"/>
          <w:szCs w:val="18"/>
          <w:lang w:val="de-DE"/>
        </w:rPr>
        <w:t>Beitritt für Bildungslösungen (nur für Buy-Out-Bestellungen)</w:t>
      </w:r>
    </w:p>
    <w:p w:rsidR="00385C82" w:rsidRPr="00C83DF5" w:rsidRDefault="00385C82" w:rsidP="00346F4B">
      <w:pPr>
        <w:pStyle w:val="AppendixBulletIndent"/>
        <w:numPr>
          <w:ilvl w:val="0"/>
          <w:numId w:val="59"/>
        </w:numPr>
        <w:tabs>
          <w:tab w:val="left" w:pos="1440"/>
        </w:tabs>
        <w:ind w:left="1440" w:right="720"/>
        <w:rPr>
          <w:lang w:val="de-DE"/>
        </w:rPr>
      </w:pPr>
      <w:r w:rsidRPr="00C83DF5">
        <w:rPr>
          <w:rFonts w:ascii="Tahoma" w:hAnsi="Tahoma" w:cs="Tahoma"/>
          <w:sz w:val="18"/>
          <w:szCs w:val="18"/>
          <w:lang w:val="de-DE"/>
        </w:rPr>
        <w:t>Konzern-Abonnement-Vertrag (nur für Buy-Out-Bestellungen)</w:t>
      </w:r>
    </w:p>
    <w:p w:rsidR="00456002" w:rsidRPr="00C83DF5" w:rsidRDefault="00456002" w:rsidP="00B147AB">
      <w:pPr>
        <w:pStyle w:val="AppendixIndent"/>
        <w:spacing w:before="0"/>
        <w:ind w:left="0" w:right="720"/>
        <w:rPr>
          <w:lang w:val="de-DE"/>
        </w:rPr>
      </w:pPr>
    </w:p>
    <w:p w:rsidR="00456002" w:rsidRPr="00C83DF5" w:rsidRDefault="00456002" w:rsidP="00CC6E36">
      <w:pPr>
        <w:pStyle w:val="AppendixIndent"/>
        <w:spacing w:before="0"/>
        <w:ind w:left="0"/>
        <w:rPr>
          <w:lang w:val="de-DE"/>
        </w:rPr>
      </w:pPr>
      <w:r w:rsidRPr="00C83DF5">
        <w:rPr>
          <w:rFonts w:ascii="Tahoma" w:hAnsi="Tahoma" w:cs="Tahoma"/>
          <w:sz w:val="18"/>
          <w:lang w:val="de-DE"/>
        </w:rPr>
        <w:t>Der Kunde muss über eine qualifizierende, zugrunde liegende Desktop-Betriebssystemlizenz verfügen, bevor er die Lizenz für das Windows Desktop Betriebssystem-Upgrade erwerben darf. Eine Liste der qualifizierenden Desktop-Betriebssysteme finden Sie im Abschnitt über Systemprodukte. Diese Liste hängt vom Programm und den Umständen einer Bestellung ab.</w:t>
      </w:r>
    </w:p>
    <w:p w:rsidR="001C1727" w:rsidRPr="00C83DF5" w:rsidRDefault="001C1727" w:rsidP="00CC6E36">
      <w:pPr>
        <w:pStyle w:val="AppendixIndent"/>
        <w:spacing w:before="0"/>
        <w:ind w:left="0" w:right="720"/>
        <w:rPr>
          <w:lang w:val="de-DE"/>
        </w:rPr>
      </w:pPr>
      <w:bookmarkStart w:id="643" w:name="_Toc323819654"/>
      <w:bookmarkStart w:id="644" w:name="_Toc336338205"/>
    </w:p>
    <w:p w:rsidR="00456002" w:rsidRPr="00C83DF5" w:rsidRDefault="00456002" w:rsidP="00862623">
      <w:pPr>
        <w:pStyle w:val="Heading2"/>
        <w:keepNext/>
        <w:ind w:left="0" w:right="720"/>
        <w:rPr>
          <w:lang w:val="de-DE"/>
        </w:rPr>
      </w:pPr>
      <w:bookmarkStart w:id="645" w:name="_Toc370983313"/>
      <w:r w:rsidRPr="00C83DF5">
        <w:rPr>
          <w:rFonts w:ascii="Tahoma" w:hAnsi="Tahoma" w:cs="Tahoma"/>
          <w:lang w:val="de-DE"/>
        </w:rPr>
        <w:t>Upgrade und Software Assurance</w:t>
      </w:r>
      <w:bookmarkEnd w:id="643"/>
      <w:bookmarkEnd w:id="644"/>
      <w:bookmarkEnd w:id="645"/>
      <w:r w:rsidRPr="00C83DF5">
        <w:rPr>
          <w:rFonts w:ascii="Tahoma" w:hAnsi="Tahoma" w:cs="Tahoma"/>
          <w:lang w:val="de-DE"/>
        </w:rPr>
        <w:t xml:space="preserve"> </w:t>
      </w:r>
    </w:p>
    <w:p w:rsidR="00456002" w:rsidRPr="00C83DF5" w:rsidRDefault="00456002" w:rsidP="00862623">
      <w:pPr>
        <w:keepNext/>
        <w:ind w:right="720"/>
        <w:rPr>
          <w:lang w:val="de-DE"/>
        </w:rPr>
      </w:pPr>
    </w:p>
    <w:p w:rsidR="00456002" w:rsidRPr="00C83DF5" w:rsidRDefault="00456002" w:rsidP="00B147AB">
      <w:pPr>
        <w:pStyle w:val="AppendixIndent"/>
        <w:spacing w:before="0"/>
        <w:ind w:left="0" w:right="720"/>
      </w:pPr>
      <w:r w:rsidRPr="00C83DF5">
        <w:rPr>
          <w:rFonts w:ascii="Tahoma" w:hAnsi="Tahoma" w:cs="Tahoma"/>
          <w:sz w:val="18"/>
          <w:lang w:val="de-DE"/>
        </w:rPr>
        <w:t xml:space="preserve">Dieser Produkttyp ist nur für das Windows Desktop-Betriebssystem verfügbar und nicht versionsspezifisch. Er ermöglicht es Kunden, gleichzeitig das Upgrade und Software Assurance für das Desktop-Betriebssystem zu erwerben. </w:t>
      </w:r>
      <w:r w:rsidRPr="00C83DF5">
        <w:rPr>
          <w:rFonts w:ascii="Tahoma" w:hAnsi="Tahoma" w:cs="Tahoma"/>
          <w:sz w:val="18"/>
        </w:rPr>
        <w:t>Für die folgenden Programme verfügbar:</w:t>
      </w:r>
    </w:p>
    <w:p w:rsidR="00116EDC" w:rsidRPr="00C83DF5" w:rsidRDefault="00116EDC" w:rsidP="00B147AB">
      <w:pPr>
        <w:pStyle w:val="AppendixIndent"/>
        <w:spacing w:before="0"/>
        <w:ind w:left="0" w:right="720"/>
      </w:pPr>
    </w:p>
    <w:p w:rsidR="00456002" w:rsidRPr="00C83DF5" w:rsidRDefault="00456002" w:rsidP="00346F4B">
      <w:pPr>
        <w:pStyle w:val="AppendixBulletIndent"/>
        <w:numPr>
          <w:ilvl w:val="0"/>
          <w:numId w:val="60"/>
        </w:numPr>
        <w:tabs>
          <w:tab w:val="clear" w:pos="360"/>
          <w:tab w:val="num" w:pos="1440"/>
        </w:tabs>
        <w:spacing w:after="60"/>
        <w:ind w:left="1440" w:right="720"/>
      </w:pPr>
      <w:r w:rsidRPr="00C83DF5">
        <w:rPr>
          <w:rFonts w:ascii="Tahoma" w:hAnsi="Tahoma" w:cs="Tahoma"/>
          <w:sz w:val="18"/>
        </w:rPr>
        <w:t>Open-Lizenz</w:t>
      </w:r>
    </w:p>
    <w:p w:rsidR="00456002" w:rsidRPr="00C83DF5" w:rsidRDefault="00456002" w:rsidP="00346F4B">
      <w:pPr>
        <w:pStyle w:val="AppendixBulletIndent"/>
        <w:numPr>
          <w:ilvl w:val="0"/>
          <w:numId w:val="60"/>
        </w:numPr>
        <w:tabs>
          <w:tab w:val="clear" w:pos="360"/>
          <w:tab w:val="num" w:pos="1440"/>
        </w:tabs>
        <w:spacing w:after="60"/>
        <w:ind w:left="1440" w:right="720"/>
      </w:pPr>
      <w:r w:rsidRPr="00C83DF5">
        <w:rPr>
          <w:rFonts w:ascii="Tahoma" w:hAnsi="Tahoma" w:cs="Tahoma"/>
          <w:sz w:val="18"/>
        </w:rPr>
        <w:t>Open Value</w:t>
      </w:r>
    </w:p>
    <w:p w:rsidR="00456002" w:rsidRPr="00C83DF5" w:rsidRDefault="00456002" w:rsidP="00346F4B">
      <w:pPr>
        <w:pStyle w:val="AppendixBulletIndent"/>
        <w:numPr>
          <w:ilvl w:val="0"/>
          <w:numId w:val="60"/>
        </w:numPr>
        <w:tabs>
          <w:tab w:val="clear" w:pos="360"/>
          <w:tab w:val="num" w:pos="1440"/>
        </w:tabs>
        <w:spacing w:after="60"/>
        <w:ind w:left="1440" w:right="720"/>
      </w:pPr>
      <w:r w:rsidRPr="00C83DF5">
        <w:rPr>
          <w:rFonts w:ascii="Tahoma" w:hAnsi="Tahoma" w:cs="Tahoma"/>
          <w:sz w:val="18"/>
        </w:rPr>
        <w:t>Open Value Subscription</w:t>
      </w:r>
    </w:p>
    <w:p w:rsidR="00456002" w:rsidRPr="00C83DF5" w:rsidRDefault="00456002" w:rsidP="00346F4B">
      <w:pPr>
        <w:pStyle w:val="AppendixBulletIndent"/>
        <w:numPr>
          <w:ilvl w:val="0"/>
          <w:numId w:val="60"/>
        </w:numPr>
        <w:tabs>
          <w:tab w:val="clear" w:pos="360"/>
          <w:tab w:val="num" w:pos="1440"/>
        </w:tabs>
        <w:spacing w:after="60"/>
        <w:ind w:left="1440" w:right="720"/>
      </w:pPr>
      <w:r w:rsidRPr="00C83DF5">
        <w:rPr>
          <w:rFonts w:ascii="Tahoma" w:hAnsi="Tahoma" w:cs="Tahoma"/>
          <w:sz w:val="18"/>
        </w:rPr>
        <w:t xml:space="preserve">Select </w:t>
      </w:r>
    </w:p>
    <w:p w:rsidR="00456002" w:rsidRPr="00C83DF5" w:rsidRDefault="00456002" w:rsidP="00346F4B">
      <w:pPr>
        <w:pStyle w:val="AppendixBulletIndent"/>
        <w:numPr>
          <w:ilvl w:val="0"/>
          <w:numId w:val="60"/>
        </w:numPr>
        <w:tabs>
          <w:tab w:val="clear" w:pos="360"/>
          <w:tab w:val="num" w:pos="1440"/>
        </w:tabs>
        <w:spacing w:after="60"/>
        <w:ind w:left="1440" w:right="720"/>
      </w:pPr>
      <w:r w:rsidRPr="00C83DF5">
        <w:rPr>
          <w:rFonts w:ascii="Tahoma" w:hAnsi="Tahoma" w:cs="Tahoma"/>
          <w:sz w:val="18"/>
        </w:rPr>
        <w:t>Select Plus</w:t>
      </w:r>
    </w:p>
    <w:p w:rsidR="00456002" w:rsidRPr="00C83DF5" w:rsidRDefault="00456002" w:rsidP="00346F4B">
      <w:pPr>
        <w:pStyle w:val="AppendixBulletIndent"/>
        <w:numPr>
          <w:ilvl w:val="0"/>
          <w:numId w:val="60"/>
        </w:numPr>
        <w:tabs>
          <w:tab w:val="clear" w:pos="360"/>
          <w:tab w:val="num" w:pos="1440"/>
        </w:tabs>
        <w:spacing w:after="60"/>
        <w:ind w:left="1440" w:right="720"/>
      </w:pPr>
      <w:r w:rsidRPr="00C83DF5">
        <w:rPr>
          <w:rFonts w:ascii="Tahoma" w:hAnsi="Tahoma" w:cs="Tahoma"/>
          <w:sz w:val="18"/>
        </w:rPr>
        <w:t>School-Vertrag</w:t>
      </w:r>
    </w:p>
    <w:p w:rsidR="00456002" w:rsidRPr="00C83DF5" w:rsidRDefault="00892A1D" w:rsidP="00346F4B">
      <w:pPr>
        <w:pStyle w:val="AppendixBulletIndent"/>
        <w:numPr>
          <w:ilvl w:val="0"/>
          <w:numId w:val="60"/>
        </w:numPr>
        <w:tabs>
          <w:tab w:val="clear" w:pos="360"/>
          <w:tab w:val="num" w:pos="1440"/>
        </w:tabs>
        <w:spacing w:after="60"/>
        <w:ind w:left="1440" w:right="720"/>
      </w:pPr>
      <w:r w:rsidRPr="00C83DF5">
        <w:rPr>
          <w:rFonts w:ascii="Tahoma" w:hAnsi="Tahoma" w:cs="Tahoma"/>
          <w:sz w:val="18"/>
          <w:szCs w:val="18"/>
        </w:rPr>
        <w:t>Beitritt für Bildungslösungen</w:t>
      </w:r>
    </w:p>
    <w:p w:rsidR="00456002" w:rsidRPr="00C83DF5" w:rsidRDefault="00456002" w:rsidP="00346F4B">
      <w:pPr>
        <w:pStyle w:val="AppendixBulletIndent"/>
        <w:numPr>
          <w:ilvl w:val="0"/>
          <w:numId w:val="60"/>
        </w:numPr>
        <w:tabs>
          <w:tab w:val="clear" w:pos="360"/>
          <w:tab w:val="num" w:pos="1440"/>
        </w:tabs>
        <w:spacing w:after="60"/>
        <w:ind w:left="1440" w:right="720"/>
      </w:pPr>
      <w:r w:rsidRPr="00C83DF5">
        <w:rPr>
          <w:rFonts w:ascii="Tahoma" w:hAnsi="Tahoma" w:cs="Tahoma"/>
          <w:sz w:val="18"/>
        </w:rPr>
        <w:t>Konzernbeitritt</w:t>
      </w:r>
    </w:p>
    <w:p w:rsidR="00456002" w:rsidRPr="00C83DF5" w:rsidRDefault="00456002" w:rsidP="00346F4B">
      <w:pPr>
        <w:pStyle w:val="AppendixBulletIndent"/>
        <w:numPr>
          <w:ilvl w:val="0"/>
          <w:numId w:val="60"/>
        </w:numPr>
        <w:tabs>
          <w:tab w:val="clear" w:pos="360"/>
          <w:tab w:val="num" w:pos="1440"/>
        </w:tabs>
        <w:ind w:left="1440" w:right="720"/>
      </w:pPr>
      <w:r w:rsidRPr="00C83DF5">
        <w:rPr>
          <w:rFonts w:ascii="Tahoma" w:hAnsi="Tahoma" w:cs="Tahoma"/>
          <w:sz w:val="18"/>
        </w:rPr>
        <w:t>Konzern-Abonnement-Beitritt</w:t>
      </w:r>
    </w:p>
    <w:p w:rsidR="00456002" w:rsidRPr="00587D62" w:rsidRDefault="00456002" w:rsidP="00B147AB">
      <w:pPr>
        <w:pStyle w:val="AppendixIndent"/>
        <w:spacing w:before="0"/>
        <w:ind w:left="0" w:right="720"/>
        <w:rPr>
          <w:rFonts w:ascii="Tahoma" w:hAnsi="Tahoma" w:cs="Tahoma"/>
          <w:sz w:val="18"/>
        </w:rPr>
      </w:pPr>
    </w:p>
    <w:p w:rsidR="00456002" w:rsidRPr="00C83DF5" w:rsidRDefault="00456002" w:rsidP="00587D62">
      <w:pPr>
        <w:pStyle w:val="AppendixIndent"/>
        <w:spacing w:before="0"/>
        <w:ind w:left="0"/>
        <w:rPr>
          <w:lang w:val="de-DE"/>
        </w:rPr>
      </w:pPr>
      <w:r w:rsidRPr="00C83DF5">
        <w:rPr>
          <w:rFonts w:ascii="Tahoma" w:hAnsi="Tahoma" w:cs="Tahoma"/>
          <w:sz w:val="18"/>
          <w:lang w:val="de-DE"/>
        </w:rPr>
        <w:t>Der Kunde muss über eine qualifizierende, zugrunde liegende Desktop-Betriebssystemlizenz verfügen, bevor er das Upgrade erwerben darf. Software Assurance muss zeitgleich mit dem entsprechenden Upgrade erworben werden, außer im Fall von Abonnementprogrammen, bei denen das Upgrade bei Verlängerung einer bestehenden Software Assurance-Laufzeit erworben werden muss.</w:t>
      </w:r>
    </w:p>
    <w:p w:rsidR="00ED589D" w:rsidRPr="00F037D5" w:rsidRDefault="00ED589D" w:rsidP="00B147AB">
      <w:pPr>
        <w:pStyle w:val="AppendixIndent"/>
        <w:spacing w:before="0"/>
        <w:ind w:left="0" w:right="720"/>
        <w:rPr>
          <w:rFonts w:ascii="Tahoma" w:hAnsi="Tahoma" w:cs="Tahoma"/>
          <w:sz w:val="18"/>
          <w:lang w:val="de-DE"/>
        </w:rPr>
      </w:pPr>
    </w:p>
    <w:p w:rsidR="00456002" w:rsidRPr="00C83DF5" w:rsidRDefault="00456002" w:rsidP="00456002">
      <w:pPr>
        <w:pStyle w:val="Heading2"/>
        <w:ind w:left="0" w:right="720"/>
        <w:rPr>
          <w:lang w:val="de-DE"/>
        </w:rPr>
      </w:pPr>
      <w:bookmarkStart w:id="646" w:name="_Toc323819656"/>
      <w:bookmarkStart w:id="647" w:name="_Toc336338206"/>
      <w:bookmarkStart w:id="648" w:name="_Toc370983314"/>
      <w:r w:rsidRPr="00C83DF5">
        <w:rPr>
          <w:rFonts w:ascii="Tahoma" w:hAnsi="Tahoma" w:cs="Tahoma"/>
          <w:lang w:val="de-DE"/>
        </w:rPr>
        <w:t>Work-at-Home-Lizenzen</w:t>
      </w:r>
      <w:bookmarkEnd w:id="646"/>
      <w:bookmarkEnd w:id="647"/>
      <w:bookmarkEnd w:id="648"/>
    </w:p>
    <w:p w:rsidR="00456002" w:rsidRPr="00F037D5" w:rsidRDefault="00456002" w:rsidP="00B147AB">
      <w:pPr>
        <w:ind w:right="720"/>
        <w:rPr>
          <w:lang w:val="de-DE"/>
        </w:rPr>
      </w:pPr>
    </w:p>
    <w:p w:rsidR="00456002" w:rsidRPr="00C83DF5" w:rsidRDefault="00456002" w:rsidP="00B147AB">
      <w:pPr>
        <w:pStyle w:val="AppendixIndent"/>
        <w:spacing w:before="0"/>
        <w:ind w:left="0" w:right="720"/>
        <w:rPr>
          <w:lang w:val="de-DE"/>
        </w:rPr>
      </w:pPr>
      <w:r w:rsidRPr="00C83DF5">
        <w:rPr>
          <w:rFonts w:ascii="Tahoma" w:hAnsi="Tahoma" w:cs="Tahoma"/>
          <w:sz w:val="18"/>
          <w:lang w:val="de-DE"/>
        </w:rPr>
        <w:t>Für die folgenden Programme verfügbar:</w:t>
      </w:r>
    </w:p>
    <w:p w:rsidR="00456002" w:rsidRPr="00F037D5" w:rsidRDefault="00456002" w:rsidP="00B147AB">
      <w:pPr>
        <w:pStyle w:val="AppendixBulletIndent"/>
        <w:ind w:left="0" w:right="720" w:firstLine="0"/>
        <w:rPr>
          <w:rFonts w:ascii="Tahoma" w:hAnsi="Tahoma" w:cs="Tahoma"/>
          <w:sz w:val="18"/>
          <w:lang w:val="de-DE"/>
        </w:rPr>
      </w:pPr>
    </w:p>
    <w:p w:rsidR="00456002" w:rsidRPr="00C83DF5" w:rsidRDefault="00456002" w:rsidP="00346F4B">
      <w:pPr>
        <w:pStyle w:val="AppendixBulletIndent"/>
        <w:numPr>
          <w:ilvl w:val="0"/>
          <w:numId w:val="62"/>
        </w:numPr>
        <w:tabs>
          <w:tab w:val="clear" w:pos="360"/>
          <w:tab w:val="num" w:pos="1440"/>
        </w:tabs>
        <w:spacing w:after="60"/>
        <w:ind w:left="1440" w:right="720"/>
      </w:pPr>
      <w:r w:rsidRPr="00C83DF5">
        <w:rPr>
          <w:rFonts w:ascii="Tahoma" w:hAnsi="Tahoma" w:cs="Tahoma"/>
          <w:sz w:val="18"/>
        </w:rPr>
        <w:t xml:space="preserve">Select </w:t>
      </w:r>
    </w:p>
    <w:p w:rsidR="00456002" w:rsidRPr="00C83DF5" w:rsidRDefault="00456002" w:rsidP="00346F4B">
      <w:pPr>
        <w:pStyle w:val="AppendixBulletIndent"/>
        <w:numPr>
          <w:ilvl w:val="0"/>
          <w:numId w:val="62"/>
        </w:numPr>
        <w:tabs>
          <w:tab w:val="clear" w:pos="360"/>
          <w:tab w:val="num" w:pos="1440"/>
        </w:tabs>
        <w:spacing w:after="60"/>
        <w:ind w:left="1440" w:right="720"/>
      </w:pPr>
      <w:r w:rsidRPr="00C83DF5">
        <w:rPr>
          <w:rFonts w:ascii="Tahoma" w:hAnsi="Tahoma" w:cs="Tahoma"/>
          <w:sz w:val="18"/>
        </w:rPr>
        <w:t>Select Plus</w:t>
      </w:r>
    </w:p>
    <w:p w:rsidR="00456002" w:rsidRPr="00C83DF5" w:rsidRDefault="00456002" w:rsidP="00346F4B">
      <w:pPr>
        <w:pStyle w:val="AppendixBulletIndent"/>
        <w:numPr>
          <w:ilvl w:val="0"/>
          <w:numId w:val="62"/>
        </w:numPr>
        <w:tabs>
          <w:tab w:val="clear" w:pos="360"/>
          <w:tab w:val="num" w:pos="1440"/>
        </w:tabs>
        <w:ind w:left="1440" w:right="720"/>
      </w:pPr>
      <w:r w:rsidRPr="00C83DF5">
        <w:rPr>
          <w:rFonts w:ascii="Tahoma" w:hAnsi="Tahoma" w:cs="Tahoma"/>
          <w:sz w:val="18"/>
        </w:rPr>
        <w:t>Konzernbeitritt</w:t>
      </w:r>
    </w:p>
    <w:p w:rsidR="00456002" w:rsidRPr="00587D62" w:rsidRDefault="00456002" w:rsidP="00B147AB">
      <w:pPr>
        <w:pStyle w:val="AppendixBulletIndent"/>
        <w:ind w:left="0" w:right="720" w:firstLine="0"/>
        <w:rPr>
          <w:rFonts w:ascii="Tahoma" w:hAnsi="Tahoma" w:cs="Tahoma"/>
          <w:sz w:val="18"/>
        </w:rPr>
      </w:pPr>
    </w:p>
    <w:p w:rsidR="002107A3" w:rsidRDefault="00456002" w:rsidP="00A12176">
      <w:pPr>
        <w:rPr>
          <w:lang w:val="de-DE"/>
        </w:rPr>
      </w:pPr>
      <w:r w:rsidRPr="00C83DF5">
        <w:rPr>
          <w:lang w:val="de-DE"/>
        </w:rPr>
        <w:t>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w:t>
      </w:r>
      <w:r w:rsidR="00E71F46" w:rsidRPr="00C83DF5">
        <w:rPr>
          <w:lang w:val="de-DE"/>
        </w:rPr>
        <w:t xml:space="preserve"> </w:t>
      </w:r>
      <w:r w:rsidRPr="00C83DF5">
        <w:rPr>
          <w:lang w:val="de-DE"/>
        </w:rPr>
        <w:t>Weitere Informationen zu den Work-at-Home-Rechten, die berechtigten Kunden akademischer Einrichtungen zur Verfügung stehen, finden Sie im Vertrag/Beitritt.</w:t>
      </w:r>
      <w:r w:rsidR="00E71F46" w:rsidRPr="00C83DF5">
        <w:rPr>
          <w:lang w:val="de-DE"/>
        </w:rPr>
        <w:t xml:space="preserve"> </w:t>
      </w:r>
      <w:r w:rsidR="002107A3">
        <w:rPr>
          <w:lang w:val="de-DE"/>
        </w:rPr>
        <w:br w:type="page"/>
      </w:r>
    </w:p>
    <w:p w:rsidR="00456002" w:rsidRPr="00F037D5" w:rsidRDefault="00023FE7" w:rsidP="00B0065F">
      <w:pPr>
        <w:pStyle w:val="Heading1"/>
        <w:rPr>
          <w:lang w:val="de-DE"/>
        </w:rPr>
      </w:pPr>
      <w:bookmarkStart w:id="649" w:name="_Section_5_–"/>
      <w:bookmarkStart w:id="650" w:name="_Abschnitt_5_–"/>
      <w:bookmarkStart w:id="651" w:name="_Toc336338207"/>
      <w:bookmarkStart w:id="652" w:name="_Toc370983315"/>
      <w:bookmarkEnd w:id="649"/>
      <w:bookmarkEnd w:id="650"/>
      <w:r w:rsidRPr="00F037D5">
        <w:rPr>
          <w:lang w:val="de-DE"/>
        </w:rPr>
        <w:lastRenderedPageBreak/>
        <w:t>Abschnitt 5 –</w:t>
      </w:r>
      <w:bookmarkStart w:id="653" w:name="Sect5_OnlineServices"/>
      <w:r w:rsidRPr="00F037D5">
        <w:rPr>
          <w:lang w:val="de-DE"/>
        </w:rPr>
        <w:t xml:space="preserve"> PREISE und ZAHLUNGSBESTIMMUNGEN FÜR ONLINEDIENSTE</w:t>
      </w:r>
      <w:bookmarkEnd w:id="651"/>
      <w:bookmarkEnd w:id="652"/>
      <w:bookmarkEnd w:id="653"/>
    </w:p>
    <w:p w:rsidR="00456002" w:rsidRPr="00F037D5" w:rsidRDefault="00456002" w:rsidP="00456002">
      <w:pPr>
        <w:outlineLvl w:val="2"/>
        <w:rPr>
          <w:rFonts w:cs="Tahoma"/>
          <w:sz w:val="24"/>
          <w:szCs w:val="18"/>
          <w:lang w:val="de-DE"/>
        </w:rPr>
      </w:pPr>
    </w:p>
    <w:p w:rsidR="00D85FDD" w:rsidRPr="00F037D5" w:rsidRDefault="00D85FDD" w:rsidP="00887E20">
      <w:pPr>
        <w:pStyle w:val="Heading2"/>
        <w:ind w:left="0"/>
        <w:rPr>
          <w:rFonts w:ascii="Tahoma" w:hAnsi="Tahoma" w:cs="Tahoma"/>
          <w:sz w:val="32"/>
          <w:lang w:val="de-DE"/>
        </w:rPr>
      </w:pPr>
      <w:bookmarkStart w:id="654" w:name="_Toc370983316"/>
      <w:r w:rsidRPr="00F037D5">
        <w:rPr>
          <w:rFonts w:ascii="Tahoma" w:hAnsi="Tahoma" w:cs="Tahoma"/>
          <w:sz w:val="32"/>
          <w:lang w:val="de-DE"/>
        </w:rPr>
        <w:t>Preise und Zahlungsbestimmungen für Onlinedienste</w:t>
      </w:r>
      <w:bookmarkEnd w:id="654"/>
    </w:p>
    <w:p w:rsidR="00D85FDD" w:rsidRPr="00F037D5" w:rsidRDefault="00D85FDD" w:rsidP="00212CC6">
      <w:pPr>
        <w:outlineLvl w:val="2"/>
        <w:rPr>
          <w:rFonts w:cs="Tahoma"/>
          <w:szCs w:val="18"/>
          <w:lang w:val="de-DE"/>
        </w:rPr>
      </w:pPr>
    </w:p>
    <w:p w:rsidR="00456002" w:rsidRPr="00C83DF5" w:rsidRDefault="00456002" w:rsidP="00887E20">
      <w:pPr>
        <w:outlineLvl w:val="2"/>
      </w:pPr>
      <w:r w:rsidRPr="00C83DF5">
        <w:rPr>
          <w:rFonts w:cs="Tahoma"/>
          <w:szCs w:val="18"/>
          <w:lang w:val="de-DE"/>
        </w:rPr>
        <w:t>Onlinedienste sind Produkte, die aus Software mit auf Abonnementbasis erhältlichen Diensten bestehen, wie</w:t>
      </w:r>
      <w:r w:rsidR="00887E20">
        <w:rPr>
          <w:rFonts w:cs="Tahoma"/>
          <w:szCs w:val="18"/>
          <w:lang w:val="de-DE"/>
        </w:rPr>
        <w:t> </w:t>
      </w:r>
      <w:r w:rsidRPr="00C83DF5">
        <w:rPr>
          <w:rFonts w:cs="Tahoma"/>
          <w:szCs w:val="18"/>
          <w:lang w:val="de-DE"/>
        </w:rPr>
        <w:t>in</w:t>
      </w:r>
      <w:r w:rsidR="00887E20">
        <w:rPr>
          <w:rFonts w:cs="Tahoma"/>
          <w:szCs w:val="18"/>
          <w:lang w:val="de-DE"/>
        </w:rPr>
        <w:t> </w:t>
      </w:r>
      <w:r w:rsidRPr="00C83DF5">
        <w:rPr>
          <w:rFonts w:cs="Tahoma"/>
          <w:szCs w:val="18"/>
          <w:lang w:val="de-DE"/>
        </w:rPr>
        <w:t>den</w:t>
      </w:r>
      <w:r w:rsidR="00887E20">
        <w:rPr>
          <w:rFonts w:cs="Tahoma"/>
          <w:szCs w:val="18"/>
          <w:lang w:val="de-DE"/>
        </w:rPr>
        <w:t> </w:t>
      </w:r>
      <w:r w:rsidRPr="00C83DF5">
        <w:rPr>
          <w:rFonts w:cs="Tahoma"/>
          <w:szCs w:val="18"/>
          <w:lang w:val="de-DE"/>
        </w:rPr>
        <w:t>Produktbenutzungsrechten beschrieben, und online zur Verfügung gestellt werden.</w:t>
      </w:r>
      <w:r w:rsidR="00E71F46" w:rsidRPr="00C83DF5">
        <w:rPr>
          <w:rFonts w:cs="Tahoma"/>
          <w:szCs w:val="18"/>
          <w:lang w:val="de-DE"/>
        </w:rPr>
        <w:t xml:space="preserve"> </w:t>
      </w:r>
      <w:r w:rsidRPr="00C83DF5">
        <w:rPr>
          <w:rFonts w:cs="Tahoma"/>
          <w:szCs w:val="18"/>
          <w:lang w:val="de-DE"/>
        </w:rPr>
        <w:t xml:space="preserve">In einigen Volumenlizenzverträgen werden Kunden auf die Produktliste verwiesen, um eine Liste der verfügbaren „Onlinedienste“ zu erhalten. </w:t>
      </w:r>
      <w:r w:rsidRPr="00C83DF5">
        <w:rPr>
          <w:rFonts w:cs="Tahoma"/>
          <w:szCs w:val="18"/>
        </w:rPr>
        <w:t>Im Sinne dieses Verweises umfassen Onlinedienste Folgendes:</w:t>
      </w:r>
    </w:p>
    <w:p w:rsidR="002D25C8" w:rsidRPr="00887E20" w:rsidRDefault="002D25C8" w:rsidP="00212CC6">
      <w:pPr>
        <w:outlineLvl w:val="2"/>
        <w:rPr>
          <w:rFonts w:cs="Tahoma"/>
          <w:szCs w:val="18"/>
        </w:rPr>
      </w:pPr>
    </w:p>
    <w:p w:rsidR="00073E15" w:rsidRPr="00C83DF5" w:rsidRDefault="00A0550D" w:rsidP="00A0550D">
      <w:pPr>
        <w:numPr>
          <w:ilvl w:val="0"/>
          <w:numId w:val="67"/>
        </w:numPr>
        <w:spacing w:after="60"/>
      </w:pPr>
      <w:r w:rsidRPr="00C83DF5">
        <w:rPr>
          <w:rFonts w:eastAsia="Calibri" w:cs="Tahoma"/>
          <w:color w:val="000000"/>
          <w:szCs w:val="18"/>
        </w:rPr>
        <w:t>Bing Maps Enterprise Platform</w:t>
      </w:r>
    </w:p>
    <w:p w:rsidR="00A0550D" w:rsidRPr="00C83DF5" w:rsidRDefault="00A0550D" w:rsidP="00A0550D">
      <w:pPr>
        <w:numPr>
          <w:ilvl w:val="0"/>
          <w:numId w:val="67"/>
        </w:numPr>
        <w:spacing w:after="60"/>
      </w:pPr>
      <w:r w:rsidRPr="00C83DF5">
        <w:rPr>
          <w:rFonts w:eastAsia="Calibri" w:cs="Tahoma"/>
          <w:color w:val="000000"/>
          <w:szCs w:val="18"/>
        </w:rPr>
        <w:t>Bing Maps Mobile Asset Management Platform</w:t>
      </w:r>
    </w:p>
    <w:p w:rsidR="00A0550D" w:rsidRPr="00C83DF5" w:rsidRDefault="00A0550D" w:rsidP="00A0550D">
      <w:pPr>
        <w:numPr>
          <w:ilvl w:val="0"/>
          <w:numId w:val="67"/>
        </w:numPr>
        <w:spacing w:after="60"/>
      </w:pPr>
      <w:r w:rsidRPr="00C83DF5">
        <w:rPr>
          <w:rFonts w:eastAsia="Calibri" w:cs="Tahoma"/>
          <w:color w:val="000000"/>
          <w:szCs w:val="18"/>
        </w:rPr>
        <w:t xml:space="preserve">Datenverlustprävention </w:t>
      </w:r>
    </w:p>
    <w:p w:rsidR="00A0550D" w:rsidRPr="00C83DF5" w:rsidRDefault="00A0550D" w:rsidP="00A0550D">
      <w:pPr>
        <w:numPr>
          <w:ilvl w:val="0"/>
          <w:numId w:val="67"/>
        </w:numPr>
        <w:spacing w:after="60"/>
        <w:rPr>
          <w:lang w:val="de-DE"/>
        </w:rPr>
      </w:pPr>
      <w:r w:rsidRPr="00C83DF5">
        <w:rPr>
          <w:rFonts w:eastAsia="Calibri" w:cs="Tahoma"/>
          <w:color w:val="000000"/>
          <w:szCs w:val="18"/>
          <w:lang w:val="de-DE"/>
        </w:rPr>
        <w:t xml:space="preserve">Duet Enterprise Online für Microsoft SharePoint und SAP </w:t>
      </w:r>
    </w:p>
    <w:p w:rsidR="00B00423" w:rsidRPr="00C83DF5" w:rsidRDefault="00B00423" w:rsidP="00B00423">
      <w:pPr>
        <w:numPr>
          <w:ilvl w:val="0"/>
          <w:numId w:val="67"/>
        </w:numPr>
        <w:spacing w:after="60"/>
      </w:pPr>
      <w:r w:rsidRPr="00C83DF5">
        <w:rPr>
          <w:rFonts w:eastAsia="Calibri" w:cs="Tahoma"/>
          <w:color w:val="000000"/>
          <w:szCs w:val="18"/>
        </w:rPr>
        <w:t>Exchange Hosted Encryption</w:t>
      </w:r>
      <w:r w:rsidR="00E71F46" w:rsidRPr="00C83DF5">
        <w:rPr>
          <w:rFonts w:eastAsia="Calibri" w:cs="Tahoma"/>
          <w:color w:val="000000"/>
          <w:szCs w:val="18"/>
        </w:rPr>
        <w:t xml:space="preserve"> </w:t>
      </w:r>
    </w:p>
    <w:p w:rsidR="00A0550D" w:rsidRPr="00C83DF5" w:rsidRDefault="00A0550D" w:rsidP="00A0550D">
      <w:pPr>
        <w:numPr>
          <w:ilvl w:val="0"/>
          <w:numId w:val="67"/>
        </w:numPr>
        <w:spacing w:after="60"/>
        <w:rPr>
          <w:lang w:val="de-DE"/>
        </w:rPr>
      </w:pPr>
      <w:r w:rsidRPr="00C83DF5">
        <w:rPr>
          <w:rFonts w:eastAsia="Calibri" w:cs="Tahoma"/>
          <w:color w:val="000000"/>
          <w:szCs w:val="18"/>
          <w:lang w:val="de-DE"/>
        </w:rPr>
        <w:t xml:space="preserve">Exchange Online-Archivierung für Exchange Online </w:t>
      </w:r>
    </w:p>
    <w:p w:rsidR="00456002" w:rsidRPr="00C83DF5" w:rsidRDefault="00456002" w:rsidP="00A0550D">
      <w:pPr>
        <w:numPr>
          <w:ilvl w:val="0"/>
          <w:numId w:val="67"/>
        </w:numPr>
        <w:spacing w:after="60"/>
        <w:rPr>
          <w:lang w:val="de-DE"/>
        </w:rPr>
      </w:pPr>
      <w:r w:rsidRPr="00C83DF5">
        <w:rPr>
          <w:rFonts w:eastAsia="Calibri" w:cs="Tahoma"/>
          <w:color w:val="000000"/>
          <w:szCs w:val="18"/>
          <w:lang w:val="de-DE"/>
        </w:rPr>
        <w:t>Exchange Online-Archivierung für Exchange Server</w:t>
      </w:r>
    </w:p>
    <w:p w:rsidR="00456002" w:rsidRPr="00C83DF5" w:rsidRDefault="00456002" w:rsidP="00346F4B">
      <w:pPr>
        <w:numPr>
          <w:ilvl w:val="0"/>
          <w:numId w:val="67"/>
        </w:numPr>
        <w:spacing w:after="60"/>
        <w:rPr>
          <w:lang w:val="de-DE"/>
        </w:rPr>
      </w:pPr>
      <w:r w:rsidRPr="00C83DF5">
        <w:rPr>
          <w:rFonts w:eastAsia="Calibri" w:cs="Tahoma"/>
          <w:color w:val="000000"/>
          <w:szCs w:val="18"/>
          <w:lang w:val="de-DE"/>
        </w:rPr>
        <w:t xml:space="preserve">Exchange Online Kiosk, Plan 1 und Plan 2 </w:t>
      </w:r>
    </w:p>
    <w:p w:rsidR="00A0550D" w:rsidRPr="00C83DF5" w:rsidRDefault="00A0550D" w:rsidP="00A0550D">
      <w:pPr>
        <w:numPr>
          <w:ilvl w:val="0"/>
          <w:numId w:val="67"/>
        </w:numPr>
        <w:spacing w:after="60"/>
      </w:pPr>
      <w:r w:rsidRPr="00C83DF5">
        <w:rPr>
          <w:rFonts w:eastAsia="Calibri" w:cs="Tahoma"/>
          <w:color w:val="000000"/>
          <w:szCs w:val="18"/>
        </w:rPr>
        <w:t xml:space="preserve">Exchange Online Protection </w:t>
      </w:r>
    </w:p>
    <w:p w:rsidR="00A0550D" w:rsidRPr="00C83DF5" w:rsidRDefault="00A0550D" w:rsidP="00A0550D">
      <w:pPr>
        <w:numPr>
          <w:ilvl w:val="0"/>
          <w:numId w:val="67"/>
        </w:numPr>
        <w:spacing w:after="60"/>
      </w:pPr>
      <w:r w:rsidRPr="00C83DF5">
        <w:rPr>
          <w:rFonts w:eastAsia="Calibri" w:cs="Tahoma"/>
          <w:color w:val="000000"/>
          <w:szCs w:val="18"/>
        </w:rPr>
        <w:t xml:space="preserve">Forefront Online Protection für Exchange </w:t>
      </w:r>
    </w:p>
    <w:p w:rsidR="00A0550D" w:rsidRPr="00C83DF5" w:rsidRDefault="00A0550D" w:rsidP="00A0550D">
      <w:pPr>
        <w:numPr>
          <w:ilvl w:val="0"/>
          <w:numId w:val="67"/>
        </w:numPr>
        <w:spacing w:after="60"/>
      </w:pPr>
      <w:r w:rsidRPr="00C83DF5">
        <w:rPr>
          <w:rFonts w:eastAsia="Calibri" w:cs="Tahoma"/>
          <w:color w:val="000000"/>
          <w:szCs w:val="18"/>
        </w:rPr>
        <w:t xml:space="preserve">Groove Enterprise Services </w:t>
      </w:r>
    </w:p>
    <w:p w:rsidR="00456002" w:rsidRPr="00C83DF5" w:rsidRDefault="00456002" w:rsidP="00A0550D">
      <w:pPr>
        <w:numPr>
          <w:ilvl w:val="0"/>
          <w:numId w:val="67"/>
        </w:numPr>
        <w:spacing w:after="60"/>
      </w:pPr>
      <w:r w:rsidRPr="00C83DF5">
        <w:rPr>
          <w:rFonts w:eastAsia="Calibri" w:cs="Tahoma"/>
          <w:color w:val="000000"/>
          <w:szCs w:val="18"/>
        </w:rPr>
        <w:t>Lync Online Plan 1, 2 und 3</w:t>
      </w:r>
    </w:p>
    <w:p w:rsidR="00A0550D" w:rsidRPr="00C83DF5" w:rsidRDefault="00A0550D" w:rsidP="00A0550D">
      <w:pPr>
        <w:numPr>
          <w:ilvl w:val="0"/>
          <w:numId w:val="67"/>
        </w:numPr>
        <w:spacing w:after="60"/>
      </w:pPr>
      <w:r w:rsidRPr="00C83DF5">
        <w:rPr>
          <w:rFonts w:eastAsia="Calibri" w:cs="Tahoma"/>
          <w:color w:val="000000"/>
          <w:szCs w:val="18"/>
        </w:rPr>
        <w:t>Microsoft Dynamics CRM Online</w:t>
      </w:r>
    </w:p>
    <w:p w:rsidR="00A0550D" w:rsidRPr="00C83DF5" w:rsidRDefault="00A0550D" w:rsidP="00A0550D">
      <w:pPr>
        <w:numPr>
          <w:ilvl w:val="0"/>
          <w:numId w:val="67"/>
        </w:numPr>
        <w:spacing w:after="60"/>
      </w:pPr>
      <w:r w:rsidRPr="00C83DF5">
        <w:rPr>
          <w:rFonts w:eastAsia="Calibri" w:cs="Tahoma"/>
          <w:color w:val="000000"/>
          <w:szCs w:val="18"/>
        </w:rPr>
        <w:t>Microsoft Learning E-Reference Library und IT Academy</w:t>
      </w:r>
    </w:p>
    <w:p w:rsidR="00456002" w:rsidRPr="00C83DF5" w:rsidRDefault="00456002" w:rsidP="00A0550D">
      <w:pPr>
        <w:numPr>
          <w:ilvl w:val="0"/>
          <w:numId w:val="67"/>
        </w:numPr>
        <w:spacing w:after="60"/>
        <w:rPr>
          <w:lang w:val="it-IT"/>
        </w:rPr>
      </w:pPr>
      <w:r w:rsidRPr="00C83DF5">
        <w:rPr>
          <w:rFonts w:eastAsia="Calibri" w:cs="Tahoma"/>
          <w:color w:val="000000"/>
          <w:szCs w:val="18"/>
          <w:lang w:val="it-IT"/>
        </w:rPr>
        <w:t>Office 365 Enterprise K1, E1, E3 und E4</w:t>
      </w:r>
    </w:p>
    <w:p w:rsidR="00061A45" w:rsidRPr="00C83DF5" w:rsidRDefault="008368B4" w:rsidP="00346F4B">
      <w:pPr>
        <w:numPr>
          <w:ilvl w:val="0"/>
          <w:numId w:val="67"/>
        </w:numPr>
        <w:spacing w:after="60"/>
      </w:pPr>
      <w:r w:rsidRPr="00C83DF5">
        <w:rPr>
          <w:rFonts w:eastAsia="Calibri" w:cs="Tahoma"/>
          <w:color w:val="000000"/>
          <w:szCs w:val="18"/>
        </w:rPr>
        <w:t>Office 365 ProPlus</w:t>
      </w:r>
    </w:p>
    <w:p w:rsidR="00A0550D" w:rsidRPr="00C83DF5" w:rsidRDefault="00A0550D" w:rsidP="00A0550D">
      <w:pPr>
        <w:numPr>
          <w:ilvl w:val="0"/>
          <w:numId w:val="67"/>
        </w:numPr>
        <w:spacing w:after="60"/>
      </w:pPr>
      <w:r w:rsidRPr="00C83DF5">
        <w:rPr>
          <w:rFonts w:eastAsia="Calibri" w:cs="Tahoma"/>
          <w:color w:val="000000"/>
          <w:szCs w:val="18"/>
        </w:rPr>
        <w:t xml:space="preserve">Office-Webanwendungen </w:t>
      </w:r>
    </w:p>
    <w:p w:rsidR="008368B4" w:rsidRPr="00C83DF5" w:rsidRDefault="008368B4" w:rsidP="00A0550D">
      <w:pPr>
        <w:numPr>
          <w:ilvl w:val="0"/>
          <w:numId w:val="67"/>
        </w:numPr>
        <w:spacing w:after="60"/>
      </w:pPr>
      <w:r w:rsidRPr="00C83DF5">
        <w:rPr>
          <w:rFonts w:eastAsia="Calibri" w:cs="Tahoma"/>
          <w:color w:val="000000"/>
          <w:szCs w:val="18"/>
        </w:rPr>
        <w:t>Project Online</w:t>
      </w:r>
    </w:p>
    <w:p w:rsidR="008368B4" w:rsidRPr="00C83DF5" w:rsidRDefault="008368B4" w:rsidP="00346F4B">
      <w:pPr>
        <w:numPr>
          <w:ilvl w:val="0"/>
          <w:numId w:val="67"/>
        </w:numPr>
        <w:spacing w:after="60"/>
      </w:pPr>
      <w:r w:rsidRPr="00C83DF5">
        <w:rPr>
          <w:rFonts w:eastAsia="Calibri" w:cs="Tahoma"/>
          <w:color w:val="000000"/>
          <w:szCs w:val="18"/>
        </w:rPr>
        <w:t>Project Pro für Office 365</w:t>
      </w:r>
    </w:p>
    <w:p w:rsidR="00456002" w:rsidRPr="00C83DF5" w:rsidRDefault="00456002" w:rsidP="00346F4B">
      <w:pPr>
        <w:numPr>
          <w:ilvl w:val="0"/>
          <w:numId w:val="67"/>
        </w:numPr>
        <w:spacing w:after="60"/>
      </w:pPr>
      <w:r w:rsidRPr="00C83DF5">
        <w:rPr>
          <w:rFonts w:eastAsia="Calibri" w:cs="Tahoma"/>
          <w:color w:val="000000"/>
          <w:szCs w:val="18"/>
        </w:rPr>
        <w:t xml:space="preserve">SharePoint Online Kiosk, Plan 1 und Plan 2 </w:t>
      </w:r>
    </w:p>
    <w:p w:rsidR="00456002" w:rsidRPr="00C83DF5" w:rsidRDefault="00456002" w:rsidP="00A0550D">
      <w:pPr>
        <w:numPr>
          <w:ilvl w:val="0"/>
          <w:numId w:val="67"/>
        </w:numPr>
        <w:spacing w:after="60"/>
      </w:pPr>
      <w:r w:rsidRPr="00C83DF5">
        <w:rPr>
          <w:rFonts w:eastAsia="Calibri" w:cs="Tahoma"/>
          <w:color w:val="000000"/>
          <w:szCs w:val="18"/>
        </w:rPr>
        <w:t xml:space="preserve">System Center Endpoint Protection </w:t>
      </w:r>
    </w:p>
    <w:p w:rsidR="00B00423" w:rsidRPr="00C83DF5" w:rsidRDefault="00B00423" w:rsidP="00B00423">
      <w:pPr>
        <w:numPr>
          <w:ilvl w:val="0"/>
          <w:numId w:val="67"/>
        </w:numPr>
        <w:spacing w:after="60"/>
      </w:pPr>
      <w:r w:rsidRPr="00C83DF5">
        <w:rPr>
          <w:rFonts w:eastAsia="Calibri" w:cs="Tahoma"/>
          <w:color w:val="000000"/>
          <w:szCs w:val="18"/>
        </w:rPr>
        <w:t xml:space="preserve">Translator API </w:t>
      </w:r>
    </w:p>
    <w:p w:rsidR="008368B4" w:rsidRPr="00C83DF5" w:rsidRDefault="008368B4" w:rsidP="00B00423">
      <w:pPr>
        <w:numPr>
          <w:ilvl w:val="0"/>
          <w:numId w:val="67"/>
        </w:numPr>
        <w:spacing w:after="60"/>
      </w:pPr>
      <w:r w:rsidRPr="00C83DF5">
        <w:rPr>
          <w:rFonts w:eastAsia="Calibri" w:cs="Tahoma"/>
          <w:color w:val="000000"/>
          <w:szCs w:val="18"/>
        </w:rPr>
        <w:t>Visio Pro für Office 365</w:t>
      </w:r>
    </w:p>
    <w:p w:rsidR="00073E15" w:rsidRPr="00C83DF5" w:rsidRDefault="00456002" w:rsidP="00B00423">
      <w:pPr>
        <w:numPr>
          <w:ilvl w:val="0"/>
          <w:numId w:val="67"/>
        </w:numPr>
        <w:spacing w:after="60"/>
      </w:pPr>
      <w:r w:rsidRPr="00C83DF5">
        <w:rPr>
          <w:rFonts w:eastAsia="Calibri" w:cs="Tahoma"/>
          <w:color w:val="000000"/>
          <w:szCs w:val="18"/>
        </w:rPr>
        <w:t>Windows Azure Active Directory-Rechteverwaltung</w:t>
      </w:r>
    </w:p>
    <w:p w:rsidR="00456002" w:rsidRPr="00C83DF5" w:rsidRDefault="00073E15" w:rsidP="00B00423">
      <w:pPr>
        <w:numPr>
          <w:ilvl w:val="0"/>
          <w:numId w:val="67"/>
        </w:numPr>
        <w:spacing w:after="60"/>
      </w:pPr>
      <w:r w:rsidRPr="00C83DF5">
        <w:rPr>
          <w:rFonts w:eastAsia="Calibri" w:cs="Tahoma"/>
          <w:color w:val="000000"/>
          <w:szCs w:val="18"/>
        </w:rPr>
        <w:t>Windows Azure-Dienste</w:t>
      </w:r>
    </w:p>
    <w:p w:rsidR="00073E15" w:rsidRPr="00C83DF5" w:rsidRDefault="00456002" w:rsidP="00346F4B">
      <w:pPr>
        <w:numPr>
          <w:ilvl w:val="0"/>
          <w:numId w:val="67"/>
        </w:numPr>
        <w:spacing w:after="60"/>
      </w:pPr>
      <w:r w:rsidRPr="00C83DF5">
        <w:rPr>
          <w:rFonts w:eastAsia="Calibri" w:cs="Tahoma"/>
          <w:color w:val="000000"/>
          <w:szCs w:val="18"/>
        </w:rPr>
        <w:t>Windows Intune</w:t>
      </w:r>
    </w:p>
    <w:p w:rsidR="00456002" w:rsidRPr="00C83DF5" w:rsidRDefault="003929D1" w:rsidP="00346F4B">
      <w:pPr>
        <w:numPr>
          <w:ilvl w:val="0"/>
          <w:numId w:val="67"/>
        </w:numPr>
        <w:spacing w:after="60"/>
      </w:pPr>
      <w:r w:rsidRPr="00C83DF5">
        <w:rPr>
          <w:rFonts w:eastAsia="Calibri" w:cs="Tahoma"/>
          <w:color w:val="000000"/>
          <w:szCs w:val="18"/>
        </w:rPr>
        <w:t>Windows Intune-Add-On für System Center Configuration Manager und System Center Endpoint Protection</w:t>
      </w:r>
    </w:p>
    <w:p w:rsidR="00B00423" w:rsidRPr="00C83DF5" w:rsidRDefault="00B00423" w:rsidP="00346F4B">
      <w:pPr>
        <w:numPr>
          <w:ilvl w:val="0"/>
          <w:numId w:val="67"/>
        </w:numPr>
        <w:spacing w:after="60"/>
      </w:pPr>
      <w:r w:rsidRPr="00C83DF5">
        <w:rPr>
          <w:rFonts w:eastAsia="Calibri" w:cs="Tahoma"/>
          <w:color w:val="000000"/>
          <w:szCs w:val="18"/>
        </w:rPr>
        <w:t>Yammer Enterprise</w:t>
      </w:r>
    </w:p>
    <w:p w:rsidR="002D25C8" w:rsidRPr="00AC0924" w:rsidRDefault="002D25C8" w:rsidP="00212CC6">
      <w:pPr>
        <w:rPr>
          <w:rFonts w:eastAsia="Calibri" w:cs="Tahoma"/>
          <w:color w:val="000000"/>
          <w:szCs w:val="18"/>
        </w:rPr>
      </w:pPr>
    </w:p>
    <w:p w:rsidR="00456002" w:rsidRPr="00C83DF5" w:rsidRDefault="00456002" w:rsidP="00AC0924">
      <w:pPr>
        <w:outlineLvl w:val="2"/>
        <w:rPr>
          <w:lang w:val="de-DE"/>
        </w:rPr>
      </w:pPr>
      <w:r w:rsidRPr="00C83DF5">
        <w:rPr>
          <w:rFonts w:cs="Tahoma"/>
          <w:szCs w:val="18"/>
          <w:lang w:val="de-DE"/>
        </w:rPr>
        <w:t>Zusätzlich zu den genannten gibt es weitere Angebote, die im Abschnitt „Onlinedienste“ der Produktbenutzungsrechte aufgeführt werden.</w:t>
      </w:r>
      <w:r w:rsidR="00E71F46" w:rsidRPr="00C83DF5">
        <w:rPr>
          <w:rFonts w:cs="Tahoma"/>
          <w:szCs w:val="18"/>
          <w:lang w:val="de-DE"/>
        </w:rPr>
        <w:t xml:space="preserve"> </w:t>
      </w:r>
      <w:r w:rsidRPr="00C83DF5">
        <w:rPr>
          <w:rFonts w:cs="Tahoma"/>
          <w:szCs w:val="18"/>
          <w:lang w:val="de-DE"/>
        </w:rPr>
        <w:t>Die übrigen Abschnitte dieser „Preise und Zahlungsbestimmungen für</w:t>
      </w:r>
      <w:r w:rsidR="00AC0924">
        <w:rPr>
          <w:rFonts w:cs="Tahoma"/>
          <w:szCs w:val="18"/>
          <w:lang w:val="de-DE"/>
        </w:rPr>
        <w:t> </w:t>
      </w:r>
      <w:r w:rsidRPr="00C83DF5">
        <w:rPr>
          <w:rFonts w:cs="Tahoma"/>
          <w:szCs w:val="18"/>
          <w:lang w:val="de-DE"/>
        </w:rPr>
        <w:t>Onlinedienste“ gelten für die oben namentlich genannten Onlinedienste und diese weiteren Angebote.</w:t>
      </w:r>
    </w:p>
    <w:p w:rsidR="00116EDC" w:rsidRDefault="00116EDC" w:rsidP="00116EDC">
      <w:pPr>
        <w:outlineLvl w:val="2"/>
        <w:rPr>
          <w:lang w:val="de-DE"/>
        </w:rPr>
      </w:pPr>
    </w:p>
    <w:p w:rsidR="00687587" w:rsidRDefault="00687587" w:rsidP="00116EDC">
      <w:pPr>
        <w:outlineLvl w:val="2"/>
        <w:rPr>
          <w:lang w:val="de-DE"/>
        </w:rPr>
      </w:pPr>
    </w:p>
    <w:p w:rsidR="00732342" w:rsidRPr="00C83DF5" w:rsidRDefault="00732342" w:rsidP="00116EDC">
      <w:pPr>
        <w:outlineLvl w:val="2"/>
        <w:rPr>
          <w:lang w:val="de-DE"/>
        </w:rPr>
      </w:pPr>
    </w:p>
    <w:p w:rsidR="00456002" w:rsidRPr="00C83DF5" w:rsidRDefault="00456002" w:rsidP="00456002">
      <w:pPr>
        <w:pStyle w:val="Heading2"/>
        <w:ind w:left="0"/>
        <w:rPr>
          <w:lang w:val="de-DE"/>
        </w:rPr>
      </w:pPr>
      <w:bookmarkStart w:id="655" w:name="_Toc336338208"/>
      <w:bookmarkStart w:id="656" w:name="_Toc370983317"/>
      <w:r w:rsidRPr="00C83DF5">
        <w:rPr>
          <w:rFonts w:ascii="Tahoma" w:hAnsi="Tahoma" w:cs="Tahoma"/>
          <w:lang w:val="de-DE"/>
        </w:rPr>
        <w:lastRenderedPageBreak/>
        <w:t>Laufzeit eines Onlinedienste-Abonnements</w:t>
      </w:r>
      <w:bookmarkEnd w:id="655"/>
      <w:bookmarkEnd w:id="656"/>
    </w:p>
    <w:p w:rsidR="00456002" w:rsidRPr="00C83DF5" w:rsidRDefault="00456002" w:rsidP="00116EDC">
      <w:pPr>
        <w:outlineLvl w:val="2"/>
        <w:rPr>
          <w:lang w:val="de-DE"/>
        </w:rPr>
      </w:pPr>
    </w:p>
    <w:p w:rsidR="006A5DAE" w:rsidRPr="00C83DF5" w:rsidRDefault="00456002" w:rsidP="00732342">
      <w:pPr>
        <w:outlineLvl w:val="2"/>
        <w:rPr>
          <w:lang w:val="de-DE"/>
        </w:rPr>
      </w:pPr>
      <w:r w:rsidRPr="00C83DF5">
        <w:rPr>
          <w:rFonts w:cs="Tahoma"/>
          <w:szCs w:val="18"/>
          <w:lang w:val="de-DE"/>
        </w:rPr>
        <w:t>Der erste Erwerb eines neuen Onlinedienste-Abonnements bestimmt die Laufzeitdauer des Abonnements.</w:t>
      </w:r>
      <w:r w:rsidR="00E71F46" w:rsidRPr="00C83DF5">
        <w:rPr>
          <w:rFonts w:cs="Tahoma"/>
          <w:szCs w:val="18"/>
          <w:lang w:val="de-DE"/>
        </w:rPr>
        <w:t xml:space="preserve"> </w:t>
      </w:r>
      <w:r w:rsidRPr="00C83DF5">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E71F46" w:rsidRPr="00C83DF5">
        <w:rPr>
          <w:rFonts w:cs="Tahoma"/>
          <w:szCs w:val="18"/>
          <w:lang w:val="de-DE"/>
        </w:rPr>
        <w:t xml:space="preserve"> </w:t>
      </w:r>
      <w:r w:rsidRPr="00C83DF5">
        <w:rPr>
          <w:rFonts w:cs="Tahoma"/>
          <w:szCs w:val="18"/>
          <w:lang w:val="de-DE"/>
        </w:rPr>
        <w:t>Select Plus verfügt nicht über die Option der identischen Laufzeit, bietet dem Kunden jedoch die</w:t>
      </w:r>
      <w:r w:rsidR="00732342">
        <w:rPr>
          <w:rFonts w:cs="Tahoma"/>
          <w:szCs w:val="18"/>
          <w:lang w:val="de-DE"/>
        </w:rPr>
        <w:t> </w:t>
      </w:r>
      <w:r w:rsidRPr="00C83DF5">
        <w:rPr>
          <w:rFonts w:cs="Tahoma"/>
          <w:szCs w:val="18"/>
          <w:lang w:val="de-DE"/>
        </w:rPr>
        <w:t>Wahl bei der Abonnementlaufzeit, darunter 1 Jahr oder 3 Jahre, sowie die Möglichkeit, die Laufzeit auf den 2. Jahrestag ab dem Startdatum der Laufzeit abzustimmen.</w:t>
      </w:r>
      <w:r w:rsidR="00E71F46" w:rsidRPr="00C83DF5">
        <w:rPr>
          <w:rFonts w:cs="Tahoma"/>
          <w:szCs w:val="18"/>
          <w:lang w:val="de-DE"/>
        </w:rPr>
        <w:t xml:space="preserve"> </w:t>
      </w:r>
      <w:r w:rsidRPr="00C83DF5">
        <w:rPr>
          <w:rFonts w:cs="Tahoma"/>
          <w:szCs w:val="18"/>
          <w:lang w:val="de-DE"/>
        </w:rPr>
        <w:t>Eine einjährige Abonnementlaufzeit kann möglicherweise nicht auf das Enddatum des Kundenvertrages abgestimmt werden und läuft womöglich nicht an diesem Tag ab.</w:t>
      </w:r>
      <w:r w:rsidR="00E71F46" w:rsidRPr="00C83DF5">
        <w:rPr>
          <w:rFonts w:cs="Tahoma"/>
          <w:szCs w:val="18"/>
          <w:lang w:val="de-DE"/>
        </w:rPr>
        <w:t xml:space="preserve"> </w:t>
      </w:r>
      <w:r w:rsidRPr="00C83DF5">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E71F46" w:rsidRPr="00C83DF5">
        <w:rPr>
          <w:rFonts w:cs="Tahoma"/>
          <w:szCs w:val="18"/>
          <w:lang w:val="de-DE"/>
        </w:rPr>
        <w:t xml:space="preserve"> </w:t>
      </w:r>
      <w:r w:rsidRPr="00C83DF5">
        <w:rPr>
          <w:rFonts w:cs="Tahoma"/>
          <w:szCs w:val="18"/>
          <w:lang w:val="de-DE"/>
        </w:rPr>
        <w:t>Wenn der Kunde zusätzliche Dienste erwirbt, muss die Abonnementlaufzeit des zusätzlichen Erwerbs mit der bestehenden Abonnementlaufzeit des Kunden für denselben Service übereinstimmen.</w:t>
      </w:r>
      <w:r w:rsidR="00E71F46" w:rsidRPr="00C83DF5">
        <w:rPr>
          <w:rFonts w:cs="Tahoma"/>
          <w:szCs w:val="18"/>
          <w:lang w:val="de-DE"/>
        </w:rPr>
        <w:t xml:space="preserve"> </w:t>
      </w:r>
      <w:r w:rsidRPr="00C83DF5">
        <w:rPr>
          <w:rFonts w:cs="Tahoma"/>
          <w:szCs w:val="18"/>
          <w:lang w:val="de-DE"/>
        </w:rPr>
        <w:t>Wenn die Preise für zusätzliche Bestellungen von Produkten oder Diensten im vorhandenen Vertrag des Kunden nicht genannt werden, ist der Preis, den wir dem eingetragenen Rechnungsempfänger für zusätzliche Mengen von Diensten in Rechnung stellen, der gleiche Preis wie</w:t>
      </w:r>
      <w:r w:rsidR="00732342">
        <w:rPr>
          <w:rFonts w:cs="Tahoma"/>
          <w:szCs w:val="18"/>
          <w:lang w:val="de-DE"/>
        </w:rPr>
        <w:t> </w:t>
      </w:r>
      <w:r w:rsidRPr="00C83DF5">
        <w:rPr>
          <w:rFonts w:cs="Tahoma"/>
          <w:szCs w:val="18"/>
          <w:lang w:val="de-DE"/>
        </w:rPr>
        <w:t>beim ersten Erwerb.</w:t>
      </w:r>
      <w:r w:rsidR="00E71F46" w:rsidRPr="00C83DF5">
        <w:rPr>
          <w:rFonts w:cs="Tahoma"/>
          <w:szCs w:val="18"/>
          <w:lang w:val="de-DE"/>
        </w:rPr>
        <w:t xml:space="preserve"> </w:t>
      </w:r>
      <w:r w:rsidRPr="00C83DF5">
        <w:rPr>
          <w:rFonts w:cs="Tahoma"/>
          <w:szCs w:val="18"/>
          <w:lang w:val="de-DE"/>
        </w:rPr>
        <w:t xml:space="preserve">Spezifische Informationen zu Windows Azure-Diensten finden Sie unten im Abschnitt „Windows Azure-Dienste“. </w:t>
      </w:r>
    </w:p>
    <w:p w:rsidR="00456002" w:rsidRPr="00F037D5" w:rsidRDefault="00456002" w:rsidP="00212CC6">
      <w:pPr>
        <w:rPr>
          <w:rFonts w:eastAsia="Calibri" w:cs="Tahoma"/>
          <w:sz w:val="20"/>
          <w:szCs w:val="18"/>
          <w:lang w:val="de-DE"/>
        </w:rPr>
      </w:pPr>
    </w:p>
    <w:p w:rsidR="001C1727" w:rsidRPr="00F037D5" w:rsidRDefault="001C1727">
      <w:pPr>
        <w:rPr>
          <w:lang w:val="de-DE"/>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4D388E"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C83DF5" w:rsidRDefault="00456002" w:rsidP="005C647E">
            <w:pPr>
              <w:jc w:val="center"/>
              <w:rPr>
                <w:rFonts w:eastAsia="Calibri" w:cs="Tahoma"/>
                <w:b/>
                <w:bCs/>
                <w:sz w:val="20"/>
                <w:szCs w:val="18"/>
                <w:lang w:val="de-DE"/>
              </w:rPr>
            </w:pPr>
            <w:r w:rsidRPr="00C83DF5">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C83DF5" w:rsidRDefault="00456002" w:rsidP="005C647E">
            <w:pPr>
              <w:jc w:val="center"/>
              <w:rPr>
                <w:rFonts w:eastAsia="Calibri" w:cs="Tahoma"/>
                <w:b/>
                <w:bCs/>
                <w:sz w:val="20"/>
                <w:szCs w:val="18"/>
                <w:lang w:val="de-DE"/>
              </w:rPr>
            </w:pPr>
            <w:r w:rsidRPr="00C83DF5">
              <w:rPr>
                <w:rFonts w:eastAsia="Calibri" w:cs="Tahoma"/>
                <w:b/>
                <w:bCs/>
                <w:sz w:val="20"/>
                <w:szCs w:val="18"/>
                <w:lang w:val="de-DE"/>
              </w:rPr>
              <w:t>Verfügbare Onlinedienste nur für ein Abonnement mit identischer Laufzeit</w:t>
            </w:r>
          </w:p>
        </w:tc>
      </w:tr>
      <w:tr w:rsidR="00456002" w:rsidRPr="00C83DF5"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C83DF5" w:rsidRDefault="00456002" w:rsidP="00346F4B">
            <w:pPr>
              <w:numPr>
                <w:ilvl w:val="0"/>
                <w:numId w:val="68"/>
              </w:numPr>
              <w:spacing w:after="60"/>
              <w:ind w:left="720" w:right="259"/>
            </w:pPr>
            <w:r w:rsidRPr="00C83DF5">
              <w:rPr>
                <w:rFonts w:eastAsia="Calibri" w:cs="Tahoma"/>
                <w:color w:val="000000"/>
                <w:szCs w:val="18"/>
              </w:rPr>
              <w:t>Bing Maps Enterprise</w:t>
            </w:r>
          </w:p>
          <w:p w:rsidR="00AD481C" w:rsidRPr="00C83DF5" w:rsidRDefault="00AD481C" w:rsidP="00346F4B">
            <w:pPr>
              <w:numPr>
                <w:ilvl w:val="0"/>
                <w:numId w:val="68"/>
              </w:numPr>
              <w:spacing w:after="60"/>
              <w:ind w:left="720" w:right="259"/>
            </w:pPr>
            <w:r w:rsidRPr="00C83DF5">
              <w:rPr>
                <w:rFonts w:eastAsia="Calibri" w:cs="Tahoma"/>
                <w:color w:val="000000"/>
                <w:szCs w:val="18"/>
              </w:rPr>
              <w:t>Bing Maps Mobile Asset Management</w:t>
            </w:r>
          </w:p>
          <w:p w:rsidR="00456002" w:rsidRPr="00C83DF5" w:rsidRDefault="00456002" w:rsidP="003F069B">
            <w:pPr>
              <w:numPr>
                <w:ilvl w:val="0"/>
                <w:numId w:val="68"/>
              </w:numPr>
              <w:spacing w:after="60"/>
              <w:ind w:left="720" w:right="259"/>
            </w:pPr>
            <w:r w:rsidRPr="00C83DF5">
              <w:rPr>
                <w:rFonts w:eastAsia="Calibri" w:cs="Tahoma"/>
                <w:color w:val="000000"/>
                <w:szCs w:val="18"/>
              </w:rPr>
              <w:t>Forefront Protection 2010 für Exchange</w:t>
            </w:r>
            <w:r w:rsidR="003F069B">
              <w:rPr>
                <w:rFonts w:eastAsia="Calibri" w:cs="Tahoma"/>
                <w:color w:val="000000"/>
                <w:szCs w:val="18"/>
              </w:rPr>
              <w:t> </w:t>
            </w:r>
            <w:r w:rsidRPr="00C83DF5">
              <w:rPr>
                <w:rFonts w:eastAsia="Calibri" w:cs="Tahoma"/>
                <w:color w:val="000000"/>
                <w:szCs w:val="18"/>
              </w:rPr>
              <w:t>Server</w:t>
            </w:r>
          </w:p>
          <w:p w:rsidR="00456002" w:rsidRPr="00C83DF5" w:rsidRDefault="00456002" w:rsidP="00346F4B">
            <w:pPr>
              <w:numPr>
                <w:ilvl w:val="0"/>
                <w:numId w:val="68"/>
              </w:numPr>
              <w:spacing w:after="60"/>
              <w:ind w:left="720" w:right="259"/>
            </w:pPr>
            <w:r w:rsidRPr="00C83DF5">
              <w:rPr>
                <w:rFonts w:eastAsia="Calibri" w:cs="Tahoma"/>
                <w:color w:val="000000"/>
                <w:szCs w:val="18"/>
              </w:rPr>
              <w:t xml:space="preserve">Forefront Protection 2010 für SharePoint </w:t>
            </w:r>
          </w:p>
          <w:p w:rsidR="00456002" w:rsidRPr="00C83DF5" w:rsidRDefault="00456002" w:rsidP="00346F4B">
            <w:pPr>
              <w:numPr>
                <w:ilvl w:val="0"/>
                <w:numId w:val="68"/>
              </w:numPr>
              <w:spacing w:after="60"/>
              <w:ind w:left="720" w:right="259"/>
            </w:pPr>
            <w:r w:rsidRPr="00C83DF5">
              <w:rPr>
                <w:rFonts w:eastAsia="Calibri" w:cs="Tahoma"/>
                <w:color w:val="000000"/>
                <w:szCs w:val="18"/>
              </w:rPr>
              <w:t>Forefront Protection Suite</w:t>
            </w:r>
          </w:p>
          <w:p w:rsidR="00456002" w:rsidRPr="00C83DF5" w:rsidRDefault="00456002" w:rsidP="00346F4B">
            <w:pPr>
              <w:numPr>
                <w:ilvl w:val="0"/>
                <w:numId w:val="68"/>
              </w:numPr>
              <w:spacing w:after="60"/>
              <w:ind w:left="720" w:right="259"/>
            </w:pPr>
            <w:r w:rsidRPr="00C83DF5">
              <w:rPr>
                <w:rFonts w:eastAsia="Calibri" w:cs="Tahoma"/>
                <w:color w:val="000000"/>
                <w:szCs w:val="18"/>
              </w:rPr>
              <w:t>Forefront Security für Office Communications Server</w:t>
            </w:r>
          </w:p>
          <w:p w:rsidR="00456002" w:rsidRPr="00C83DF5" w:rsidRDefault="00456002" w:rsidP="00346F4B">
            <w:pPr>
              <w:numPr>
                <w:ilvl w:val="0"/>
                <w:numId w:val="68"/>
              </w:numPr>
              <w:spacing w:after="60"/>
              <w:ind w:left="720" w:right="259"/>
            </w:pPr>
            <w:r w:rsidRPr="00C83DF5">
              <w:rPr>
                <w:rFonts w:eastAsia="Calibri" w:cs="Tahoma"/>
                <w:color w:val="000000"/>
                <w:szCs w:val="18"/>
              </w:rPr>
              <w:t>Forefront Threat Management Gateway Web Protection Service</w:t>
            </w:r>
          </w:p>
          <w:p w:rsidR="00456002" w:rsidRPr="00C83DF5" w:rsidRDefault="00456002" w:rsidP="00346F4B">
            <w:pPr>
              <w:numPr>
                <w:ilvl w:val="0"/>
                <w:numId w:val="68"/>
              </w:numPr>
              <w:spacing w:after="60"/>
              <w:ind w:left="720" w:right="259"/>
            </w:pPr>
            <w:r w:rsidRPr="00C83DF5">
              <w:rPr>
                <w:rFonts w:eastAsia="Calibri" w:cs="Tahoma"/>
                <w:color w:val="000000"/>
                <w:szCs w:val="18"/>
              </w:rPr>
              <w:t>Lync Server Public Instant Messaging Connectivity mit America Online (AOL) Instant Messaging Service und Windows Live Messenger Service</w:t>
            </w:r>
          </w:p>
          <w:p w:rsidR="00456002" w:rsidRPr="00C83DF5" w:rsidRDefault="00456002" w:rsidP="00346F4B">
            <w:pPr>
              <w:numPr>
                <w:ilvl w:val="0"/>
                <w:numId w:val="68"/>
              </w:numPr>
              <w:spacing w:after="60"/>
              <w:ind w:left="720" w:right="259"/>
            </w:pPr>
            <w:r w:rsidRPr="00C83DF5">
              <w:rPr>
                <w:rFonts w:eastAsia="Calibri" w:cs="Tahoma"/>
                <w:color w:val="000000"/>
                <w:szCs w:val="18"/>
              </w:rPr>
              <w:t xml:space="preserve">Lync Server Public Instant Messaging Connectivity mit Instant Messaging Service von Yahoo </w:t>
            </w:r>
          </w:p>
          <w:p w:rsidR="00456002" w:rsidRPr="00C83DF5" w:rsidRDefault="00456002" w:rsidP="00346F4B">
            <w:pPr>
              <w:numPr>
                <w:ilvl w:val="0"/>
                <w:numId w:val="68"/>
              </w:numPr>
              <w:spacing w:after="60"/>
              <w:ind w:left="720" w:right="259"/>
            </w:pPr>
            <w:r w:rsidRPr="00C83DF5">
              <w:rPr>
                <w:rFonts w:eastAsia="Calibri" w:cs="Tahoma"/>
                <w:color w:val="000000"/>
                <w:szCs w:val="18"/>
              </w:rPr>
              <w:t>Microsoft Exchange Hosted Encryption</w:t>
            </w:r>
            <w:r w:rsidR="00E71F46" w:rsidRPr="00C83DF5">
              <w:rPr>
                <w:rFonts w:eastAsia="Calibri" w:cs="Tahoma"/>
                <w:color w:val="000000"/>
                <w:szCs w:val="18"/>
              </w:rPr>
              <w:t xml:space="preserve"> </w:t>
            </w:r>
          </w:p>
          <w:p w:rsidR="00456002" w:rsidRPr="00C83DF5" w:rsidRDefault="00456002" w:rsidP="00346F4B">
            <w:pPr>
              <w:numPr>
                <w:ilvl w:val="0"/>
                <w:numId w:val="68"/>
              </w:numPr>
              <w:spacing w:after="60"/>
              <w:ind w:left="720" w:right="259"/>
            </w:pPr>
            <w:r w:rsidRPr="00C83DF5">
              <w:rPr>
                <w:rFonts w:eastAsia="Calibri" w:cs="Tahoma"/>
                <w:color w:val="000000"/>
                <w:szCs w:val="18"/>
              </w:rPr>
              <w:t>Microsoft Learning</w:t>
            </w:r>
          </w:p>
          <w:p w:rsidR="00456002" w:rsidRPr="00C83DF5" w:rsidRDefault="00456002" w:rsidP="00346F4B">
            <w:pPr>
              <w:numPr>
                <w:ilvl w:val="0"/>
                <w:numId w:val="68"/>
              </w:numPr>
              <w:spacing w:after="60"/>
              <w:ind w:left="720" w:right="259"/>
            </w:pPr>
            <w:r w:rsidRPr="00C83DF5">
              <w:rPr>
                <w:rFonts w:eastAsia="Calibri" w:cs="Tahoma"/>
                <w:color w:val="000000"/>
                <w:szCs w:val="18"/>
              </w:rPr>
              <w:t>Office Groove Enterprise Services</w:t>
            </w:r>
          </w:p>
          <w:p w:rsidR="00456002" w:rsidRPr="00C83DF5" w:rsidRDefault="00456002" w:rsidP="00346F4B">
            <w:pPr>
              <w:numPr>
                <w:ilvl w:val="0"/>
                <w:numId w:val="68"/>
              </w:numPr>
              <w:spacing w:after="60"/>
              <w:ind w:left="720" w:right="259"/>
            </w:pPr>
            <w:r w:rsidRPr="00C83DF5">
              <w:rPr>
                <w:rFonts w:eastAsia="Calibri" w:cs="Tahoma"/>
                <w:color w:val="000000"/>
                <w:szCs w:val="18"/>
              </w:rPr>
              <w:t>System Center 2012 Endpoint Protection</w:t>
            </w:r>
          </w:p>
          <w:p w:rsidR="00456002" w:rsidRPr="00C83DF5"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C83DF5" w:rsidRDefault="001B413E" w:rsidP="00346F4B">
            <w:pPr>
              <w:numPr>
                <w:ilvl w:val="0"/>
                <w:numId w:val="69"/>
              </w:numPr>
              <w:spacing w:after="60"/>
              <w:ind w:left="576" w:right="187"/>
            </w:pPr>
            <w:r w:rsidRPr="00C83DF5">
              <w:rPr>
                <w:rFonts w:eastAsia="Calibri" w:cs="Tahoma"/>
                <w:color w:val="000000"/>
                <w:szCs w:val="18"/>
              </w:rPr>
              <w:t xml:space="preserve">Microsoft Dynamics CRM Online </w:t>
            </w:r>
          </w:p>
          <w:p w:rsidR="00456002" w:rsidRPr="00C83DF5" w:rsidRDefault="00456002" w:rsidP="00346F4B">
            <w:pPr>
              <w:numPr>
                <w:ilvl w:val="0"/>
                <w:numId w:val="69"/>
              </w:numPr>
              <w:spacing w:after="60"/>
              <w:ind w:left="576" w:right="187"/>
            </w:pPr>
            <w:r w:rsidRPr="00C83DF5">
              <w:rPr>
                <w:rFonts w:eastAsia="Calibri" w:cs="Tahoma"/>
                <w:color w:val="000000"/>
                <w:szCs w:val="18"/>
              </w:rPr>
              <w:t>Dynamics Mobile</w:t>
            </w:r>
          </w:p>
          <w:p w:rsidR="00456002" w:rsidRPr="00C83DF5" w:rsidRDefault="00456002" w:rsidP="00346F4B">
            <w:pPr>
              <w:numPr>
                <w:ilvl w:val="0"/>
                <w:numId w:val="69"/>
              </w:numPr>
              <w:spacing w:after="60"/>
              <w:ind w:left="576" w:right="187"/>
            </w:pPr>
            <w:r w:rsidRPr="00C83DF5">
              <w:rPr>
                <w:rFonts w:eastAsia="Calibri" w:cs="Tahoma"/>
                <w:color w:val="000000"/>
                <w:szCs w:val="18"/>
              </w:rPr>
              <w:t>Dynamics Onprem Mobile</w:t>
            </w:r>
          </w:p>
          <w:p w:rsidR="009B3FA2" w:rsidRPr="00C83DF5" w:rsidRDefault="009B3FA2" w:rsidP="00346F4B">
            <w:pPr>
              <w:numPr>
                <w:ilvl w:val="0"/>
                <w:numId w:val="69"/>
              </w:numPr>
              <w:spacing w:after="60"/>
              <w:ind w:left="576" w:right="187"/>
              <w:rPr>
                <w:lang w:val="de-DE"/>
              </w:rPr>
            </w:pPr>
            <w:r w:rsidRPr="00C83DF5">
              <w:rPr>
                <w:rFonts w:eastAsia="Calibri" w:cs="Tahoma"/>
                <w:color w:val="000000"/>
                <w:szCs w:val="18"/>
                <w:lang w:val="de-DE"/>
              </w:rPr>
              <w:t>Exchange Online-Archivierung für Exchange Online</w:t>
            </w:r>
          </w:p>
          <w:p w:rsidR="00456002" w:rsidRPr="00C83DF5" w:rsidRDefault="00456002" w:rsidP="00346F4B">
            <w:pPr>
              <w:numPr>
                <w:ilvl w:val="0"/>
                <w:numId w:val="69"/>
              </w:numPr>
              <w:spacing w:after="60"/>
              <w:ind w:left="576" w:right="187"/>
              <w:rPr>
                <w:lang w:val="de-DE"/>
              </w:rPr>
            </w:pPr>
            <w:r w:rsidRPr="00C83DF5">
              <w:rPr>
                <w:rFonts w:eastAsia="Calibri" w:cs="Tahoma"/>
                <w:color w:val="000000"/>
                <w:szCs w:val="18"/>
                <w:lang w:val="de-DE"/>
              </w:rPr>
              <w:t>Exchange Online-Archivierung für Exchange Server</w:t>
            </w:r>
          </w:p>
          <w:p w:rsidR="00456002" w:rsidRPr="00C83DF5" w:rsidRDefault="00456002" w:rsidP="00346F4B">
            <w:pPr>
              <w:numPr>
                <w:ilvl w:val="0"/>
                <w:numId w:val="69"/>
              </w:numPr>
              <w:spacing w:after="60"/>
              <w:ind w:left="576" w:right="187"/>
              <w:rPr>
                <w:lang w:val="de-DE"/>
              </w:rPr>
            </w:pPr>
            <w:r w:rsidRPr="00C83DF5">
              <w:rPr>
                <w:rFonts w:eastAsia="Calibri" w:cs="Tahoma"/>
                <w:color w:val="000000"/>
                <w:szCs w:val="18"/>
                <w:lang w:val="de-DE"/>
              </w:rPr>
              <w:t xml:space="preserve">Exchange Online Kiosk, Plan 1 und Plan 2 </w:t>
            </w:r>
          </w:p>
          <w:p w:rsidR="00343766" w:rsidRPr="00C83DF5" w:rsidRDefault="00343766" w:rsidP="00346F4B">
            <w:pPr>
              <w:numPr>
                <w:ilvl w:val="0"/>
                <w:numId w:val="69"/>
              </w:numPr>
              <w:spacing w:after="60"/>
              <w:ind w:left="576" w:right="187"/>
            </w:pPr>
            <w:r w:rsidRPr="00C83DF5">
              <w:rPr>
                <w:rFonts w:eastAsia="Calibri" w:cs="Tahoma"/>
                <w:color w:val="000000"/>
                <w:szCs w:val="18"/>
              </w:rPr>
              <w:t>Exchange Online Protection</w:t>
            </w:r>
          </w:p>
          <w:p w:rsidR="00456002" w:rsidRPr="00C83DF5" w:rsidRDefault="00456002" w:rsidP="00346F4B">
            <w:pPr>
              <w:numPr>
                <w:ilvl w:val="0"/>
                <w:numId w:val="69"/>
              </w:numPr>
              <w:spacing w:after="60"/>
              <w:ind w:left="576" w:right="187"/>
            </w:pPr>
            <w:r w:rsidRPr="00C83DF5">
              <w:rPr>
                <w:rFonts w:eastAsia="Calibri" w:cs="Tahoma"/>
                <w:color w:val="000000"/>
                <w:szCs w:val="18"/>
              </w:rPr>
              <w:t>Lync Online Plan 1, 2 und 3</w:t>
            </w:r>
          </w:p>
          <w:p w:rsidR="009B3FA2" w:rsidRPr="00C83DF5" w:rsidRDefault="00456002" w:rsidP="00346F4B">
            <w:pPr>
              <w:numPr>
                <w:ilvl w:val="0"/>
                <w:numId w:val="69"/>
              </w:numPr>
              <w:spacing w:after="60"/>
              <w:ind w:left="576" w:right="187"/>
            </w:pPr>
            <w:r w:rsidRPr="00C83DF5">
              <w:rPr>
                <w:rFonts w:eastAsia="Calibri" w:cs="Tahoma"/>
                <w:color w:val="000000"/>
                <w:szCs w:val="18"/>
              </w:rPr>
              <w:t>Office 365 Education A2, A3 und A4</w:t>
            </w:r>
          </w:p>
          <w:p w:rsidR="00456002" w:rsidRPr="00C83DF5" w:rsidRDefault="009B3FA2" w:rsidP="00346F4B">
            <w:pPr>
              <w:numPr>
                <w:ilvl w:val="0"/>
                <w:numId w:val="69"/>
              </w:numPr>
              <w:spacing w:after="60"/>
              <w:ind w:left="576" w:right="187"/>
              <w:rPr>
                <w:lang w:val="it-IT"/>
              </w:rPr>
            </w:pPr>
            <w:r w:rsidRPr="00C83DF5">
              <w:rPr>
                <w:rFonts w:eastAsia="Calibri" w:cs="Tahoma"/>
                <w:color w:val="000000"/>
                <w:szCs w:val="18"/>
                <w:lang w:val="it-IT"/>
              </w:rPr>
              <w:t>Office 365 Enterprise K1, E1, E3 und E4</w:t>
            </w:r>
          </w:p>
          <w:p w:rsidR="00061A45" w:rsidRPr="00C83DF5" w:rsidRDefault="008368B4" w:rsidP="00346F4B">
            <w:pPr>
              <w:numPr>
                <w:ilvl w:val="0"/>
                <w:numId w:val="69"/>
              </w:numPr>
              <w:spacing w:after="60"/>
              <w:ind w:left="576" w:right="187"/>
            </w:pPr>
            <w:r w:rsidRPr="00C83DF5">
              <w:rPr>
                <w:rFonts w:eastAsia="Calibri" w:cs="Tahoma"/>
                <w:color w:val="000000"/>
                <w:szCs w:val="18"/>
              </w:rPr>
              <w:t>Office 365 ProPlus</w:t>
            </w:r>
          </w:p>
          <w:p w:rsidR="00456002" w:rsidRPr="00C83DF5" w:rsidRDefault="00456002" w:rsidP="00346F4B">
            <w:pPr>
              <w:numPr>
                <w:ilvl w:val="0"/>
                <w:numId w:val="69"/>
              </w:numPr>
              <w:spacing w:after="60"/>
              <w:ind w:left="576" w:right="187"/>
            </w:pPr>
            <w:r w:rsidRPr="00C83DF5">
              <w:rPr>
                <w:rFonts w:eastAsia="Calibri" w:cs="Tahoma"/>
                <w:color w:val="000000"/>
                <w:szCs w:val="18"/>
              </w:rPr>
              <w:t>Office-Webanwendungen</w:t>
            </w:r>
          </w:p>
          <w:p w:rsidR="008368B4" w:rsidRPr="00C83DF5" w:rsidRDefault="008368B4" w:rsidP="00346F4B">
            <w:pPr>
              <w:numPr>
                <w:ilvl w:val="0"/>
                <w:numId w:val="69"/>
              </w:numPr>
              <w:spacing w:after="60"/>
              <w:ind w:left="576" w:right="187"/>
            </w:pPr>
            <w:r w:rsidRPr="00C83DF5">
              <w:rPr>
                <w:rFonts w:eastAsia="Calibri" w:cs="Tahoma"/>
                <w:color w:val="000000"/>
                <w:szCs w:val="18"/>
              </w:rPr>
              <w:t>Project Online</w:t>
            </w:r>
          </w:p>
          <w:p w:rsidR="008368B4" w:rsidRPr="00C83DF5" w:rsidRDefault="008368B4" w:rsidP="00346F4B">
            <w:pPr>
              <w:numPr>
                <w:ilvl w:val="0"/>
                <w:numId w:val="69"/>
              </w:numPr>
              <w:spacing w:after="60"/>
              <w:ind w:left="576" w:right="187"/>
            </w:pPr>
            <w:r w:rsidRPr="00C83DF5">
              <w:rPr>
                <w:rFonts w:eastAsia="Calibri" w:cs="Tahoma"/>
                <w:color w:val="000000"/>
                <w:szCs w:val="18"/>
              </w:rPr>
              <w:t>Project Pro für Office 365</w:t>
            </w:r>
          </w:p>
          <w:p w:rsidR="00523BAF" w:rsidRPr="00C83DF5" w:rsidRDefault="00456002" w:rsidP="00523BAF">
            <w:pPr>
              <w:numPr>
                <w:ilvl w:val="0"/>
                <w:numId w:val="69"/>
              </w:numPr>
              <w:spacing w:after="60"/>
              <w:ind w:left="576" w:right="187"/>
            </w:pPr>
            <w:r w:rsidRPr="00C83DF5">
              <w:rPr>
                <w:rFonts w:eastAsia="Calibri" w:cs="Tahoma"/>
                <w:color w:val="000000"/>
                <w:szCs w:val="18"/>
              </w:rPr>
              <w:t>SharePoint Online Plan 1 und Plan 2</w:t>
            </w:r>
          </w:p>
          <w:p w:rsidR="00456002" w:rsidRPr="00C83DF5" w:rsidRDefault="00523BAF" w:rsidP="00523BAF">
            <w:pPr>
              <w:numPr>
                <w:ilvl w:val="0"/>
                <w:numId w:val="69"/>
              </w:numPr>
              <w:spacing w:after="60"/>
              <w:ind w:left="576" w:right="187"/>
            </w:pPr>
            <w:r w:rsidRPr="00C83DF5">
              <w:rPr>
                <w:rFonts w:eastAsia="Calibri" w:cs="Tahoma"/>
                <w:color w:val="000000"/>
                <w:szCs w:val="18"/>
              </w:rPr>
              <w:t xml:space="preserve">Visio Pro für Office 365 </w:t>
            </w:r>
          </w:p>
          <w:p w:rsidR="00D8521B" w:rsidRPr="00C83DF5" w:rsidRDefault="00D8521B" w:rsidP="00346F4B">
            <w:pPr>
              <w:numPr>
                <w:ilvl w:val="0"/>
                <w:numId w:val="69"/>
              </w:numPr>
              <w:spacing w:after="60"/>
              <w:ind w:left="576" w:right="187"/>
            </w:pPr>
            <w:r w:rsidRPr="00C83DF5">
              <w:rPr>
                <w:rFonts w:eastAsia="Calibri" w:cs="Tahoma"/>
                <w:color w:val="000000"/>
                <w:szCs w:val="18"/>
              </w:rPr>
              <w:t>Windows Azure Active Directory-Rechteverwaltung</w:t>
            </w:r>
          </w:p>
          <w:p w:rsidR="002653EB" w:rsidRPr="00C83DF5" w:rsidRDefault="002653EB" w:rsidP="00346F4B">
            <w:pPr>
              <w:numPr>
                <w:ilvl w:val="0"/>
                <w:numId w:val="69"/>
              </w:numPr>
              <w:spacing w:after="60"/>
              <w:ind w:left="576" w:right="187"/>
            </w:pPr>
            <w:r w:rsidRPr="00C83DF5">
              <w:rPr>
                <w:rFonts w:eastAsia="Calibri" w:cs="Tahoma"/>
                <w:color w:val="000000"/>
                <w:szCs w:val="18"/>
              </w:rPr>
              <w:t>Windows Azure-Dienste</w:t>
            </w:r>
          </w:p>
          <w:p w:rsidR="00456002" w:rsidRPr="00C83DF5" w:rsidRDefault="00456002" w:rsidP="00346F4B">
            <w:pPr>
              <w:numPr>
                <w:ilvl w:val="0"/>
                <w:numId w:val="69"/>
              </w:numPr>
              <w:spacing w:after="60"/>
              <w:ind w:left="576" w:right="187"/>
            </w:pPr>
            <w:r w:rsidRPr="00C83DF5">
              <w:rPr>
                <w:rFonts w:eastAsia="Calibri" w:cs="Tahoma"/>
                <w:color w:val="000000"/>
                <w:szCs w:val="18"/>
              </w:rPr>
              <w:t>Windows Intune</w:t>
            </w:r>
          </w:p>
          <w:p w:rsidR="00456002" w:rsidRPr="00C83DF5" w:rsidRDefault="003929D1" w:rsidP="00346F4B">
            <w:pPr>
              <w:numPr>
                <w:ilvl w:val="0"/>
                <w:numId w:val="69"/>
              </w:numPr>
              <w:spacing w:after="60"/>
              <w:ind w:left="576" w:right="187"/>
            </w:pPr>
            <w:r w:rsidRPr="00C83DF5">
              <w:rPr>
                <w:rFonts w:eastAsia="Calibri" w:cs="Tahoma"/>
                <w:color w:val="000000"/>
                <w:szCs w:val="18"/>
              </w:rPr>
              <w:t>Windows Intune-Add-On</w:t>
            </w:r>
          </w:p>
          <w:p w:rsidR="009B3FA2" w:rsidRPr="00C83DF5" w:rsidRDefault="009B3FA2" w:rsidP="00346F4B">
            <w:pPr>
              <w:numPr>
                <w:ilvl w:val="0"/>
                <w:numId w:val="69"/>
              </w:numPr>
              <w:spacing w:after="60"/>
              <w:ind w:left="576" w:right="187"/>
              <w:rPr>
                <w:rFonts w:eastAsia="Calibri" w:cs="Tahoma"/>
                <w:szCs w:val="18"/>
              </w:rPr>
            </w:pPr>
            <w:r w:rsidRPr="00C83DF5">
              <w:rPr>
                <w:rFonts w:eastAsia="Calibri" w:cs="Tahoma"/>
                <w:color w:val="000000"/>
                <w:szCs w:val="18"/>
              </w:rPr>
              <w:t>Yammer Enterprise</w:t>
            </w:r>
          </w:p>
        </w:tc>
      </w:tr>
    </w:tbl>
    <w:p w:rsidR="00171817" w:rsidRDefault="00171817" w:rsidP="00212CC6">
      <w:pPr>
        <w:pStyle w:val="Heading2"/>
        <w:ind w:left="0"/>
      </w:pPr>
    </w:p>
    <w:p w:rsidR="00233B55" w:rsidRDefault="00233B55" w:rsidP="00233B55"/>
    <w:p w:rsidR="00233B55" w:rsidRDefault="00233B55" w:rsidP="00233B55"/>
    <w:p w:rsidR="00233B55" w:rsidRPr="00233B55" w:rsidRDefault="00233B55" w:rsidP="00233B55"/>
    <w:p w:rsidR="00456002" w:rsidRPr="00C83DF5" w:rsidRDefault="00456002" w:rsidP="00171817">
      <w:pPr>
        <w:pStyle w:val="Heading2"/>
        <w:ind w:left="0"/>
        <w:rPr>
          <w:lang w:val="de-DE"/>
        </w:rPr>
      </w:pPr>
      <w:bookmarkStart w:id="657" w:name="_Toc336338209"/>
      <w:bookmarkStart w:id="658" w:name="_Toc370983318"/>
      <w:r w:rsidRPr="00C83DF5">
        <w:rPr>
          <w:rFonts w:ascii="Tahoma" w:hAnsi="Tahoma" w:cs="Tahoma"/>
          <w:lang w:val="de-DE"/>
        </w:rPr>
        <w:lastRenderedPageBreak/>
        <w:t>Erwerb und automatische Verlängerung von Onlinediensten</w:t>
      </w:r>
      <w:bookmarkEnd w:id="657"/>
      <w:bookmarkEnd w:id="658"/>
      <w:r w:rsidRPr="00C83DF5">
        <w:rPr>
          <w:rFonts w:ascii="Tahoma" w:hAnsi="Tahoma" w:cs="Tahoma"/>
          <w:lang w:val="de-DE"/>
        </w:rPr>
        <w:t xml:space="preserve"> </w:t>
      </w:r>
    </w:p>
    <w:p w:rsidR="00456002" w:rsidRPr="00C83DF5" w:rsidRDefault="00456002" w:rsidP="00171817">
      <w:pPr>
        <w:outlineLvl w:val="2"/>
        <w:rPr>
          <w:lang w:val="de-DE"/>
        </w:rPr>
      </w:pPr>
    </w:p>
    <w:p w:rsidR="00456002" w:rsidRPr="00C83DF5" w:rsidRDefault="00456002" w:rsidP="00233B55">
      <w:pPr>
        <w:outlineLvl w:val="2"/>
        <w:rPr>
          <w:lang w:val="de-DE"/>
        </w:rPr>
      </w:pPr>
      <w:r w:rsidRPr="00C83DF5">
        <w:rPr>
          <w:rFonts w:cs="Tahoma"/>
          <w:szCs w:val="18"/>
          <w:lang w:val="de-DE"/>
        </w:rPr>
        <w:t>Kunden müssen über einen aktiven Volumenlizenzvertrag verfügen, um Onlinedienste-Abonnements im Rahmen der Volumenlizenzierung zu bestellen oder zu verlängern.</w:t>
      </w:r>
      <w:r w:rsidR="00E71F46" w:rsidRPr="00C83DF5">
        <w:rPr>
          <w:rFonts w:cs="Tahoma"/>
          <w:szCs w:val="18"/>
          <w:lang w:val="de-DE"/>
        </w:rPr>
        <w:t xml:space="preserve"> </w:t>
      </w:r>
      <w:r w:rsidRPr="00C83DF5">
        <w:rPr>
          <w:rFonts w:cs="Tahoma"/>
          <w:szCs w:val="18"/>
          <w:lang w:val="de-DE"/>
        </w:rPr>
        <w:t>Ein Onlinedienste-Abonnement wird automatisch am Tag nach Ablauf der Abonnementlaufzeit verlängert, es sei denn, der Kunde entscheidet sich gegen eine Verlängerung, indem er</w:t>
      </w:r>
      <w:r w:rsidRPr="00C83DF5">
        <w:rPr>
          <w:rFonts w:cs="Tahoma"/>
          <w:color w:val="000000"/>
          <w:szCs w:val="18"/>
          <w:lang w:val="de-DE"/>
        </w:rPr>
        <w:t xml:space="preserve"> </w:t>
      </w:r>
      <w:r w:rsidRPr="00C83DF5">
        <w:rPr>
          <w:bCs/>
          <w:color w:val="000000"/>
          <w:lang w:val="de-DE"/>
        </w:rPr>
        <w:t>mindestens 5</w:t>
      </w:r>
      <w:r w:rsidRPr="00C83DF5">
        <w:rPr>
          <w:b/>
          <w:bCs/>
          <w:color w:val="1F497D"/>
          <w:lang w:val="de-DE"/>
        </w:rPr>
        <w:t xml:space="preserve"> </w:t>
      </w:r>
      <w:r w:rsidRPr="00C83DF5">
        <w:rPr>
          <w:rFonts w:cs="Tahoma"/>
          <w:szCs w:val="18"/>
          <w:lang w:val="de-DE"/>
        </w:rPr>
        <w:t>Tage vor Ablauf des Abonnements die automatische Verlängerung abbestellt.</w:t>
      </w:r>
      <w:r w:rsidR="00E71F46" w:rsidRPr="00C83DF5">
        <w:rPr>
          <w:rFonts w:cs="Tahoma"/>
          <w:szCs w:val="18"/>
          <w:lang w:val="de-DE"/>
        </w:rPr>
        <w:t xml:space="preserve"> </w:t>
      </w:r>
      <w:r w:rsidRPr="00C83DF5">
        <w:rPr>
          <w:rFonts w:cs="Tahoma"/>
          <w:szCs w:val="18"/>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E71F46" w:rsidRPr="00C83DF5">
        <w:rPr>
          <w:rFonts w:cs="Tahoma"/>
          <w:szCs w:val="18"/>
          <w:lang w:val="de-DE"/>
        </w:rPr>
        <w:t xml:space="preserve"> </w:t>
      </w:r>
      <w:r w:rsidRPr="00C83DF5">
        <w:rPr>
          <w:rFonts w:cs="Tahoma"/>
          <w:szCs w:val="18"/>
          <w:lang w:val="de-DE"/>
        </w:rPr>
        <w:t>Onlinedienste-Abonnements für Kunden aus Verwaltung sowie Forschung &amp; Lehre werden nur dann automatisch verlängert, wenn sich der Kunde für die automatische Verlängerungsoption entscheidet.</w:t>
      </w:r>
      <w:r w:rsidR="00E71F46" w:rsidRPr="00C83DF5">
        <w:rPr>
          <w:rFonts w:cs="Tahoma"/>
          <w:szCs w:val="18"/>
          <w:lang w:val="de-DE"/>
        </w:rPr>
        <w:t xml:space="preserve"> </w:t>
      </w:r>
      <w:r w:rsidRPr="00C83DF5">
        <w:rPr>
          <w:rFonts w:cs="Tahoma"/>
          <w:szCs w:val="18"/>
          <w:lang w:val="de-DE"/>
        </w:rPr>
        <w:t>Zu Beginn des Verlängerungszeitraums werden die Preise neu festgelegt.</w:t>
      </w:r>
      <w:r w:rsidR="00E71F46" w:rsidRPr="00C83DF5">
        <w:rPr>
          <w:rFonts w:cs="Tahoma"/>
          <w:szCs w:val="18"/>
          <w:lang w:val="de-DE"/>
        </w:rPr>
        <w:t xml:space="preserve"> </w:t>
      </w:r>
      <w:r w:rsidRPr="00C83DF5">
        <w:rPr>
          <w:rFonts w:cs="Tahoma"/>
          <w:szCs w:val="18"/>
          <w:lang w:val="de-DE"/>
        </w:rPr>
        <w:t>Die automatische Verlängerungsoption ist für Windows</w:t>
      </w:r>
      <w:r w:rsidR="00233B55">
        <w:rPr>
          <w:rFonts w:cs="Tahoma"/>
          <w:szCs w:val="18"/>
          <w:lang w:val="de-DE"/>
        </w:rPr>
        <w:t> </w:t>
      </w:r>
      <w:r w:rsidRPr="00C83DF5">
        <w:rPr>
          <w:rFonts w:cs="Tahoma"/>
          <w:szCs w:val="18"/>
          <w:lang w:val="de-DE"/>
        </w:rPr>
        <w:t>Azure-Dienste nicht verfügbar.</w:t>
      </w:r>
    </w:p>
    <w:p w:rsidR="00116EDC" w:rsidRPr="00C83DF5" w:rsidRDefault="00116EDC" w:rsidP="0009065E">
      <w:pPr>
        <w:outlineLvl w:val="2"/>
        <w:rPr>
          <w:lang w:val="de-DE"/>
        </w:rPr>
      </w:pPr>
    </w:p>
    <w:p w:rsidR="00456002" w:rsidRPr="00C83DF5" w:rsidRDefault="00456002" w:rsidP="00171817">
      <w:pPr>
        <w:pStyle w:val="Heading2"/>
        <w:ind w:left="0"/>
        <w:rPr>
          <w:lang w:val="de-DE"/>
        </w:rPr>
      </w:pPr>
      <w:bookmarkStart w:id="659" w:name="_Toc336338210"/>
      <w:bookmarkStart w:id="660" w:name="_Toc370983319"/>
      <w:r w:rsidRPr="00C83DF5">
        <w:rPr>
          <w:rFonts w:ascii="Tahoma" w:hAnsi="Tahoma" w:cs="Tahoma"/>
          <w:lang w:val="de-DE"/>
        </w:rPr>
        <w:t>Verwalten des Verlängerungs- und automatischen Verlängerungsstatus</w:t>
      </w:r>
      <w:bookmarkEnd w:id="659"/>
      <w:bookmarkEnd w:id="660"/>
    </w:p>
    <w:p w:rsidR="00456002" w:rsidRPr="00C83DF5" w:rsidRDefault="00456002" w:rsidP="00171817">
      <w:pPr>
        <w:outlineLvl w:val="2"/>
        <w:rPr>
          <w:lang w:val="de-DE"/>
        </w:rPr>
      </w:pPr>
    </w:p>
    <w:p w:rsidR="00456002" w:rsidRPr="00C83DF5" w:rsidRDefault="00456002" w:rsidP="00107665">
      <w:pPr>
        <w:outlineLvl w:val="2"/>
        <w:rPr>
          <w:lang w:val="de-DE"/>
        </w:rPr>
      </w:pPr>
      <w:r w:rsidRPr="00C83DF5">
        <w:rPr>
          <w:rFonts w:cs="Tahoma"/>
          <w:szCs w:val="18"/>
          <w:lang w:val="de-DE"/>
        </w:rPr>
        <w:t>Vor dem Ende der Onlinedienste-Abonnementlaufzeit erhalten Kunden Verlängerungsmitteilungen.</w:t>
      </w:r>
      <w:r w:rsidR="00E71F46" w:rsidRPr="00C83DF5">
        <w:rPr>
          <w:rFonts w:cs="Tahoma"/>
          <w:szCs w:val="18"/>
          <w:lang w:val="de-DE"/>
        </w:rPr>
        <w:t xml:space="preserve"> </w:t>
      </w:r>
      <w:r w:rsidRPr="00C83DF5">
        <w:rPr>
          <w:rFonts w:cs="Tahoma"/>
          <w:szCs w:val="18"/>
          <w:lang w:val="de-DE"/>
        </w:rPr>
        <w:t>Kunden können die Verlängerung kündigen oder eine automatische Verlängerungsbestellung ändern, indem sie mindestens 30 Tage vor Ende der Abonnementlaufzeit aktiv werden.</w:t>
      </w:r>
      <w:r w:rsidR="00E71F46" w:rsidRPr="00C83DF5">
        <w:rPr>
          <w:rFonts w:cs="Tahoma"/>
          <w:szCs w:val="18"/>
          <w:lang w:val="de-DE"/>
        </w:rPr>
        <w:t xml:space="preserve"> </w:t>
      </w:r>
      <w:r w:rsidRPr="00C83DF5">
        <w:rPr>
          <w:rFonts w:cs="Tahoma"/>
          <w:szCs w:val="18"/>
          <w:lang w:val="de-DE"/>
        </w:rPr>
        <w:t>Kunden können außerdem die Verlängerungsbestellung ändern, indem sie 30 Tage vor Ablauf des Abonnements eine Bestellung bei ihrem Handelspartner einreichen.</w:t>
      </w:r>
      <w:r w:rsidR="00E71F46" w:rsidRPr="00C83DF5">
        <w:rPr>
          <w:rFonts w:cs="Tahoma"/>
          <w:szCs w:val="18"/>
          <w:lang w:val="de-DE"/>
        </w:rPr>
        <w:t xml:space="preserve"> </w:t>
      </w:r>
      <w:r w:rsidRPr="00C83DF5">
        <w:rPr>
          <w:rFonts w:cs="Tahoma"/>
          <w:szCs w:val="18"/>
          <w:lang w:val="de-DE"/>
        </w:rPr>
        <w:t xml:space="preserve">Kunden sind berechtigt, eine Abonnementverlängerung unter Einhaltung einer Kündigungsfrist von 30 Tagen mit vorheriger schriftlicher Mitteilung an Microsoft mit einem Formular, das beim Handelspartner von Microsoft oder unter </w:t>
      </w:r>
      <w:r w:rsidR="00107665" w:rsidRPr="00052DA2">
        <w:rPr>
          <w:rFonts w:cs="Tahoma"/>
          <w:szCs w:val="18"/>
          <w:lang w:val="x-none" w:eastAsia="x-none"/>
        </w:rPr>
        <w:t>http://microsoft.com/licensing/contracts</w:t>
      </w:r>
      <w:r w:rsidRPr="00C83DF5">
        <w:rPr>
          <w:rFonts w:cs="Tahoma"/>
          <w:szCs w:val="18"/>
          <w:lang w:val="de-DE"/>
        </w:rPr>
        <w:t xml:space="preserve"> verfügbar ist, zu kündigen.</w:t>
      </w:r>
      <w:r w:rsidR="00E71F46" w:rsidRPr="00C83DF5">
        <w:rPr>
          <w:rFonts w:cs="Tahoma"/>
          <w:szCs w:val="18"/>
          <w:lang w:val="de-DE"/>
        </w:rPr>
        <w:t xml:space="preserve"> </w:t>
      </w:r>
      <w:r w:rsidRPr="00C83DF5">
        <w:rPr>
          <w:rFonts w:cs="Tahoma"/>
          <w:szCs w:val="18"/>
          <w:lang w:val="de-DE"/>
        </w:rPr>
        <w:t>Durch jede Dienstverlängerung wird eine neue</w:t>
      </w:r>
      <w:r w:rsidR="00F73954">
        <w:rPr>
          <w:rFonts w:cs="Tahoma"/>
          <w:szCs w:val="18"/>
          <w:lang w:val="de-DE"/>
        </w:rPr>
        <w:t> </w:t>
      </w:r>
      <w:r w:rsidRPr="00C83DF5">
        <w:rPr>
          <w:rFonts w:cs="Tahoma"/>
          <w:szCs w:val="18"/>
          <w:lang w:val="de-DE"/>
        </w:rPr>
        <w:t>Abonnementlaufzeit gestartet, die am ersten Tag des nächsten Kalendermonats nach Ablauf der vorherigen Abonnementlaufzeit beginnt.</w:t>
      </w:r>
    </w:p>
    <w:p w:rsidR="00456002" w:rsidRPr="00C83DF5" w:rsidRDefault="00456002" w:rsidP="00171817">
      <w:pPr>
        <w:outlineLvl w:val="2"/>
        <w:rPr>
          <w:lang w:val="de-DE"/>
        </w:rPr>
      </w:pPr>
    </w:p>
    <w:p w:rsidR="00456002" w:rsidRPr="00C83DF5" w:rsidRDefault="00456002" w:rsidP="00F73954">
      <w:pPr>
        <w:outlineLvl w:val="2"/>
        <w:rPr>
          <w:lang w:val="de-DE"/>
        </w:rPr>
      </w:pPr>
      <w:r w:rsidRPr="00C83DF5">
        <w:rPr>
          <w:rFonts w:cs="Tahoma"/>
          <w:szCs w:val="18"/>
          <w:lang w:val="de-DE"/>
        </w:rPr>
        <w:t>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w:t>
      </w:r>
      <w:r w:rsidR="00F73954">
        <w:rPr>
          <w:rFonts w:cs="Tahoma"/>
          <w:szCs w:val="18"/>
          <w:lang w:val="de-DE"/>
        </w:rPr>
        <w:t> </w:t>
      </w:r>
      <w:r w:rsidRPr="00C83DF5">
        <w:rPr>
          <w:rFonts w:cs="Tahoma"/>
          <w:szCs w:val="18"/>
          <w:lang w:val="de-DE"/>
        </w:rPr>
        <w:t>Bestellung einreichen.</w:t>
      </w:r>
      <w:r w:rsidR="00E71F46" w:rsidRPr="00C83DF5">
        <w:rPr>
          <w:rFonts w:cs="Tahoma"/>
          <w:szCs w:val="18"/>
          <w:lang w:val="de-DE"/>
        </w:rPr>
        <w:t xml:space="preserve"> </w:t>
      </w:r>
    </w:p>
    <w:p w:rsidR="00BD1A6A" w:rsidRPr="00F037D5" w:rsidRDefault="00BD1A6A" w:rsidP="00B50B1C">
      <w:pPr>
        <w:rPr>
          <w:rFonts w:cs="Tahoma"/>
          <w:b/>
          <w:szCs w:val="24"/>
          <w:lang w:val="de-DE"/>
        </w:rPr>
      </w:pPr>
      <w:bookmarkStart w:id="661" w:name="_Toc336338211"/>
    </w:p>
    <w:p w:rsidR="00BD1A6A" w:rsidRPr="00F037D5" w:rsidRDefault="00BD1A6A">
      <w:pPr>
        <w:rPr>
          <w:rFonts w:cs="Tahoma"/>
          <w:b/>
          <w:szCs w:val="24"/>
          <w:lang w:val="de-DE"/>
        </w:rPr>
      </w:pPr>
    </w:p>
    <w:p w:rsidR="00456002" w:rsidRPr="00C83DF5" w:rsidRDefault="00456002" w:rsidP="00456002">
      <w:pPr>
        <w:pStyle w:val="Heading2"/>
        <w:ind w:left="0"/>
        <w:rPr>
          <w:lang w:val="de-DE"/>
        </w:rPr>
      </w:pPr>
      <w:bookmarkStart w:id="662" w:name="_Toc370983320"/>
      <w:r w:rsidRPr="00C83DF5">
        <w:rPr>
          <w:rFonts w:ascii="Tahoma" w:hAnsi="Tahoma" w:cs="Tahoma"/>
          <w:lang w:val="de-DE"/>
        </w:rPr>
        <w:t>Kündigung von Onlinediensten</w:t>
      </w:r>
      <w:bookmarkEnd w:id="661"/>
      <w:bookmarkEnd w:id="662"/>
    </w:p>
    <w:p w:rsidR="00456002" w:rsidRPr="00C83DF5" w:rsidRDefault="00456002" w:rsidP="00456002">
      <w:pPr>
        <w:outlineLvl w:val="2"/>
        <w:rPr>
          <w:lang w:val="de-DE"/>
        </w:rPr>
      </w:pPr>
    </w:p>
    <w:p w:rsidR="00456002" w:rsidRPr="00C83DF5" w:rsidRDefault="00456002" w:rsidP="00116EDC">
      <w:pPr>
        <w:outlineLvl w:val="2"/>
        <w:rPr>
          <w:lang w:val="de-DE"/>
        </w:rPr>
      </w:pPr>
      <w:r w:rsidRPr="00C83DF5">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E71F46" w:rsidRPr="00C83DF5">
        <w:rPr>
          <w:rFonts w:cs="Tahoma"/>
          <w:szCs w:val="18"/>
          <w:lang w:val="de-DE"/>
        </w:rPr>
        <w:t xml:space="preserve"> </w:t>
      </w:r>
      <w:r w:rsidRPr="00C83DF5">
        <w:rPr>
          <w:rFonts w:cs="Tahoma"/>
          <w:szCs w:val="18"/>
          <w:lang w:val="de-DE"/>
        </w:rPr>
        <w:t>In den produktspezifischen Abschnitten dieser Produktliste finden Sie gegebenenfalls weitere Kündigungsbestimmungen.</w:t>
      </w:r>
    </w:p>
    <w:p w:rsidR="00116EDC" w:rsidRPr="00F037D5" w:rsidRDefault="00116EDC" w:rsidP="00116EDC">
      <w:pPr>
        <w:outlineLvl w:val="2"/>
        <w:rPr>
          <w:rFonts w:cs="Tahoma"/>
          <w:szCs w:val="18"/>
          <w:lang w:val="de-DE"/>
        </w:rPr>
      </w:pPr>
    </w:p>
    <w:p w:rsidR="00456002" w:rsidRPr="00C83DF5" w:rsidRDefault="00456002" w:rsidP="00456002">
      <w:pPr>
        <w:pStyle w:val="Heading2"/>
        <w:ind w:left="0"/>
        <w:rPr>
          <w:lang w:val="de-DE"/>
        </w:rPr>
      </w:pPr>
      <w:bookmarkStart w:id="663" w:name="_Toc328145982"/>
      <w:bookmarkStart w:id="664" w:name="_Toc336338212"/>
      <w:bookmarkStart w:id="665" w:name="_Toc370983321"/>
      <w:r w:rsidRPr="00C83DF5">
        <w:rPr>
          <w:rFonts w:ascii="Tahoma" w:hAnsi="Tahoma" w:cs="Tahoma"/>
          <w:lang w:val="de-DE"/>
        </w:rPr>
        <w:t>Zahlungsbestimmungsoptionen für Onlinedienste</w:t>
      </w:r>
      <w:bookmarkEnd w:id="663"/>
      <w:bookmarkEnd w:id="664"/>
      <w:bookmarkEnd w:id="665"/>
    </w:p>
    <w:p w:rsidR="00456002" w:rsidRPr="00F037D5" w:rsidRDefault="00456002" w:rsidP="00456002">
      <w:pPr>
        <w:ind w:left="720"/>
        <w:outlineLvl w:val="2"/>
        <w:rPr>
          <w:rFonts w:cs="Tahoma"/>
          <w:b/>
          <w:szCs w:val="18"/>
          <w:lang w:val="de-DE"/>
        </w:rPr>
      </w:pPr>
    </w:p>
    <w:p w:rsidR="00456002" w:rsidRPr="00C83DF5" w:rsidRDefault="00456002" w:rsidP="00517567">
      <w:pPr>
        <w:outlineLvl w:val="2"/>
        <w:rPr>
          <w:lang w:val="de-DE"/>
        </w:rPr>
      </w:pPr>
      <w:r w:rsidRPr="00C83DF5">
        <w:rPr>
          <w:rFonts w:cs="Tahoma"/>
          <w:szCs w:val="18"/>
          <w:lang w:val="de-DE"/>
        </w:rPr>
        <w:t>Der Kunde muss einjährige Onlinedienste-Abonnements zu Beginn der Abonnementlaufzeit vollständig bezahlen.</w:t>
      </w:r>
      <w:r w:rsidR="00E71F46" w:rsidRPr="00C83DF5">
        <w:rPr>
          <w:rFonts w:cs="Tahoma"/>
          <w:szCs w:val="18"/>
          <w:lang w:val="de-DE"/>
        </w:rPr>
        <w:t xml:space="preserve"> </w:t>
      </w:r>
      <w:r w:rsidRPr="00C83DF5">
        <w:rPr>
          <w:rFonts w:cs="Tahoma"/>
          <w:szCs w:val="18"/>
          <w:lang w:val="de-DE"/>
        </w:rPr>
        <w:t>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w:t>
      </w:r>
      <w:r w:rsidR="00517567">
        <w:rPr>
          <w:rFonts w:cs="Tahoma"/>
          <w:szCs w:val="18"/>
          <w:lang w:val="de-DE"/>
        </w:rPr>
        <w:t> </w:t>
      </w:r>
      <w:r w:rsidRPr="00C83DF5">
        <w:rPr>
          <w:rFonts w:cs="Tahoma"/>
          <w:szCs w:val="18"/>
          <w:lang w:val="de-DE"/>
        </w:rPr>
        <w:t>Bestellung für den Rest des laufenden Vertragsjahres zu leisten ist und die übrigen Zahlungen an jedem Jahrestag</w:t>
      </w:r>
      <w:r w:rsidR="00517567">
        <w:rPr>
          <w:rFonts w:cs="Tahoma"/>
          <w:szCs w:val="18"/>
          <w:lang w:val="de-DE"/>
        </w:rPr>
        <w:t> </w:t>
      </w:r>
      <w:r w:rsidRPr="00C83DF5">
        <w:rPr>
          <w:rFonts w:cs="Tahoma"/>
          <w:szCs w:val="18"/>
          <w:lang w:val="de-DE"/>
        </w:rPr>
        <w:t>des Vertrages fällig sind (bei Select Plus wird der Jahrestag des Wirksamkeitsdatums des verbundenen Unternehmens anstelle des Jahrestages des Vertrages verwendet).</w:t>
      </w:r>
      <w:r w:rsidR="00E71F46" w:rsidRPr="00C83DF5">
        <w:rPr>
          <w:rFonts w:cs="Tahoma"/>
          <w:szCs w:val="18"/>
          <w:lang w:val="de-DE"/>
        </w:rPr>
        <w:t xml:space="preserve"> </w:t>
      </w:r>
      <w:r w:rsidRPr="00C83DF5">
        <w:rPr>
          <w:rFonts w:cs="Tahoma"/>
          <w:szCs w:val="18"/>
          <w:lang w:val="de-DE"/>
        </w:rPr>
        <w:t>Select Plus-Kunden steht eine weitere, dritte Option zur Verfügung: Abrechnung am Jahrestag der Bestellung, wobei die erste Zahlung zum Zeitpunkt der Bestellung für 12 Monate zu leisten ist und die übrigen Zahlungen an jedem Jahrestag der Bestellung fällig sind (die</w:t>
      </w:r>
      <w:r w:rsidR="00DB0A56">
        <w:rPr>
          <w:rFonts w:cs="Tahoma"/>
          <w:szCs w:val="18"/>
          <w:lang w:val="de-DE"/>
        </w:rPr>
        <w:t> </w:t>
      </w:r>
      <w:r w:rsidRPr="00C83DF5">
        <w:rPr>
          <w:rFonts w:cs="Tahoma"/>
          <w:szCs w:val="18"/>
          <w:lang w:val="de-DE"/>
        </w:rPr>
        <w:t>letzte Zahlung deckt die restliche Laufzeit zwischen dem Jahrestag der Bestellung und dem Enddatum der Abonnementlaufzeit ab).</w:t>
      </w:r>
    </w:p>
    <w:p w:rsidR="00456002" w:rsidRPr="00C83DF5" w:rsidRDefault="00456002" w:rsidP="00456002">
      <w:pPr>
        <w:outlineLvl w:val="2"/>
        <w:rPr>
          <w:lang w:val="de-DE"/>
        </w:rPr>
      </w:pPr>
    </w:p>
    <w:p w:rsidR="00456002" w:rsidRPr="00C83DF5" w:rsidRDefault="00456002" w:rsidP="00456002">
      <w:pPr>
        <w:outlineLvl w:val="2"/>
        <w:rPr>
          <w:lang w:val="de-DE"/>
        </w:rPr>
      </w:pPr>
      <w:r w:rsidRPr="00C83DF5">
        <w:rPr>
          <w:rFonts w:cs="Tahoma"/>
          <w:szCs w:val="18"/>
          <w:lang w:val="de-DE"/>
        </w:rPr>
        <w:t>Darüber hinaus können Open Value-Kunden ebenfalls eine monatliche Zahlungsoption wählen.</w:t>
      </w:r>
      <w:r w:rsidR="00E71F46" w:rsidRPr="00C83DF5">
        <w:rPr>
          <w:rFonts w:cs="Tahoma"/>
          <w:szCs w:val="18"/>
          <w:lang w:val="de-DE"/>
        </w:rPr>
        <w:t xml:space="preserve"> </w:t>
      </w:r>
      <w:r w:rsidRPr="00C83DF5">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p>
    <w:p w:rsidR="00456002" w:rsidRDefault="00456002" w:rsidP="00456002">
      <w:pPr>
        <w:outlineLvl w:val="2"/>
        <w:rPr>
          <w:lang w:val="de-DE"/>
        </w:rPr>
      </w:pPr>
    </w:p>
    <w:p w:rsidR="00517567" w:rsidRDefault="00517567" w:rsidP="00456002">
      <w:pPr>
        <w:outlineLvl w:val="2"/>
        <w:rPr>
          <w:lang w:val="de-DE"/>
        </w:rPr>
      </w:pPr>
    </w:p>
    <w:p w:rsidR="00517567" w:rsidRPr="00C83DF5" w:rsidRDefault="00517567" w:rsidP="00456002">
      <w:pPr>
        <w:outlineLvl w:val="2"/>
        <w:rPr>
          <w:lang w:val="de-DE"/>
        </w:rPr>
      </w:pPr>
    </w:p>
    <w:p w:rsidR="00456002" w:rsidRPr="00C83DF5" w:rsidRDefault="00456002" w:rsidP="00D84B50">
      <w:pPr>
        <w:outlineLvl w:val="2"/>
        <w:rPr>
          <w:lang w:val="de-DE"/>
        </w:rPr>
      </w:pPr>
      <w:r w:rsidRPr="00C83DF5">
        <w:rPr>
          <w:rFonts w:cs="Tahoma"/>
          <w:szCs w:val="18"/>
          <w:lang w:val="de-DE"/>
        </w:rPr>
        <w:lastRenderedPageBreak/>
        <w:t>Die Preise und Zahlungsbestimmungen für Abonnements, die über Handelspartner erworben werden, werden durch</w:t>
      </w:r>
      <w:r w:rsidR="00D84B50">
        <w:rPr>
          <w:rFonts w:cs="Tahoma"/>
          <w:szCs w:val="18"/>
          <w:lang w:val="de-DE"/>
        </w:rPr>
        <w:t> </w:t>
      </w:r>
      <w:r w:rsidRPr="00C83DF5">
        <w:rPr>
          <w:rFonts w:cs="Tahoma"/>
          <w:szCs w:val="18"/>
          <w:lang w:val="de-DE"/>
        </w:rPr>
        <w:t>den Vertrag zwischen dem Kunden und seinem Handelspartner festgelegt.</w:t>
      </w:r>
      <w:r w:rsidR="00E71F46" w:rsidRPr="00C83DF5">
        <w:rPr>
          <w:rFonts w:cs="Tahoma"/>
          <w:szCs w:val="18"/>
          <w:lang w:val="de-DE"/>
        </w:rPr>
        <w:t xml:space="preserve"> </w:t>
      </w:r>
      <w:r w:rsidRPr="00C83DF5">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E71F46" w:rsidRPr="00C83DF5">
        <w:rPr>
          <w:rFonts w:cs="Tahoma"/>
          <w:szCs w:val="18"/>
          <w:lang w:val="de-DE"/>
        </w:rPr>
        <w:t xml:space="preserve"> </w:t>
      </w:r>
      <w:r w:rsidRPr="00C83DF5">
        <w:rPr>
          <w:rFonts w:cs="Tahoma"/>
          <w:szCs w:val="18"/>
          <w:lang w:val="de-DE"/>
        </w:rPr>
        <w:t>Kunden mit einem Konzernvertrag sind nicht berechtigt, eine True Up-Bestellung für weitere Abonnementlizenzen einzureichen.</w:t>
      </w:r>
      <w:r w:rsidR="00E71F46" w:rsidRPr="00C83DF5">
        <w:rPr>
          <w:rFonts w:cs="Tahoma"/>
          <w:szCs w:val="18"/>
          <w:lang w:val="de-DE"/>
        </w:rPr>
        <w:t xml:space="preserve"> </w:t>
      </w:r>
    </w:p>
    <w:p w:rsidR="00456002" w:rsidRPr="00F037D5" w:rsidRDefault="00456002" w:rsidP="00DF28F2">
      <w:pPr>
        <w:outlineLvl w:val="2"/>
        <w:rPr>
          <w:rFonts w:cs="Tahoma"/>
          <w:szCs w:val="18"/>
          <w:lang w:val="de-DE"/>
        </w:rPr>
      </w:pPr>
    </w:p>
    <w:p w:rsidR="00456002" w:rsidRPr="00C83DF5" w:rsidRDefault="006A5DAE" w:rsidP="00116EDC">
      <w:pPr>
        <w:outlineLvl w:val="2"/>
        <w:rPr>
          <w:lang w:val="de-DE"/>
        </w:rPr>
      </w:pPr>
      <w:r w:rsidRPr="00C83DF5">
        <w:rPr>
          <w:rFonts w:cs="Tahoma"/>
          <w:szCs w:val="18"/>
          <w:lang w:val="de-DE"/>
        </w:rPr>
        <w:t>Spezifische Informationen zu Windows Azure-Diensten finden Sie unten im Abschnitt „Windows Azure-Dienste“.</w:t>
      </w:r>
    </w:p>
    <w:p w:rsidR="00116EDC" w:rsidRPr="00F037D5" w:rsidRDefault="00116EDC" w:rsidP="00116EDC">
      <w:pPr>
        <w:outlineLvl w:val="2"/>
        <w:rPr>
          <w:rFonts w:cs="Tahoma"/>
          <w:szCs w:val="18"/>
          <w:lang w:val="de-DE"/>
        </w:rPr>
      </w:pPr>
    </w:p>
    <w:p w:rsidR="00456002" w:rsidRPr="00C83DF5" w:rsidRDefault="00456002" w:rsidP="00456002">
      <w:pPr>
        <w:pStyle w:val="Heading2"/>
        <w:ind w:left="0"/>
        <w:rPr>
          <w:lang w:val="de-DE"/>
        </w:rPr>
      </w:pPr>
      <w:bookmarkStart w:id="666" w:name="_Toc328145983"/>
      <w:bookmarkStart w:id="667" w:name="_Toc336338213"/>
      <w:bookmarkStart w:id="668" w:name="_Toc370983322"/>
      <w:r w:rsidRPr="00C83DF5">
        <w:rPr>
          <w:rFonts w:ascii="Tahoma" w:hAnsi="Tahoma" w:cs="Tahoma"/>
          <w:lang w:val="de-DE"/>
        </w:rPr>
        <w:t>Mindesterwerbsanforderungen für Onlinedienste im Rahmen der Volumenlizenzierung</w:t>
      </w:r>
      <w:bookmarkEnd w:id="666"/>
      <w:bookmarkEnd w:id="667"/>
      <w:bookmarkEnd w:id="668"/>
    </w:p>
    <w:p w:rsidR="00456002" w:rsidRPr="00F037D5" w:rsidRDefault="00456002" w:rsidP="00DF28F2">
      <w:pPr>
        <w:outlineLvl w:val="2"/>
        <w:rPr>
          <w:rFonts w:cs="Tahoma"/>
          <w:b/>
          <w:szCs w:val="18"/>
          <w:lang w:val="de-DE"/>
        </w:rPr>
      </w:pPr>
    </w:p>
    <w:p w:rsidR="00116EDC" w:rsidRPr="00C83DF5" w:rsidRDefault="00456002" w:rsidP="00D84B50">
      <w:pPr>
        <w:outlineLvl w:val="2"/>
        <w:rPr>
          <w:lang w:val="de-DE"/>
        </w:rPr>
      </w:pPr>
      <w:r w:rsidRPr="00C83DF5">
        <w:rPr>
          <w:rFonts w:cs="Tahoma"/>
          <w:szCs w:val="18"/>
          <w:lang w:val="de-DE"/>
        </w:rPr>
        <w:t>Ein Kunde ist mit einem Mindesterwerb von 5 Lizenzen für das Open Value-Programm qualifiziert.</w:t>
      </w:r>
      <w:r w:rsidR="00E71F46" w:rsidRPr="00C83DF5">
        <w:rPr>
          <w:rFonts w:cs="Tahoma"/>
          <w:szCs w:val="18"/>
          <w:lang w:val="de-DE"/>
        </w:rPr>
        <w:t xml:space="preserve"> </w:t>
      </w:r>
      <w:r w:rsidRPr="00C83DF5">
        <w:rPr>
          <w:rFonts w:cs="Tahoma"/>
          <w:szCs w:val="18"/>
          <w:lang w:val="de-DE"/>
        </w:rPr>
        <w:t>Diese Regel gilt auch für das Bestimmen der Anzahl von Nutzer-Abonnementlizenzen für Onlinedienste (Nutzer-ALs).</w:t>
      </w:r>
      <w:r w:rsidR="00E71F46" w:rsidRPr="00C83DF5">
        <w:rPr>
          <w:rFonts w:cs="Tahoma"/>
          <w:szCs w:val="18"/>
          <w:lang w:val="de-DE"/>
        </w:rPr>
        <w:t xml:space="preserve"> </w:t>
      </w:r>
      <w:r w:rsidRPr="00C83DF5">
        <w:rPr>
          <w:rFonts w:cs="Tahoma"/>
          <w:szCs w:val="18"/>
          <w:lang w:val="de-DE"/>
        </w:rPr>
        <w:t>Eine Nutzer-AL kann bei der Bestimmung der Mindestmenge von 5 Lizenzen mitgezählt werden.</w:t>
      </w:r>
      <w:r w:rsidR="00E71F46" w:rsidRPr="00C83DF5">
        <w:rPr>
          <w:rFonts w:cs="Tahoma"/>
          <w:szCs w:val="18"/>
          <w:lang w:val="de-DE"/>
        </w:rPr>
        <w:t xml:space="preserve"> </w:t>
      </w:r>
      <w:r w:rsidRPr="00C83DF5">
        <w:rPr>
          <w:rFonts w:cs="Tahoma"/>
          <w:szCs w:val="18"/>
          <w:lang w:val="de-DE"/>
        </w:rPr>
        <w:t>Eine Bestellung von 5 Nutzer-ALs erfüllt die Mindestanforderung des Open Value-Programms.</w:t>
      </w:r>
      <w:r w:rsidR="00E71F46" w:rsidRPr="00C83DF5">
        <w:rPr>
          <w:rFonts w:cs="Tahoma"/>
          <w:szCs w:val="18"/>
          <w:lang w:val="de-DE"/>
        </w:rPr>
        <w:t xml:space="preserve"> </w:t>
      </w:r>
      <w:r w:rsidRPr="00C83DF5">
        <w:rPr>
          <w:rFonts w:cs="Tahoma"/>
          <w:szCs w:val="18"/>
          <w:lang w:val="de-DE"/>
        </w:rPr>
        <w:t>Allerdings erfüllen 5 Nutzer-ALs allein nicht die Mindestanforderung für die unternehmensweite Option von Open Value und für Open Value Subscription.</w:t>
      </w:r>
      <w:r w:rsidR="00E71F46" w:rsidRPr="00C83DF5">
        <w:rPr>
          <w:rFonts w:cs="Tahoma"/>
          <w:szCs w:val="18"/>
          <w:lang w:val="de-DE"/>
        </w:rPr>
        <w:t xml:space="preserve"> </w:t>
      </w:r>
      <w:r w:rsidRPr="00C83DF5">
        <w:rPr>
          <w:rFonts w:cs="Tahoma"/>
          <w:szCs w:val="18"/>
          <w:lang w:val="de-DE"/>
        </w:rPr>
        <w:t>Für</w:t>
      </w:r>
      <w:r w:rsidR="00D84B50">
        <w:rPr>
          <w:rFonts w:cs="Tahoma"/>
          <w:szCs w:val="18"/>
          <w:lang w:val="de-DE"/>
        </w:rPr>
        <w:t> </w:t>
      </w:r>
      <w:r w:rsidRPr="00C83DF5">
        <w:rPr>
          <w:rFonts w:cs="Tahoma"/>
          <w:szCs w:val="18"/>
          <w:lang w:val="de-DE"/>
        </w:rPr>
        <w:t>die</w:t>
      </w:r>
      <w:r w:rsidR="00D84B50">
        <w:rPr>
          <w:rFonts w:cs="Tahoma"/>
          <w:szCs w:val="18"/>
          <w:lang w:val="de-DE"/>
        </w:rPr>
        <w:t> </w:t>
      </w:r>
      <w:r w:rsidRPr="00C83DF5">
        <w:rPr>
          <w:rFonts w:cs="Tahoma"/>
          <w:szCs w:val="18"/>
          <w:lang w:val="de-DE"/>
        </w:rPr>
        <w:t>unternehmensweite OV-Option und OV Subscription muss die Anfangsbestellung zusätzlich zu Nutzer-ALs mindestens 5 Desktop-Plattform- oder Desktop-Komponenten-Lizenzen umfassen.</w:t>
      </w:r>
      <w:r w:rsidR="00E71F46" w:rsidRPr="00C83DF5">
        <w:rPr>
          <w:rFonts w:cs="Tahoma"/>
          <w:szCs w:val="18"/>
          <w:lang w:val="de-DE"/>
        </w:rPr>
        <w:t xml:space="preserve"> </w:t>
      </w:r>
    </w:p>
    <w:p w:rsidR="00116EDC" w:rsidRPr="00D84B50" w:rsidRDefault="00116EDC" w:rsidP="00116EDC">
      <w:pPr>
        <w:outlineLvl w:val="2"/>
        <w:rPr>
          <w:rFonts w:cs="Tahoma"/>
          <w:szCs w:val="18"/>
          <w:lang w:val="de-DE"/>
        </w:rPr>
      </w:pPr>
    </w:p>
    <w:p w:rsidR="00776E3B" w:rsidRPr="00C83DF5" w:rsidRDefault="00776E3B" w:rsidP="00776E3B">
      <w:pPr>
        <w:pStyle w:val="Heading3"/>
        <w:rPr>
          <w:lang w:val="de-DE"/>
        </w:rPr>
      </w:pPr>
      <w:bookmarkStart w:id="669" w:name="_Toc336338214"/>
      <w:bookmarkStart w:id="670" w:name="_Toc370983323"/>
      <w:r w:rsidRPr="00C83DF5">
        <w:rPr>
          <w:rFonts w:ascii="Tahoma" w:hAnsi="Tahoma" w:cs="Tahoma"/>
          <w:sz w:val="24"/>
          <w:lang w:val="de-DE"/>
        </w:rPr>
        <w:t>Windows Azure-Dienste</w:t>
      </w:r>
      <w:bookmarkEnd w:id="669"/>
      <w:bookmarkEnd w:id="670"/>
    </w:p>
    <w:p w:rsidR="00776E3B" w:rsidRPr="00F037D5" w:rsidRDefault="00776E3B" w:rsidP="00DF28F2">
      <w:pPr>
        <w:outlineLvl w:val="1"/>
        <w:rPr>
          <w:rFonts w:cs="Tahoma"/>
          <w:szCs w:val="18"/>
          <w:lang w:val="de-DE"/>
        </w:rPr>
      </w:pPr>
    </w:p>
    <w:p w:rsidR="006A5DAE" w:rsidRPr="00C83DF5" w:rsidRDefault="005242EC" w:rsidP="005242EC">
      <w:pPr>
        <w:spacing w:after="60"/>
        <w:outlineLvl w:val="1"/>
        <w:rPr>
          <w:lang w:val="de-DE"/>
        </w:rPr>
      </w:pPr>
      <w:r w:rsidRPr="00C83DF5">
        <w:rPr>
          <w:rFonts w:cs="Tahoma"/>
          <w:b/>
          <w:szCs w:val="18"/>
          <w:lang w:val="de-DE"/>
        </w:rPr>
        <w:t>Definitionen</w:t>
      </w:r>
    </w:p>
    <w:p w:rsidR="006A5DAE" w:rsidRPr="00C83DF5" w:rsidRDefault="006A5DAE" w:rsidP="006A5DAE">
      <w:pPr>
        <w:outlineLvl w:val="1"/>
        <w:rPr>
          <w:lang w:val="de-DE"/>
        </w:rPr>
      </w:pPr>
      <w:r w:rsidRPr="00C83DF5">
        <w:rPr>
          <w:rFonts w:cs="Tahoma"/>
          <w:szCs w:val="18"/>
          <w:u w:val="single"/>
          <w:lang w:val="de-DE"/>
        </w:rPr>
        <w:t>Verpflichtungspreise</w:t>
      </w:r>
      <w:r w:rsidRPr="004B2CBB">
        <w:rPr>
          <w:rFonts w:cs="Tahoma"/>
          <w:bCs/>
          <w:szCs w:val="18"/>
          <w:lang w:val="de-DE"/>
        </w:rPr>
        <w:t xml:space="preserve"> </w:t>
      </w:r>
      <w:r w:rsidRPr="00C83DF5">
        <w:rPr>
          <w:rFonts w:cs="Tahoma"/>
          <w:szCs w:val="18"/>
          <w:lang w:val="de-DE"/>
        </w:rPr>
        <w:t>sind Preise für jegliche Nutzung von Windows Azure-Diensten bis zur Zugewiesenen Jährlichen Verpflichtung.</w:t>
      </w:r>
    </w:p>
    <w:p w:rsidR="006A5DAE" w:rsidRPr="00F037D5" w:rsidRDefault="006A5DAE" w:rsidP="006A5DAE">
      <w:pPr>
        <w:outlineLvl w:val="1"/>
        <w:rPr>
          <w:rFonts w:cs="Tahoma"/>
          <w:szCs w:val="18"/>
          <w:lang w:val="de-DE"/>
        </w:rPr>
      </w:pPr>
    </w:p>
    <w:p w:rsidR="006A5DAE" w:rsidRPr="00C83DF5" w:rsidRDefault="006A5DAE" w:rsidP="006A5DAE">
      <w:pPr>
        <w:outlineLvl w:val="1"/>
        <w:rPr>
          <w:lang w:val="de-DE"/>
        </w:rPr>
      </w:pPr>
      <w:r w:rsidRPr="00C83DF5">
        <w:rPr>
          <w:rFonts w:cs="Tahoma"/>
          <w:szCs w:val="18"/>
          <w:u w:val="single"/>
          <w:lang w:val="de-DE"/>
        </w:rPr>
        <w:t>Nutzungsabhängige Preise</w:t>
      </w:r>
      <w:r w:rsidRPr="00C83DF5">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rsidR="006A5DAE" w:rsidRPr="00F037D5" w:rsidRDefault="006A5DAE" w:rsidP="006A5DAE">
      <w:pPr>
        <w:outlineLvl w:val="1"/>
        <w:rPr>
          <w:rFonts w:cs="Tahoma"/>
          <w:szCs w:val="18"/>
          <w:lang w:val="de-DE"/>
        </w:rPr>
      </w:pPr>
    </w:p>
    <w:p w:rsidR="006A5DAE" w:rsidRPr="00C83DF5" w:rsidRDefault="006A5DAE" w:rsidP="006A5DAE">
      <w:pPr>
        <w:outlineLvl w:val="1"/>
        <w:rPr>
          <w:lang w:val="de-DE"/>
        </w:rPr>
      </w:pPr>
      <w:r w:rsidRPr="00C83DF5">
        <w:rPr>
          <w:rFonts w:cs="Tahoma"/>
          <w:szCs w:val="18"/>
          <w:u w:val="single"/>
          <w:lang w:val="de-DE"/>
        </w:rPr>
        <w:t>Finanzielle Verpflichtung</w:t>
      </w:r>
      <w:r w:rsidRPr="00C83DF5">
        <w:rPr>
          <w:rFonts w:cs="Tahoma"/>
          <w:szCs w:val="18"/>
          <w:lang w:val="de-DE"/>
        </w:rPr>
        <w:t xml:space="preserve"> ist der Gesamtgeldbetrag, zu dessen Zahlung sich ein Kunde während der Abonnementlaufzeit für seine Nutzung der Windows Azure-Dienste verpflichtet.</w:t>
      </w:r>
    </w:p>
    <w:p w:rsidR="00BD1A6A" w:rsidRPr="00F037D5" w:rsidRDefault="00BD1A6A" w:rsidP="006A5DAE">
      <w:pPr>
        <w:outlineLvl w:val="1"/>
        <w:rPr>
          <w:rFonts w:cs="Tahoma"/>
          <w:szCs w:val="18"/>
          <w:lang w:val="de-DE"/>
        </w:rPr>
      </w:pPr>
    </w:p>
    <w:p w:rsidR="006A5DAE" w:rsidRPr="00C83DF5" w:rsidRDefault="006A5DAE" w:rsidP="006A5DAE">
      <w:pPr>
        <w:outlineLvl w:val="1"/>
        <w:rPr>
          <w:lang w:val="de-DE"/>
        </w:rPr>
      </w:pPr>
      <w:r w:rsidRPr="00C83DF5">
        <w:rPr>
          <w:rFonts w:cs="Tahoma"/>
          <w:szCs w:val="18"/>
          <w:u w:val="single"/>
          <w:lang w:val="de-DE"/>
        </w:rPr>
        <w:t>Zugewiesene Jährliche Verpflichtung</w:t>
      </w:r>
      <w:r w:rsidRPr="00C83DF5">
        <w:rPr>
          <w:rFonts w:cs="Tahoma"/>
          <w:szCs w:val="18"/>
          <w:lang w:val="de-DE"/>
        </w:rPr>
        <w:t xml:space="preserve"> ist der Teil der Finanziellen Verpflichtung, der jährlich auf die gesamte Beitrittslaufzeit zugewiesen ist.</w:t>
      </w:r>
    </w:p>
    <w:p w:rsidR="002653EB" w:rsidRPr="00F037D5" w:rsidRDefault="002653EB" w:rsidP="004B2CBB">
      <w:pPr>
        <w:outlineLvl w:val="1"/>
        <w:rPr>
          <w:rFonts w:cs="Tahoma"/>
          <w:szCs w:val="18"/>
          <w:lang w:val="de-DE"/>
        </w:rPr>
      </w:pPr>
    </w:p>
    <w:p w:rsidR="002653EB" w:rsidRPr="00C83DF5" w:rsidRDefault="002653EB" w:rsidP="004B2CBB">
      <w:pPr>
        <w:outlineLvl w:val="1"/>
        <w:rPr>
          <w:lang w:val="de-DE"/>
        </w:rPr>
      </w:pPr>
      <w:r w:rsidRPr="00C83DF5">
        <w:rPr>
          <w:rFonts w:cs="Tahoma"/>
          <w:szCs w:val="18"/>
          <w:lang w:val="de-DE"/>
        </w:rPr>
        <w:t>Nutzungszulage ist die über die Zugewiesene Jährliche Verpflichtung hinausgehende Nutzung, bis zu der dem Kunden</w:t>
      </w:r>
      <w:r w:rsidR="004B2CBB">
        <w:rPr>
          <w:rFonts w:cs="Tahoma"/>
          <w:szCs w:val="18"/>
          <w:lang w:val="de-DE"/>
        </w:rPr>
        <w:t> </w:t>
      </w:r>
      <w:r w:rsidRPr="00C83DF5">
        <w:rPr>
          <w:rFonts w:cs="Tahoma"/>
          <w:szCs w:val="18"/>
          <w:lang w:val="de-DE"/>
        </w:rPr>
        <w:t>bei Lizenzierung unter einem Direkten Konzernvertrag jährlich eine Rechnung ausgestellt wird.</w:t>
      </w:r>
    </w:p>
    <w:p w:rsidR="001C1727" w:rsidRPr="00F534DE" w:rsidRDefault="001C1727" w:rsidP="004B2CBB">
      <w:pPr>
        <w:outlineLvl w:val="1"/>
        <w:rPr>
          <w:rFonts w:cs="Tahoma"/>
          <w:szCs w:val="18"/>
          <w:lang w:val="de-DE"/>
        </w:rPr>
      </w:pPr>
    </w:p>
    <w:p w:rsidR="006A5DAE" w:rsidRPr="00C83DF5" w:rsidRDefault="006A5DAE" w:rsidP="005242EC">
      <w:pPr>
        <w:spacing w:after="60"/>
        <w:outlineLvl w:val="1"/>
        <w:rPr>
          <w:lang w:val="de-DE"/>
        </w:rPr>
      </w:pPr>
      <w:r w:rsidRPr="00C83DF5">
        <w:rPr>
          <w:rFonts w:cs="Tahoma"/>
          <w:b/>
          <w:szCs w:val="18"/>
          <w:lang w:val="de-DE"/>
        </w:rPr>
        <w:t>Abonnementlaufzeit</w:t>
      </w:r>
    </w:p>
    <w:p w:rsidR="006A5DAE" w:rsidRPr="00C83DF5" w:rsidRDefault="006A5DAE" w:rsidP="00F534DE">
      <w:pPr>
        <w:outlineLvl w:val="1"/>
        <w:rPr>
          <w:lang w:val="de-DE"/>
        </w:rPr>
      </w:pPr>
      <w:r w:rsidRPr="00C83DF5">
        <w:rPr>
          <w:rFonts w:cs="Tahoma"/>
          <w:szCs w:val="18"/>
          <w:lang w:val="de-DE"/>
        </w:rPr>
        <w:t>Kunden von Windows Azure-Diensten können nur eine Abonnementlaufzeit wählen, die am Enddatum des Beitritts</w:t>
      </w:r>
      <w:r w:rsidR="00F534DE">
        <w:rPr>
          <w:rFonts w:cs="Tahoma"/>
          <w:szCs w:val="18"/>
          <w:lang w:val="de-DE"/>
        </w:rPr>
        <w:t> </w:t>
      </w:r>
      <w:r w:rsidRPr="00C83DF5">
        <w:rPr>
          <w:rFonts w:cs="Tahoma"/>
          <w:szCs w:val="18"/>
          <w:lang w:val="de-DE"/>
        </w:rPr>
        <w:t xml:space="preserve">des Kunden endet („identische Laufzeit“). </w:t>
      </w:r>
      <w:r w:rsidRPr="00C83DF5">
        <w:rPr>
          <w:lang w:val="de-DE"/>
        </w:rPr>
        <w:t>Die Laufzeit des Beitritts der Kunden beträgt noch mindestens zwei</w:t>
      </w:r>
      <w:r w:rsidR="00F534DE">
        <w:rPr>
          <w:lang w:val="de-DE"/>
        </w:rPr>
        <w:t> </w:t>
      </w:r>
      <w:r w:rsidRPr="00C83DF5">
        <w:rPr>
          <w:lang w:val="de-DE"/>
        </w:rPr>
        <w:t>Monate</w:t>
      </w:r>
      <w:r w:rsidRPr="00C83DF5">
        <w:rPr>
          <w:rFonts w:cs="Tahoma"/>
          <w:szCs w:val="18"/>
          <w:lang w:val="de-DE"/>
        </w:rPr>
        <w:t>.</w:t>
      </w:r>
    </w:p>
    <w:p w:rsidR="006A5DAE" w:rsidRPr="00F037D5" w:rsidRDefault="006A5DAE" w:rsidP="006A5DAE">
      <w:pPr>
        <w:rPr>
          <w:lang w:val="de-DE"/>
        </w:rPr>
      </w:pPr>
    </w:p>
    <w:p w:rsidR="006A5DAE" w:rsidRPr="00C83DF5" w:rsidRDefault="005242EC" w:rsidP="005242EC">
      <w:pPr>
        <w:spacing w:after="60"/>
        <w:outlineLvl w:val="1"/>
        <w:rPr>
          <w:lang w:val="de-DE"/>
        </w:rPr>
      </w:pPr>
      <w:r w:rsidRPr="00C83DF5">
        <w:rPr>
          <w:rFonts w:cs="Tahoma"/>
          <w:b/>
          <w:szCs w:val="18"/>
          <w:lang w:val="de-DE"/>
        </w:rPr>
        <w:t>Finanzielle Verpflichtung</w:t>
      </w:r>
    </w:p>
    <w:p w:rsidR="006A5DAE" w:rsidRPr="00C83DF5" w:rsidRDefault="006A5DAE" w:rsidP="006A5DAE">
      <w:pPr>
        <w:outlineLvl w:val="1"/>
        <w:rPr>
          <w:lang w:val="de-DE"/>
        </w:rPr>
      </w:pPr>
      <w:r w:rsidRPr="00C83DF5">
        <w:rPr>
          <w:rFonts w:cs="Tahoma"/>
          <w:szCs w:val="18"/>
          <w:lang w:val="de-DE"/>
        </w:rP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rsidR="002653EB" w:rsidRPr="00F037D5" w:rsidRDefault="002653EB" w:rsidP="006A5DAE">
      <w:pPr>
        <w:outlineLvl w:val="1"/>
        <w:rPr>
          <w:rFonts w:cs="Tahoma"/>
          <w:szCs w:val="18"/>
          <w:lang w:val="de-DE"/>
        </w:rPr>
      </w:pPr>
    </w:p>
    <w:p w:rsidR="002653EB" w:rsidRPr="00C83DF5" w:rsidRDefault="002653EB" w:rsidP="006A5DAE">
      <w:pPr>
        <w:outlineLvl w:val="1"/>
        <w:rPr>
          <w:lang w:val="de-DE"/>
        </w:rPr>
      </w:pPr>
      <w:r w:rsidRPr="00C83DF5">
        <w:rPr>
          <w:rFonts w:cs="Tahoma"/>
          <w:szCs w:val="18"/>
          <w:lang w:val="de-DE"/>
        </w:rPr>
        <w:t>Jeder Rechnungsbetrag im Zusammenhang mit der Finanziellen Verpflichtung wird erst nach dem Erfassungsdatum für die betreffende Rechnung auf die Nutzung angerechnet.</w:t>
      </w:r>
    </w:p>
    <w:p w:rsidR="006A5DAE" w:rsidRPr="00F037D5" w:rsidRDefault="006A5DAE" w:rsidP="006A5DAE">
      <w:pPr>
        <w:outlineLvl w:val="1"/>
        <w:rPr>
          <w:rFonts w:cs="Tahoma"/>
          <w:szCs w:val="18"/>
          <w:lang w:val="de-DE"/>
        </w:rPr>
      </w:pPr>
    </w:p>
    <w:p w:rsidR="006A5DAE" w:rsidRPr="00C83DF5" w:rsidRDefault="006A5DAE" w:rsidP="005D73EC">
      <w:pPr>
        <w:rPr>
          <w:lang w:val="de-DE"/>
        </w:rPr>
      </w:pPr>
      <w:r w:rsidRPr="00C83DF5">
        <w:rPr>
          <w:lang w:val="de-DE"/>
        </w:rPr>
        <w:t>Kunden können ihre Finanzielle Verpflichtung jederzeit durch Abgabe zusätzlicher Bestellungen erhöhen.</w:t>
      </w:r>
      <w:r w:rsidR="00E71F46" w:rsidRPr="00C83DF5">
        <w:rPr>
          <w:lang w:val="de-DE"/>
        </w:rPr>
        <w:t xml:space="preserve"> </w:t>
      </w:r>
      <w:r w:rsidRPr="00C83DF5">
        <w:rPr>
          <w:lang w:val="de-DE"/>
        </w:rPr>
        <w:t>Die</w:t>
      </w:r>
      <w:r w:rsidR="005D73EC">
        <w:rPr>
          <w:lang w:val="de-DE"/>
        </w:rPr>
        <w:t> </w:t>
      </w:r>
      <w:r w:rsidRPr="00C83DF5">
        <w:rPr>
          <w:lang w:val="de-DE"/>
        </w:rPr>
        <w:t>Jährlichen Verpflichtungen werden um den Betrag der zusätzlichen Bestellung multipliziert mit zwölf und dividiert</w:t>
      </w:r>
      <w:r w:rsidR="005D73EC">
        <w:rPr>
          <w:lang w:val="de-DE"/>
        </w:rPr>
        <w:t> </w:t>
      </w:r>
      <w:r w:rsidRPr="00C83DF5">
        <w:rPr>
          <w:lang w:val="de-DE"/>
        </w:rPr>
        <w:t>durch die Anzahl der vollständigen, in dem Jahr verbleibenden Monate, in dem die zusätzliche Bestellung abgegeben wurde, erhöht.</w:t>
      </w:r>
    </w:p>
    <w:p w:rsidR="002653EB" w:rsidRPr="00C83DF5" w:rsidRDefault="002653EB" w:rsidP="006A5DAE">
      <w:pPr>
        <w:rPr>
          <w:lang w:val="de-DE"/>
        </w:rPr>
      </w:pPr>
      <w:r w:rsidRPr="00C83DF5">
        <w:rPr>
          <w:lang w:val="de-DE"/>
        </w:rPr>
        <w:lastRenderedPageBreak/>
        <w:t xml:space="preserve">Kunden sind berechtigt, Verringerungen bei der zukünftigen Finanziellen Verpflichtung gemäß </w:t>
      </w:r>
      <w:hyperlink w:anchor="_Abschnitt_3_–" w:history="1">
        <w:r w:rsidRPr="00B95687">
          <w:rPr>
            <w:rStyle w:val="Hyperlink"/>
            <w:lang w:val="de-DE"/>
          </w:rPr>
          <w:t>Abschnitt 3</w:t>
        </w:r>
      </w:hyperlink>
      <w:r w:rsidRPr="00C83DF5">
        <w:rPr>
          <w:lang w:val="de-DE"/>
        </w:rPr>
        <w:t>: „Verringerung der Anzahl von Abonnementlizenzen“ zu melden.</w:t>
      </w:r>
    </w:p>
    <w:p w:rsidR="006A5DAE" w:rsidRPr="00C83DF5" w:rsidRDefault="006A5DAE" w:rsidP="006A5DAE">
      <w:pPr>
        <w:rPr>
          <w:lang w:val="de-DE"/>
        </w:rPr>
      </w:pPr>
    </w:p>
    <w:p w:rsidR="006A5DAE" w:rsidRPr="00C83DF5" w:rsidRDefault="006A5DAE" w:rsidP="006A5DAE">
      <w:pPr>
        <w:outlineLvl w:val="1"/>
        <w:rPr>
          <w:lang w:val="de-DE"/>
        </w:rPr>
      </w:pPr>
      <w:r w:rsidRPr="00C83DF5">
        <w:rPr>
          <w:rFonts w:cs="Tahoma"/>
          <w:szCs w:val="18"/>
          <w:lang w:val="de-DE"/>
        </w:rPr>
        <w:t xml:space="preserve">Kunden müssen ihre </w:t>
      </w:r>
      <w:r w:rsidRPr="00C83DF5">
        <w:rPr>
          <w:lang w:val="de-DE"/>
        </w:rPr>
        <w:t>Zugewiesene Jährliche Verpflichtung</w:t>
      </w:r>
      <w:r w:rsidRPr="00C83DF5">
        <w:rPr>
          <w:rFonts w:cs="Tahoma"/>
          <w:szCs w:val="18"/>
          <w:lang w:val="de-DE"/>
        </w:rPr>
        <w:t xml:space="preserve"> jedes Jahr bis zum letzten Tag des Monats, der dem Jahrestag des Beitritts vorausgeht, verbrauchen. Nicht verwendete Teile der </w:t>
      </w:r>
      <w:r w:rsidRPr="00C83DF5">
        <w:rPr>
          <w:lang w:val="de-DE"/>
        </w:rPr>
        <w:t xml:space="preserve">Zugewiesenen Jährlichen Verpflichtung </w:t>
      </w:r>
      <w:r w:rsidRPr="00C83DF5">
        <w:rPr>
          <w:rFonts w:cs="Tahoma"/>
          <w:szCs w:val="18"/>
          <w:lang w:val="de-DE"/>
        </w:rPr>
        <w:t xml:space="preserve">werden </w:t>
      </w:r>
      <w:r w:rsidRPr="00C83DF5">
        <w:rPr>
          <w:lang w:val="de-DE"/>
        </w:rPr>
        <w:t>nicht übertragen</w:t>
      </w:r>
      <w:r w:rsidRPr="00C83DF5">
        <w:rPr>
          <w:rFonts w:cs="Tahoma"/>
          <w:szCs w:val="18"/>
          <w:lang w:val="de-DE"/>
        </w:rPr>
        <w:t xml:space="preserve"> und verfallen. </w:t>
      </w:r>
    </w:p>
    <w:p w:rsidR="002653EB" w:rsidRPr="00C83DF5" w:rsidRDefault="002653EB" w:rsidP="006A5DAE">
      <w:pPr>
        <w:outlineLvl w:val="1"/>
        <w:rPr>
          <w:lang w:val="de-DE"/>
        </w:rPr>
      </w:pPr>
    </w:p>
    <w:p w:rsidR="002653EB" w:rsidRPr="00C83DF5" w:rsidRDefault="002653EB" w:rsidP="006A5DAE">
      <w:pPr>
        <w:outlineLvl w:val="1"/>
        <w:rPr>
          <w:lang w:val="de-DE"/>
        </w:rPr>
      </w:pPr>
      <w:r w:rsidRPr="00C83DF5">
        <w:rPr>
          <w:rFonts w:cs="Tahoma"/>
          <w:szCs w:val="18"/>
          <w:lang w:val="de-DE"/>
        </w:rPr>
        <w:t>Kunden können die Nutzungszulage jedes Jahr bis zum letzten Tag des Monats, der dem Jahrestag des Beitritts vorausgeht, verbrauchen. Nicht verwendete Teile der Nutzungszulage werden nicht übertragen und verfallen.</w:t>
      </w:r>
    </w:p>
    <w:p w:rsidR="006A5DAE" w:rsidRPr="00F037D5" w:rsidRDefault="006A5DAE" w:rsidP="006A5DAE">
      <w:pPr>
        <w:rPr>
          <w:lang w:val="de-DE"/>
        </w:rPr>
      </w:pPr>
    </w:p>
    <w:p w:rsidR="006A5DAE" w:rsidRPr="00C83DF5" w:rsidRDefault="005242EC" w:rsidP="005242EC">
      <w:pPr>
        <w:spacing w:after="60"/>
        <w:outlineLvl w:val="1"/>
        <w:rPr>
          <w:lang w:val="de-DE"/>
        </w:rPr>
      </w:pPr>
      <w:r w:rsidRPr="00C83DF5">
        <w:rPr>
          <w:rFonts w:cs="Tahoma"/>
          <w:b/>
          <w:szCs w:val="18"/>
          <w:lang w:val="de-DE"/>
        </w:rPr>
        <w:t xml:space="preserve">Zahlung und Gebühren </w:t>
      </w:r>
    </w:p>
    <w:p w:rsidR="005D54B5" w:rsidRPr="00C83DF5" w:rsidRDefault="005D54B5" w:rsidP="006A5DAE">
      <w:pPr>
        <w:rPr>
          <w:lang w:val="de-DE"/>
        </w:rPr>
      </w:pPr>
      <w:r w:rsidRPr="00C83DF5">
        <w:rPr>
          <w:lang w:val="de-DE"/>
        </w:rPr>
        <w:t>Die Zahlungspreise entsprechen den Nutzungsabhängigen Preisen.</w:t>
      </w:r>
    </w:p>
    <w:p w:rsidR="005D54B5" w:rsidRPr="00C83DF5" w:rsidRDefault="005D54B5" w:rsidP="006A5DAE">
      <w:pPr>
        <w:rPr>
          <w:lang w:val="de-DE"/>
        </w:rPr>
      </w:pPr>
    </w:p>
    <w:p w:rsidR="005D54B5" w:rsidRPr="00C83DF5" w:rsidRDefault="005D54B5" w:rsidP="006A5DAE">
      <w:pPr>
        <w:rPr>
          <w:lang w:val="de-DE"/>
        </w:rPr>
      </w:pPr>
      <w:r w:rsidRPr="00C83DF5">
        <w:rPr>
          <w:lang w:val="de-DE"/>
        </w:rPr>
        <w:t xml:space="preserve">Die Nutzungszulage entspricht 50 Prozent der Zugewiesenen Jährlichen Verpflichtung. Bei einer Zugewiesenen Jährlichen Verpflichtung in Höhe von 100.000 US-Dollar entspräche die Nutzungszulage beispielsweise </w:t>
      </w:r>
      <w:r w:rsidR="00BB5EFC">
        <w:rPr>
          <w:lang w:val="de-DE"/>
        </w:rPr>
        <w:br/>
      </w:r>
      <w:r w:rsidRPr="00C83DF5">
        <w:rPr>
          <w:lang w:val="de-DE"/>
        </w:rPr>
        <w:t>50.000 US-Dollar.</w:t>
      </w:r>
    </w:p>
    <w:p w:rsidR="005D54B5" w:rsidRPr="00C83DF5" w:rsidRDefault="005D54B5" w:rsidP="006A5DAE">
      <w:pPr>
        <w:rPr>
          <w:lang w:val="de-DE"/>
        </w:rPr>
      </w:pPr>
    </w:p>
    <w:p w:rsidR="006A5DAE" w:rsidRPr="00C83DF5" w:rsidRDefault="005D54B5" w:rsidP="00BB5EFC">
      <w:pPr>
        <w:rPr>
          <w:lang w:val="de-DE"/>
        </w:rPr>
      </w:pPr>
      <w:r w:rsidRPr="00C83DF5">
        <w:rPr>
          <w:lang w:val="de-DE"/>
        </w:rPr>
        <w:t>D</w:t>
      </w:r>
      <w:r w:rsidRPr="00C83DF5">
        <w:rPr>
          <w:rFonts w:cs="Tahoma"/>
          <w:szCs w:val="18"/>
          <w:lang w:val="de-DE"/>
        </w:rPr>
        <w:t xml:space="preserve">ie </w:t>
      </w:r>
      <w:r w:rsidRPr="00C83DF5">
        <w:rPr>
          <w:lang w:val="de-DE"/>
        </w:rPr>
        <w:t>erste Zugewiesene Jährliche Verpflichtung wird unmittelbar in Rechnung gestellt, und künftige Zugewiesene Jährliche Verpflichtungen werden am Jahrestag des Wirksamkeitsdatums des Beitritts in Rechnung gestellt. Alternativ</w:t>
      </w:r>
      <w:r w:rsidR="00BB5EFC">
        <w:rPr>
          <w:lang w:val="de-DE"/>
        </w:rPr>
        <w:t> </w:t>
      </w:r>
      <w:r w:rsidRPr="00C83DF5">
        <w:rPr>
          <w:lang w:val="de-DE"/>
        </w:rPr>
        <w:t>können sich Kunden dafür entscheiden, ihre gesamte Finanzielle Verpflichtung bei Abgabe der Anfangsbestellung zu bezahlen.</w:t>
      </w:r>
    </w:p>
    <w:p w:rsidR="006A5DAE" w:rsidRPr="00C83DF5" w:rsidRDefault="006A5DAE" w:rsidP="006A5DAE">
      <w:pPr>
        <w:rPr>
          <w:lang w:val="de-DE"/>
        </w:rPr>
      </w:pPr>
    </w:p>
    <w:p w:rsidR="005D54B5" w:rsidRPr="00C83DF5" w:rsidRDefault="006A5DAE" w:rsidP="006A5DAE">
      <w:pPr>
        <w:rPr>
          <w:lang w:val="de-DE"/>
        </w:rPr>
      </w:pPr>
      <w:r w:rsidRPr="00C83DF5">
        <w:rPr>
          <w:lang w:val="de-DE"/>
        </w:rPr>
        <w:t xml:space="preserve">Jeden Monat zieht Microsoft den Geldwert der Nutzung von Windows Azure-Diensten eines Kunden von der Zugewiesenen Jährlichen Verpflichtung ab. Sobald das Guthaben der Zugewiesenen Jährlichen Verpflichtung des Kunden erschöpft ist, wird jegliche zusätzliche Nutzung zu Nutzungsabhängigen Preisen in Rechnung gestellt. </w:t>
      </w:r>
    </w:p>
    <w:p w:rsidR="005D54B5" w:rsidRPr="00C83DF5" w:rsidRDefault="005D54B5" w:rsidP="006A5DAE">
      <w:pPr>
        <w:rPr>
          <w:lang w:val="de-DE"/>
        </w:rPr>
      </w:pPr>
    </w:p>
    <w:p w:rsidR="006A5DAE" w:rsidRPr="00C83DF5" w:rsidRDefault="005D54B5" w:rsidP="0063020A">
      <w:pPr>
        <w:rPr>
          <w:lang w:val="de-DE"/>
        </w:rPr>
      </w:pPr>
      <w:r w:rsidRPr="00C83DF5">
        <w:rPr>
          <w:lang w:val="de-DE"/>
        </w:rPr>
        <w:t>Wenn die Nutzung durch den Kunden die Zugewiesene Jährliche Verpflichtung plus Nutzungszulage übersteigt, wird</w:t>
      </w:r>
      <w:r w:rsidR="0063020A">
        <w:rPr>
          <w:lang w:val="de-DE"/>
        </w:rPr>
        <w:t> </w:t>
      </w:r>
      <w:r w:rsidRPr="00C83DF5">
        <w:rPr>
          <w:lang w:val="de-DE"/>
        </w:rPr>
        <w:t>jegliche die Zugewiesene Jährliche Verpflichtung übersteigende Nutzung dem Kunden oder seinem Handelspartner am Ende jedes Beitrittsquartals zu Nutzungsabhängigen Preisen in Rechnung gestellt.</w:t>
      </w:r>
    </w:p>
    <w:p w:rsidR="006A5DAE" w:rsidRPr="00C83DF5" w:rsidRDefault="006A5DAE" w:rsidP="006A5DAE">
      <w:pPr>
        <w:rPr>
          <w:lang w:val="de-DE"/>
        </w:rPr>
      </w:pPr>
    </w:p>
    <w:p w:rsidR="0006338A" w:rsidRPr="00C83DF5" w:rsidRDefault="0006338A" w:rsidP="00A467FE">
      <w:pPr>
        <w:rPr>
          <w:lang w:val="de-DE"/>
        </w:rPr>
      </w:pPr>
      <w:r w:rsidRPr="00C83DF5">
        <w:rPr>
          <w:lang w:val="de-DE"/>
        </w:rPr>
        <w:t>Wenn die Nutzung durch den Kunden unterhalb der Zugewiesenen Jährlichen Verpflichtung plus Nutzungszulage bleibt, wird dem Kunden oder seinem Handelspartner jegliche die Zugewiesene Jährliche Verpflichtung übersteigende</w:t>
      </w:r>
      <w:r w:rsidR="004D7F0F">
        <w:rPr>
          <w:lang w:val="de-DE"/>
        </w:rPr>
        <w:t> </w:t>
      </w:r>
      <w:r w:rsidRPr="00C83DF5">
        <w:rPr>
          <w:lang w:val="de-DE"/>
        </w:rPr>
        <w:t>Nutzung am Jahrestag des Wirksamkeitsdatums des Beitritts für das 1. und 2. Jahr sowie am</w:t>
      </w:r>
      <w:r w:rsidR="00A467FE">
        <w:rPr>
          <w:lang w:val="de-DE"/>
        </w:rPr>
        <w:t> </w:t>
      </w:r>
      <w:r w:rsidRPr="00C83DF5">
        <w:rPr>
          <w:lang w:val="de-DE"/>
        </w:rPr>
        <w:t>Ende</w:t>
      </w:r>
      <w:r w:rsidR="004D7F0F">
        <w:rPr>
          <w:lang w:val="de-DE"/>
        </w:rPr>
        <w:t> </w:t>
      </w:r>
      <w:r w:rsidRPr="00C83DF5">
        <w:rPr>
          <w:lang w:val="de-DE"/>
        </w:rPr>
        <w:t>der</w:t>
      </w:r>
      <w:r w:rsidR="004D7F0F">
        <w:rPr>
          <w:lang w:val="de-DE"/>
        </w:rPr>
        <w:t> </w:t>
      </w:r>
      <w:r w:rsidRPr="00C83DF5">
        <w:rPr>
          <w:lang w:val="de-DE"/>
        </w:rPr>
        <w:t>Abonnementlaufzeit für das 3. Jahr zu Nutzungsabhängigen Preisen in Rechnung gestellt.</w:t>
      </w:r>
    </w:p>
    <w:p w:rsidR="0006338A" w:rsidRPr="00C83DF5" w:rsidRDefault="0006338A" w:rsidP="006A5DAE">
      <w:pPr>
        <w:rPr>
          <w:lang w:val="de-DE"/>
        </w:rPr>
      </w:pPr>
    </w:p>
    <w:p w:rsidR="006A5DAE" w:rsidRPr="00C83DF5" w:rsidRDefault="006A5DAE" w:rsidP="005B5A48">
      <w:pPr>
        <w:rPr>
          <w:lang w:val="de-DE"/>
        </w:rPr>
      </w:pPr>
      <w:r w:rsidRPr="00C83DF5">
        <w:rPr>
          <w:lang w:val="de-DE"/>
        </w:rPr>
        <w:t>Jegliche Nutzung der Windows Azure-Dienste nach Ablauf oder Kündigung der Abonnementlaufzeit eines Kunden wird dem Kunden oder seinem Handelspartner pro Quartal zu den jeweils gültigen Nutzungsabhängigen Preisen in</w:t>
      </w:r>
      <w:r w:rsidR="005B5A48">
        <w:rPr>
          <w:lang w:val="de-DE"/>
        </w:rPr>
        <w:t> </w:t>
      </w:r>
      <w:r w:rsidRPr="00C83DF5">
        <w:rPr>
          <w:lang w:val="de-DE"/>
        </w:rPr>
        <w:t>Rechnung gestellt.</w:t>
      </w:r>
    </w:p>
    <w:p w:rsidR="006A5DAE" w:rsidRPr="00C83DF5" w:rsidRDefault="006A5DAE" w:rsidP="006A5DAE">
      <w:pPr>
        <w:rPr>
          <w:lang w:val="de-DE"/>
        </w:rPr>
      </w:pPr>
    </w:p>
    <w:p w:rsidR="006A5DAE" w:rsidRPr="00C83DF5" w:rsidRDefault="006A5DAE" w:rsidP="00DD35BC">
      <w:pPr>
        <w:rPr>
          <w:lang w:val="de-DE"/>
        </w:rPr>
      </w:pPr>
      <w:r w:rsidRPr="00C83DF5">
        <w:rPr>
          <w:lang w:val="de-DE"/>
        </w:rPr>
        <w:t>Microsoft ist berechtigt, Preise für einzelne Windows Azure-Dienste während der Beitrittslaufzeit eines Kunden zu</w:t>
      </w:r>
      <w:r w:rsidR="00DD35BC">
        <w:rPr>
          <w:lang w:val="de-DE"/>
        </w:rPr>
        <w:t> </w:t>
      </w:r>
      <w:r w:rsidRPr="00C83DF5">
        <w:rPr>
          <w:lang w:val="de-DE"/>
        </w:rPr>
        <w:t>senken.</w:t>
      </w:r>
      <w:r w:rsidR="00E71F46" w:rsidRPr="00C83DF5">
        <w:rPr>
          <w:lang w:val="de-DE"/>
        </w:rPr>
        <w:t xml:space="preserve"> </w:t>
      </w:r>
      <w:r w:rsidRPr="00C83DF5">
        <w:rPr>
          <w:lang w:val="de-DE"/>
        </w:rPr>
        <w:t>Bei Kunden, die Windows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w:t>
      </w:r>
      <w:r w:rsidR="00DD35BC">
        <w:rPr>
          <w:lang w:val="de-DE"/>
        </w:rPr>
        <w:t> </w:t>
      </w:r>
      <w:r w:rsidRPr="00C83DF5">
        <w:rPr>
          <w:lang w:val="de-DE"/>
        </w:rPr>
        <w:t>über derartige Änderungen informieren.</w:t>
      </w:r>
    </w:p>
    <w:p w:rsidR="006A5DAE" w:rsidRPr="00C83DF5" w:rsidRDefault="006A5DAE" w:rsidP="006A5DAE">
      <w:pPr>
        <w:rPr>
          <w:lang w:val="de-DE"/>
        </w:rPr>
      </w:pPr>
    </w:p>
    <w:p w:rsidR="006A5DAE" w:rsidRPr="00C83DF5" w:rsidRDefault="006A5DAE" w:rsidP="00BC59F9">
      <w:pPr>
        <w:rPr>
          <w:lang w:val="de-DE"/>
        </w:rPr>
      </w:pPr>
      <w:r w:rsidRPr="00C83DF5">
        <w:rPr>
          <w:rFonts w:cs="Tahoma"/>
          <w:szCs w:val="18"/>
          <w:lang w:val="de-DE"/>
        </w:rPr>
        <w:t>Die Preise und Zahlungsbestimmungen für Abonnements, die über Handelspartner erworben werden, werden durch</w:t>
      </w:r>
      <w:r w:rsidR="00BC59F9">
        <w:rPr>
          <w:rFonts w:cs="Tahoma"/>
          <w:szCs w:val="18"/>
          <w:lang w:val="de-DE"/>
        </w:rPr>
        <w:t> </w:t>
      </w:r>
      <w:r w:rsidRPr="00C83DF5">
        <w:rPr>
          <w:rFonts w:cs="Tahoma"/>
          <w:szCs w:val="18"/>
          <w:lang w:val="de-DE"/>
        </w:rPr>
        <w:t>den Vertrag zwischen dem Kunden und seinem Handelspartner festgelegt.</w:t>
      </w:r>
      <w:r w:rsidR="00E71F46" w:rsidRPr="00C83DF5">
        <w:rPr>
          <w:rFonts w:cs="Tahoma"/>
          <w:szCs w:val="18"/>
          <w:lang w:val="de-DE"/>
        </w:rPr>
        <w:t xml:space="preserve"> </w:t>
      </w:r>
      <w:r w:rsidRPr="00C83DF5">
        <w:rPr>
          <w:rFonts w:cs="Tahoma"/>
          <w:szCs w:val="18"/>
          <w:lang w:val="de-DE"/>
        </w:rPr>
        <w:t xml:space="preserve">Der </w:t>
      </w:r>
      <w:r w:rsidRPr="00C83DF5">
        <w:rPr>
          <w:iCs/>
          <w:lang w:val="de-DE"/>
        </w:rPr>
        <w:t>Handelspartner eines Kunden stellt zusätzliche Informationen zum Bestellprozess für Windows Azure-Dienste zur Verfügung.</w:t>
      </w:r>
      <w:r w:rsidR="00E71F46" w:rsidRPr="00C83DF5">
        <w:rPr>
          <w:iCs/>
          <w:lang w:val="de-DE"/>
        </w:rPr>
        <w:t xml:space="preserve"> </w:t>
      </w:r>
      <w:r w:rsidRPr="00C83DF5">
        <w:rPr>
          <w:iCs/>
          <w:lang w:val="de-DE"/>
        </w:rPr>
        <w:t xml:space="preserve">Die Preise und Zahlungsbestimmungen für alle Windows Azure-Dienste werden durch einen separaten Vertrag zwischen dem Kunden und seinem Handelspartner geregelt. </w:t>
      </w:r>
      <w:r w:rsidRPr="00C83DF5">
        <w:rPr>
          <w:lang w:val="de-DE"/>
        </w:rPr>
        <w:t>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rsidR="00BD1A6A" w:rsidRPr="00C83DF5" w:rsidRDefault="00BD1A6A">
      <w:pPr>
        <w:rPr>
          <w:lang w:val="de-DE"/>
        </w:rPr>
      </w:pPr>
    </w:p>
    <w:p w:rsidR="0067627F" w:rsidRDefault="0067627F" w:rsidP="00776E3B">
      <w:pPr>
        <w:rPr>
          <w:lang w:val="de-DE"/>
        </w:rPr>
      </w:pPr>
    </w:p>
    <w:p w:rsidR="002F51E4" w:rsidRDefault="002F51E4" w:rsidP="00776E3B">
      <w:pPr>
        <w:rPr>
          <w:lang w:val="de-DE"/>
        </w:rPr>
      </w:pPr>
    </w:p>
    <w:p w:rsidR="002F51E4" w:rsidRPr="00C83DF5" w:rsidRDefault="002F51E4" w:rsidP="00776E3B">
      <w:pPr>
        <w:rPr>
          <w:lang w:val="de-DE"/>
        </w:rPr>
      </w:pPr>
    </w:p>
    <w:p w:rsidR="00456002" w:rsidRPr="00C83DF5" w:rsidRDefault="00456002" w:rsidP="00456002">
      <w:pPr>
        <w:pStyle w:val="Heading2"/>
        <w:ind w:left="0"/>
        <w:rPr>
          <w:lang w:val="de-DE"/>
        </w:rPr>
      </w:pPr>
      <w:bookmarkStart w:id="671" w:name="_Toc328145984"/>
      <w:bookmarkStart w:id="672" w:name="_Toc336338215"/>
      <w:bookmarkStart w:id="673" w:name="_Toc370983324"/>
      <w:r w:rsidRPr="00C83DF5">
        <w:rPr>
          <w:rFonts w:ascii="Tahoma" w:hAnsi="Tahoma" w:cs="Tahoma"/>
          <w:lang w:val="de-DE"/>
        </w:rPr>
        <w:lastRenderedPageBreak/>
        <w:t>Regionale Verfügbarkeit von Onlinediensten</w:t>
      </w:r>
      <w:bookmarkEnd w:id="671"/>
      <w:bookmarkEnd w:id="672"/>
      <w:bookmarkEnd w:id="673"/>
    </w:p>
    <w:p w:rsidR="00456002" w:rsidRPr="00F037D5" w:rsidRDefault="00456002" w:rsidP="00DF28F2">
      <w:pPr>
        <w:outlineLvl w:val="2"/>
        <w:rPr>
          <w:rFonts w:cs="Tahoma"/>
          <w:b/>
          <w:szCs w:val="18"/>
          <w:lang w:val="de-DE"/>
        </w:rPr>
      </w:pPr>
    </w:p>
    <w:p w:rsidR="0067627F" w:rsidRPr="00C83DF5" w:rsidRDefault="00456002" w:rsidP="002F51E4">
      <w:pPr>
        <w:outlineLvl w:val="2"/>
        <w:rPr>
          <w:lang w:val="de-DE"/>
        </w:rPr>
      </w:pPr>
      <w:r w:rsidRPr="00C83DF5">
        <w:rPr>
          <w:rFonts w:cs="Tahoma"/>
          <w:szCs w:val="18"/>
          <w:lang w:val="de-DE"/>
        </w:rPr>
        <w:t xml:space="preserve">Unter </w:t>
      </w:r>
      <w:hyperlink r:id="rId21" w:anchor="international" w:history="1">
        <w:r w:rsidRPr="00C83DF5">
          <w:rPr>
            <w:rStyle w:val="Hyperlink"/>
            <w:lang w:val="de-DE"/>
          </w:rPr>
          <w:t>http://www.microsoft.com/online/faq.aspx#international</w:t>
        </w:r>
      </w:hyperlink>
      <w:r w:rsidRPr="00C83DF5">
        <w:rPr>
          <w:color w:val="1F497D"/>
          <w:lang w:val="de-DE"/>
        </w:rPr>
        <w:t xml:space="preserve"> </w:t>
      </w:r>
      <w:r w:rsidRPr="00C83DF5">
        <w:rPr>
          <w:color w:val="000000"/>
          <w:lang w:val="de-DE"/>
        </w:rPr>
        <w:t>erhalten Sie eine Liste der Länder und Regionen, in</w:t>
      </w:r>
      <w:r w:rsidR="002F51E4">
        <w:rPr>
          <w:color w:val="000000"/>
          <w:lang w:val="de-DE"/>
        </w:rPr>
        <w:t> </w:t>
      </w:r>
      <w:r w:rsidRPr="00C83DF5">
        <w:rPr>
          <w:color w:val="000000"/>
          <w:lang w:val="de-DE"/>
        </w:rPr>
        <w:t>denen die Onlinedienste verfügbar sind.</w:t>
      </w:r>
      <w:r w:rsidR="00E71F46" w:rsidRPr="00C83DF5">
        <w:rPr>
          <w:color w:val="000000"/>
          <w:lang w:val="de-DE"/>
        </w:rPr>
        <w:t xml:space="preserve"> </w:t>
      </w:r>
    </w:p>
    <w:p w:rsidR="0067627F" w:rsidRPr="00F037D5" w:rsidRDefault="0067627F" w:rsidP="0067627F">
      <w:pPr>
        <w:outlineLvl w:val="2"/>
        <w:rPr>
          <w:rFonts w:cs="Tahoma"/>
          <w:color w:val="000000"/>
          <w:szCs w:val="18"/>
          <w:lang w:val="de-DE"/>
        </w:rPr>
      </w:pPr>
    </w:p>
    <w:p w:rsidR="00456002" w:rsidRPr="00C83DF5" w:rsidRDefault="00456002" w:rsidP="00456002">
      <w:pPr>
        <w:pStyle w:val="Heading2"/>
        <w:ind w:left="0"/>
        <w:rPr>
          <w:lang w:val="de-DE"/>
        </w:rPr>
      </w:pPr>
      <w:bookmarkStart w:id="674" w:name="_Toc328145985"/>
      <w:bookmarkStart w:id="675" w:name="_Toc336338216"/>
      <w:bookmarkStart w:id="676" w:name="_Toc370983325"/>
      <w:r w:rsidRPr="00C83DF5">
        <w:rPr>
          <w:rFonts w:ascii="Tahoma" w:hAnsi="Tahoma" w:cs="Tahoma"/>
          <w:lang w:val="de-DE"/>
        </w:rPr>
        <w:t>Zusätzliche Bestimmungen für Onlinedienste</w:t>
      </w:r>
      <w:bookmarkEnd w:id="674"/>
      <w:bookmarkEnd w:id="675"/>
      <w:bookmarkEnd w:id="676"/>
    </w:p>
    <w:p w:rsidR="00456002" w:rsidRPr="00F037D5" w:rsidRDefault="00456002" w:rsidP="00DF28F2">
      <w:pPr>
        <w:outlineLvl w:val="2"/>
        <w:rPr>
          <w:rFonts w:cs="Tahoma"/>
          <w:szCs w:val="18"/>
          <w:lang w:val="de-DE"/>
        </w:rPr>
      </w:pPr>
    </w:p>
    <w:p w:rsidR="00456002" w:rsidRPr="00C83DF5" w:rsidRDefault="00456002" w:rsidP="00CF3FEE">
      <w:pPr>
        <w:rPr>
          <w:lang w:val="de-DE"/>
        </w:rPr>
      </w:pPr>
      <w:r w:rsidRPr="00C83DF5">
        <w:rPr>
          <w:lang w:val="de-DE"/>
        </w:rPr>
        <w:t>Diese Produktliste kann zusätzliche Informationen zu bestimmten Produkten enthalten.</w:t>
      </w:r>
      <w:r w:rsidR="00E71F46" w:rsidRPr="00C83DF5">
        <w:rPr>
          <w:lang w:val="de-DE"/>
        </w:rPr>
        <w:t xml:space="preserve"> </w:t>
      </w:r>
      <w:r w:rsidRPr="00C83DF5">
        <w:rPr>
          <w:lang w:val="de-DE"/>
        </w:rPr>
        <w:t>Weitere Informationen finden Sie in den Produktabschnitten dieses Dokuments.</w:t>
      </w:r>
    </w:p>
    <w:p w:rsidR="00456002" w:rsidRPr="00F037D5" w:rsidRDefault="00456002" w:rsidP="00CF3FEE">
      <w:pPr>
        <w:rPr>
          <w:lang w:val="de-DE"/>
        </w:rPr>
      </w:pPr>
    </w:p>
    <w:p w:rsidR="00456002" w:rsidRPr="00C83DF5" w:rsidRDefault="00456002" w:rsidP="00BA7296">
      <w:pPr>
        <w:rPr>
          <w:lang w:val="de-DE"/>
        </w:rPr>
      </w:pPr>
      <w:r w:rsidRPr="00C83DF5">
        <w:rPr>
          <w:lang w:val="de-DE"/>
        </w:rPr>
        <w:t xml:space="preserve">Die Produktbenutzungsrechte unter </w:t>
      </w:r>
      <w:r w:rsidR="00BA7296" w:rsidRPr="00BA7296">
        <w:rPr>
          <w:lang w:val="de-DE"/>
        </w:rPr>
        <w:t>http://www.microsoftvolumelicensing.com/userights/PUR.aspx</w:t>
      </w:r>
      <w:r w:rsidRPr="00C83DF5">
        <w:rPr>
          <w:lang w:val="de-DE"/>
        </w:rPr>
        <w:t xml:space="preserve"> enthalten allgemeine und produktspezifische Bestimmungen für die Nutzung von Onlinediensten.</w:t>
      </w:r>
      <w:r w:rsidR="00E71F46" w:rsidRPr="00C83DF5">
        <w:rPr>
          <w:lang w:val="de-DE"/>
        </w:rPr>
        <w:t xml:space="preserve"> </w:t>
      </w:r>
      <w:r w:rsidRPr="00C83DF5">
        <w:rPr>
          <w:lang w:val="de-DE"/>
        </w:rPr>
        <w:t>Die Onlinedienste-Produktbenutzungsrechte können wie im Abschnitt „Onlinedienste“ jenes Dokuments beschrieben geändert werden.</w:t>
      </w:r>
    </w:p>
    <w:p w:rsidR="00456002" w:rsidRPr="00F037D5" w:rsidRDefault="00456002" w:rsidP="00CF3FEE">
      <w:pPr>
        <w:rPr>
          <w:lang w:val="de-DE"/>
        </w:rPr>
      </w:pPr>
    </w:p>
    <w:p w:rsidR="00026546" w:rsidRPr="00C83DF5" w:rsidRDefault="00456002" w:rsidP="002F51E4">
      <w:pPr>
        <w:rPr>
          <w:lang w:val="de-DE"/>
        </w:rPr>
      </w:pPr>
      <w:bookmarkStart w:id="677" w:name="_Toc325313160"/>
      <w:r w:rsidRPr="00C83DF5">
        <w:rPr>
          <w:lang w:val="de-DE"/>
        </w:rPr>
        <w:t>Die oben genannten Preise und Zahlungsbestimmungen für Onlinedienste gelten nicht für Onlinedienste, die</w:t>
      </w:r>
      <w:r w:rsidR="002F51E4">
        <w:rPr>
          <w:lang w:val="de-DE"/>
        </w:rPr>
        <w:t> </w:t>
      </w:r>
      <w:r w:rsidRPr="00C83DF5">
        <w:rPr>
          <w:lang w:val="de-DE"/>
        </w:rPr>
        <w:t>in</w:t>
      </w:r>
      <w:r w:rsidR="002F51E4">
        <w:rPr>
          <w:lang w:val="de-DE"/>
        </w:rPr>
        <w:t> </w:t>
      </w:r>
      <w:r w:rsidRPr="00C83DF5">
        <w:rPr>
          <w:lang w:val="de-DE"/>
        </w:rPr>
        <w:t>Übereinstimmung mit dem Microsoft Online-Abonnement-Vertrag erworben wurden.</w:t>
      </w:r>
      <w:r w:rsidR="00E71F46" w:rsidRPr="00C83DF5">
        <w:rPr>
          <w:lang w:val="de-DE"/>
        </w:rPr>
        <w:t xml:space="preserve"> </w:t>
      </w:r>
      <w:r w:rsidRPr="00C83DF5">
        <w:rPr>
          <w:lang w:val="de-DE"/>
        </w:rPr>
        <w:t>Alle anwendbaren Bestimmungen für Onlinedienste, die in Übereinstimmung mit dem Microsoft Online-Abonnement-Vertrag erworben</w:t>
      </w:r>
      <w:r w:rsidR="002F51E4">
        <w:rPr>
          <w:lang w:val="de-DE"/>
        </w:rPr>
        <w:t> </w:t>
      </w:r>
      <w:r w:rsidRPr="00C83DF5">
        <w:rPr>
          <w:lang w:val="de-DE"/>
        </w:rPr>
        <w:t>wurden, sind in jenem Vertrag und im Microsoft Online Services-Kundenportal enthalten.</w:t>
      </w:r>
      <w:bookmarkEnd w:id="677"/>
    </w:p>
    <w:p w:rsidR="00676723" w:rsidRPr="00C83DF5" w:rsidRDefault="00676723">
      <w:pPr>
        <w:rPr>
          <w:lang w:val="de-DE"/>
        </w:rPr>
      </w:pPr>
      <w:bookmarkStart w:id="678" w:name="_Supplemental_Terms_For"/>
      <w:bookmarkStart w:id="679" w:name="_Toc336338217"/>
      <w:bookmarkEnd w:id="678"/>
      <w:r w:rsidRPr="00C83DF5">
        <w:rPr>
          <w:lang w:val="de-DE"/>
        </w:rPr>
        <w:br w:type="page"/>
      </w:r>
    </w:p>
    <w:p w:rsidR="00023FE7" w:rsidRPr="00F037D5" w:rsidRDefault="00A33112" w:rsidP="00B0065F">
      <w:pPr>
        <w:pStyle w:val="Heading1"/>
        <w:rPr>
          <w:lang w:val="de-DE"/>
        </w:rPr>
      </w:pPr>
      <w:bookmarkStart w:id="680" w:name="_ABSCHNITT_6_–"/>
      <w:bookmarkStart w:id="681" w:name="_Toc370983326"/>
      <w:bookmarkEnd w:id="680"/>
      <w:r w:rsidRPr="00F037D5">
        <w:rPr>
          <w:lang w:val="de-DE"/>
        </w:rPr>
        <w:lastRenderedPageBreak/>
        <w:t>ABSCHNITT 6 – Regeln zur Verlängerung von Software Assurance</w:t>
      </w:r>
      <w:bookmarkEnd w:id="679"/>
      <w:bookmarkEnd w:id="681"/>
    </w:p>
    <w:p w:rsidR="00865A60" w:rsidRPr="00F037D5" w:rsidRDefault="00865A60" w:rsidP="00865A60">
      <w:pPr>
        <w:rPr>
          <w:sz w:val="24"/>
          <w:lang w:val="de-DE"/>
        </w:rPr>
      </w:pPr>
    </w:p>
    <w:p w:rsidR="00171817" w:rsidRPr="00F037D5" w:rsidRDefault="00171817" w:rsidP="00171817">
      <w:pPr>
        <w:pStyle w:val="Heading4"/>
        <w:tabs>
          <w:tab w:val="clear" w:pos="720"/>
          <w:tab w:val="num" w:pos="0"/>
        </w:tabs>
        <w:ind w:left="0" w:firstLine="0"/>
        <w:rPr>
          <w:rFonts w:ascii="Tahoma" w:hAnsi="Tahoma" w:cs="Tahoma"/>
          <w:sz w:val="24"/>
          <w:lang w:val="de-DE"/>
        </w:rPr>
      </w:pPr>
      <w:bookmarkStart w:id="682" w:name="_Toc323159745"/>
      <w:bookmarkStart w:id="683" w:name="_Toc336338218"/>
      <w:bookmarkStart w:id="684" w:name="_Toc370983327"/>
      <w:r w:rsidRPr="00F037D5">
        <w:rPr>
          <w:rFonts w:ascii="Tahoma" w:hAnsi="Tahoma" w:cs="Tahoma"/>
          <w:sz w:val="24"/>
          <w:lang w:val="de-DE"/>
        </w:rPr>
        <w:t>Open-Lizenz</w:t>
      </w:r>
      <w:bookmarkEnd w:id="682"/>
      <w:bookmarkEnd w:id="683"/>
      <w:bookmarkEnd w:id="684"/>
    </w:p>
    <w:p w:rsidR="00171817" w:rsidRPr="00F037D5" w:rsidRDefault="00171817" w:rsidP="00865A60">
      <w:pPr>
        <w:pStyle w:val="Heading4"/>
        <w:tabs>
          <w:tab w:val="clear" w:pos="720"/>
          <w:tab w:val="num" w:pos="0"/>
        </w:tabs>
        <w:spacing w:before="0"/>
        <w:ind w:left="0" w:firstLine="0"/>
        <w:rPr>
          <w:rFonts w:ascii="Tahoma" w:hAnsi="Tahoma" w:cs="Tahoma"/>
          <w:b w:val="0"/>
          <w:sz w:val="18"/>
          <w:lang w:val="de-DE"/>
        </w:rPr>
      </w:pPr>
    </w:p>
    <w:p w:rsidR="00171817" w:rsidRPr="00C83DF5" w:rsidRDefault="00171817" w:rsidP="00106A04">
      <w:pPr>
        <w:pStyle w:val="StyleHeading22Left138Firstline0"/>
        <w:tabs>
          <w:tab w:val="num" w:pos="0"/>
        </w:tabs>
        <w:ind w:left="0"/>
        <w:jc w:val="left"/>
        <w:rPr>
          <w:lang w:val="de-DE"/>
        </w:rPr>
      </w:pPr>
      <w:r w:rsidRPr="00C83DF5">
        <w:rPr>
          <w:rFonts w:ascii="Tahoma" w:hAnsi="Tahoma" w:cs="Tahoma"/>
          <w:sz w:val="18"/>
          <w:lang w:val="de-DE"/>
        </w:rPr>
        <w:t>Software Assurance, die im Rahmen einer Open-Lizenz-Autorisierungsnummer bestellt wird, endet nach Ablauf dieser</w:t>
      </w:r>
      <w:r w:rsidR="00106A04">
        <w:rPr>
          <w:rFonts w:ascii="Tahoma" w:hAnsi="Tahoma" w:cs="Tahoma"/>
          <w:sz w:val="18"/>
          <w:lang w:val="de-DE"/>
        </w:rPr>
        <w:t> </w:t>
      </w:r>
      <w:r w:rsidRPr="00C83DF5">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w:t>
      </w:r>
      <w:r w:rsidR="00106A04">
        <w:rPr>
          <w:rFonts w:ascii="Tahoma" w:hAnsi="Tahoma" w:cs="Tahoma"/>
          <w:sz w:val="18"/>
          <w:lang w:val="de-DE"/>
        </w:rPr>
        <w:t> </w:t>
      </w:r>
      <w:r w:rsidRPr="00C83DF5">
        <w:rPr>
          <w:rFonts w:ascii="Tahoma" w:hAnsi="Tahoma" w:cs="Tahoma"/>
          <w:sz w:val="18"/>
          <w:lang w:val="de-DE"/>
        </w:rPr>
        <w:t>zu bestellen, sofern Software Assurance wie oben genannt verlängert wird. Die Laufzeit von neuer Software</w:t>
      </w:r>
      <w:r w:rsidR="00106A04">
        <w:rPr>
          <w:rFonts w:ascii="Tahoma" w:hAnsi="Tahoma" w:cs="Tahoma"/>
          <w:sz w:val="18"/>
          <w:lang w:val="de-DE"/>
        </w:rPr>
        <w:t> </w:t>
      </w:r>
      <w:r w:rsidRPr="00C83DF5">
        <w:rPr>
          <w:rFonts w:ascii="Tahoma" w:hAnsi="Tahoma" w:cs="Tahoma"/>
          <w:sz w:val="18"/>
          <w:lang w:val="de-DE"/>
        </w:rPr>
        <w:t>Assurance beginnt am Wirksamkeitsdatum der neuen Autorisierungsnummer.</w:t>
      </w:r>
    </w:p>
    <w:p w:rsidR="00865A60" w:rsidRPr="00F037D5" w:rsidRDefault="00865A60" w:rsidP="005242EC">
      <w:pPr>
        <w:pStyle w:val="AppendIndentSub"/>
        <w:ind w:left="0"/>
        <w:rPr>
          <w:rFonts w:ascii="Tahoma" w:hAnsi="Tahoma" w:cs="Tahoma"/>
          <w:sz w:val="18"/>
          <w:lang w:val="de-DE"/>
        </w:rPr>
      </w:pPr>
    </w:p>
    <w:p w:rsidR="00171817" w:rsidRPr="00C83DF5" w:rsidRDefault="00171817" w:rsidP="002171C3">
      <w:pPr>
        <w:pStyle w:val="Heading4"/>
        <w:ind w:left="360"/>
        <w:rPr>
          <w:lang w:val="de-DE"/>
        </w:rPr>
      </w:pPr>
      <w:bookmarkStart w:id="685" w:name="_Toc336338219"/>
      <w:bookmarkStart w:id="686" w:name="_Toc370983328"/>
      <w:r w:rsidRPr="00C83DF5">
        <w:rPr>
          <w:rFonts w:ascii="Tahoma" w:hAnsi="Tahoma" w:cs="Tahoma"/>
          <w:sz w:val="24"/>
          <w:lang w:val="de-DE"/>
        </w:rPr>
        <w:t>Open Value 20xx</w:t>
      </w:r>
      <w:bookmarkEnd w:id="685"/>
      <w:bookmarkEnd w:id="686"/>
    </w:p>
    <w:p w:rsidR="00171817" w:rsidRPr="00C83DF5" w:rsidRDefault="00171817" w:rsidP="00171817">
      <w:pPr>
        <w:tabs>
          <w:tab w:val="num" w:pos="0"/>
        </w:tabs>
        <w:rPr>
          <w:lang w:val="de-DE"/>
        </w:rPr>
      </w:pPr>
    </w:p>
    <w:p w:rsidR="00171817" w:rsidRPr="00C83DF5" w:rsidRDefault="00171817" w:rsidP="005242EC">
      <w:pPr>
        <w:keepNext/>
        <w:tabs>
          <w:tab w:val="num" w:pos="720"/>
        </w:tabs>
        <w:spacing w:after="60"/>
        <w:ind w:left="360" w:hanging="360"/>
        <w:outlineLvl w:val="3"/>
        <w:rPr>
          <w:lang w:val="de-DE"/>
        </w:rPr>
      </w:pPr>
      <w:r w:rsidRPr="00C83DF5">
        <w:rPr>
          <w:b/>
          <w:szCs w:val="20"/>
          <w:lang w:val="de-DE"/>
        </w:rPr>
        <w:t xml:space="preserve">Verlängerung im Rahmen des Gleichen Vertrages </w:t>
      </w:r>
    </w:p>
    <w:p w:rsidR="00171817" w:rsidRPr="00C83DF5" w:rsidRDefault="00171817" w:rsidP="00134599">
      <w:pPr>
        <w:tabs>
          <w:tab w:val="num" w:pos="0"/>
        </w:tabs>
        <w:rPr>
          <w:lang w:val="de-DE"/>
        </w:rPr>
      </w:pPr>
      <w:r w:rsidRPr="00C83DF5">
        <w:rPr>
          <w:rFonts w:cs="Tahoma"/>
          <w:szCs w:val="20"/>
          <w:lang w:val="de-DE"/>
        </w:rPr>
        <w:t>Software Assurance, die im Rahmen eines Open Value-Vertrages bestellt wurde, endet nach Ablauf (oder Kündigung) des entsprechenden Vertrages. Kunden erhalten 60 Tage vor Ablauf des Vertrages eine schriftliche Mitteilung über</w:t>
      </w:r>
      <w:r w:rsidR="00134599">
        <w:rPr>
          <w:rFonts w:cs="Tahoma"/>
          <w:szCs w:val="20"/>
          <w:lang w:val="de-DE"/>
        </w:rPr>
        <w:t> </w:t>
      </w:r>
      <w:r w:rsidRPr="00C83DF5">
        <w:rPr>
          <w:rFonts w:cs="Tahoma"/>
          <w:szCs w:val="20"/>
          <w:lang w:val="de-DE"/>
        </w:rPr>
        <w:t>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w:t>
      </w:r>
      <w:r w:rsidR="00E71F46" w:rsidRPr="00C83DF5">
        <w:rPr>
          <w:rFonts w:cs="Tahoma"/>
          <w:szCs w:val="20"/>
          <w:lang w:val="de-DE"/>
        </w:rPr>
        <w:t xml:space="preserve"> </w:t>
      </w:r>
      <w:r w:rsidRPr="00C83DF5">
        <w:rPr>
          <w:rFonts w:cs="Tahoma"/>
          <w:szCs w:val="20"/>
          <w:lang w:val="de-DE"/>
        </w:rPr>
        <w:t xml:space="preserve">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rsidR="00171817" w:rsidRPr="00F037D5" w:rsidRDefault="00171817" w:rsidP="00171817">
      <w:pPr>
        <w:tabs>
          <w:tab w:val="num" w:pos="0"/>
        </w:tabs>
        <w:rPr>
          <w:rFonts w:cs="Tahoma"/>
          <w:szCs w:val="20"/>
          <w:lang w:val="de-DE"/>
        </w:rPr>
      </w:pPr>
    </w:p>
    <w:p w:rsidR="00171817" w:rsidRPr="00C83DF5" w:rsidRDefault="00171817" w:rsidP="005242EC">
      <w:pPr>
        <w:keepNext/>
        <w:tabs>
          <w:tab w:val="num" w:pos="720"/>
        </w:tabs>
        <w:spacing w:after="60"/>
        <w:ind w:left="360" w:hanging="360"/>
        <w:outlineLvl w:val="3"/>
        <w:rPr>
          <w:lang w:val="de-DE"/>
        </w:rPr>
      </w:pPr>
      <w:r w:rsidRPr="00C83DF5">
        <w:rPr>
          <w:b/>
          <w:szCs w:val="20"/>
          <w:lang w:val="de-DE"/>
        </w:rPr>
        <w:t>Verlängerung im Rahmen eines separaten Vertrages</w:t>
      </w:r>
    </w:p>
    <w:p w:rsidR="00171817" w:rsidRPr="00C83DF5" w:rsidRDefault="00171817" w:rsidP="00865A60">
      <w:pPr>
        <w:tabs>
          <w:tab w:val="num" w:pos="0"/>
        </w:tabs>
        <w:rPr>
          <w:lang w:val="de-DE"/>
        </w:rPr>
      </w:pPr>
      <w:r w:rsidRPr="00C83DF5">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E71F46" w:rsidRPr="00C83DF5">
        <w:rPr>
          <w:rFonts w:cs="Tahoma"/>
          <w:szCs w:val="20"/>
          <w:lang w:val="de-DE"/>
        </w:rPr>
        <w:t xml:space="preserve"> </w:t>
      </w:r>
      <w:r w:rsidRPr="00C83DF5">
        <w:rPr>
          <w:rFonts w:cs="Tahoma"/>
          <w:szCs w:val="20"/>
          <w:lang w:val="de-DE"/>
        </w:rPr>
        <w:t xml:space="preserve">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rsidR="00865A60" w:rsidRPr="00F037D5" w:rsidRDefault="00865A60" w:rsidP="005242EC">
      <w:pPr>
        <w:tabs>
          <w:tab w:val="num" w:pos="0"/>
        </w:tabs>
        <w:rPr>
          <w:rFonts w:cs="Tahoma"/>
          <w:szCs w:val="20"/>
          <w:lang w:val="de-DE" w:eastAsia="ja-JP"/>
        </w:rPr>
      </w:pPr>
    </w:p>
    <w:p w:rsidR="00171817" w:rsidRPr="00F037D5" w:rsidRDefault="00171817" w:rsidP="002171C3">
      <w:pPr>
        <w:pStyle w:val="Heading4"/>
        <w:ind w:left="360"/>
        <w:rPr>
          <w:rFonts w:ascii="Tahoma" w:hAnsi="Tahoma" w:cs="Tahoma"/>
          <w:sz w:val="24"/>
          <w:lang w:val="de-DE"/>
        </w:rPr>
      </w:pPr>
      <w:bookmarkStart w:id="687" w:name="_Toc323159746"/>
      <w:bookmarkStart w:id="688" w:name="_Toc336338220"/>
      <w:bookmarkStart w:id="689" w:name="_Toc370983329"/>
      <w:r w:rsidRPr="00F037D5">
        <w:rPr>
          <w:rFonts w:ascii="Tahoma" w:hAnsi="Tahoma" w:cs="Tahoma"/>
          <w:sz w:val="24"/>
          <w:lang w:val="de-DE"/>
        </w:rPr>
        <w:t>Select 20xx</w:t>
      </w:r>
      <w:bookmarkEnd w:id="687"/>
      <w:bookmarkEnd w:id="688"/>
      <w:bookmarkEnd w:id="689"/>
    </w:p>
    <w:p w:rsidR="00171817" w:rsidRPr="00F037D5" w:rsidRDefault="00171817" w:rsidP="00171817">
      <w:pPr>
        <w:tabs>
          <w:tab w:val="num" w:pos="0"/>
        </w:tabs>
        <w:rPr>
          <w:rFonts w:cs="Tahoma"/>
          <w:lang w:val="de-DE" w:eastAsia="ja-JP"/>
        </w:rPr>
      </w:pPr>
    </w:p>
    <w:p w:rsidR="00171817" w:rsidRPr="00C83DF5" w:rsidRDefault="00171817" w:rsidP="005242EC">
      <w:pPr>
        <w:pStyle w:val="Heading4"/>
        <w:spacing w:before="0" w:after="60"/>
        <w:ind w:left="360"/>
        <w:rPr>
          <w:lang w:val="de-DE"/>
        </w:rPr>
      </w:pPr>
      <w:bookmarkStart w:id="690" w:name="_Toc323159747"/>
      <w:bookmarkStart w:id="691" w:name="_Toc328145990"/>
      <w:bookmarkStart w:id="692" w:name="_Toc336338221"/>
      <w:bookmarkStart w:id="693" w:name="_Toc370983330"/>
      <w:r w:rsidRPr="00C83DF5">
        <w:rPr>
          <w:rFonts w:ascii="Tahoma" w:hAnsi="Tahoma"/>
          <w:sz w:val="18"/>
          <w:lang w:val="de-DE"/>
        </w:rPr>
        <w:t>Verlängerung im Rahmen des Gleichen Vertrages</w:t>
      </w:r>
      <w:bookmarkEnd w:id="690"/>
      <w:bookmarkEnd w:id="691"/>
      <w:bookmarkEnd w:id="692"/>
      <w:bookmarkEnd w:id="693"/>
    </w:p>
    <w:p w:rsidR="00171817" w:rsidRPr="00C83DF5" w:rsidRDefault="00171817" w:rsidP="002D47EE">
      <w:pPr>
        <w:pStyle w:val="styleheading22left138firstline00"/>
        <w:tabs>
          <w:tab w:val="num" w:pos="0"/>
        </w:tabs>
        <w:snapToGrid w:val="0"/>
        <w:ind w:left="0"/>
        <w:jc w:val="left"/>
        <w:rPr>
          <w:lang w:val="de-DE"/>
        </w:rPr>
      </w:pPr>
      <w:r w:rsidRPr="00C83DF5">
        <w:rPr>
          <w:rFonts w:ascii="Tahoma" w:hAnsi="Tahoma" w:cs="Tahoma"/>
          <w:sz w:val="18"/>
          <w:lang w:val="de-DE"/>
        </w:rPr>
        <w:t>Software Assurance, die im Rahmen von Beitritten unter einem Select-Vertrag bestellt wurde, endet bei Ablauf (oder</w:t>
      </w:r>
      <w:r w:rsidR="002D47EE">
        <w:rPr>
          <w:rFonts w:ascii="Tahoma" w:hAnsi="Tahoma" w:cs="Tahoma"/>
          <w:sz w:val="18"/>
          <w:lang w:val="de-DE"/>
        </w:rPr>
        <w:t> </w:t>
      </w:r>
      <w:r w:rsidRPr="00C83DF5">
        <w:rPr>
          <w:rFonts w:ascii="Tahoma" w:hAnsi="Tahoma" w:cs="Tahoma"/>
          <w:sz w:val="18"/>
          <w:lang w:val="de-DE"/>
        </w:rPr>
        <w:t>Kündigung) dieses Vertrages (oder Kündigung des jeweiligen Beitritts, falls dies früher eintritt). Kunden</w:t>
      </w:r>
      <w:r w:rsidR="002D47EE">
        <w:rPr>
          <w:rFonts w:ascii="Tahoma" w:hAnsi="Tahoma" w:cs="Tahoma"/>
          <w:sz w:val="18"/>
          <w:lang w:val="de-DE"/>
        </w:rPr>
        <w:t> </w:t>
      </w:r>
      <w:r w:rsidRPr="00C83DF5">
        <w:rPr>
          <w:rFonts w:ascii="Tahoma" w:hAnsi="Tahoma" w:cs="Tahoma"/>
          <w:sz w:val="18"/>
          <w:lang w:val="de-DE"/>
        </w:rPr>
        <w:t>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sidR="002D47EE">
        <w:rPr>
          <w:rFonts w:ascii="Tahoma" w:hAnsi="Tahoma" w:cs="Tahoma"/>
          <w:sz w:val="18"/>
          <w:lang w:val="de-DE"/>
        </w:rPr>
        <w:t> </w:t>
      </w:r>
      <w:r w:rsidRPr="00C83DF5">
        <w:rPr>
          <w:rFonts w:ascii="Tahoma" w:hAnsi="Tahoma" w:cs="Tahoma"/>
          <w:sz w:val="18"/>
          <w:lang w:val="de-DE"/>
        </w:rPr>
        <w:t>unter seinem Beitritt Software Assurance erworben hat, muss er vor Ablauf der vorangegangenen Laufzeit eine</w:t>
      </w:r>
      <w:r w:rsidR="002D47EE">
        <w:rPr>
          <w:rFonts w:ascii="Tahoma" w:hAnsi="Tahoma" w:cs="Tahoma"/>
          <w:sz w:val="18"/>
          <w:lang w:val="de-DE"/>
        </w:rPr>
        <w:t> </w:t>
      </w:r>
      <w:r w:rsidRPr="00C83DF5">
        <w:rPr>
          <w:rFonts w:ascii="Tahoma" w:hAnsi="Tahoma" w:cs="Tahoma"/>
          <w:sz w:val="18"/>
          <w:lang w:val="de-DE"/>
        </w:rPr>
        <w:t>Verlängerungsbestellung über seinen Handelspartner bei Microsoft einreichen. Verlängerungsbestellungen müssen für den gesamten Verlängerungszeitraum erfolgen.</w:t>
      </w:r>
      <w:r w:rsidR="00E71F46" w:rsidRPr="00C83DF5">
        <w:rPr>
          <w:rFonts w:ascii="Tahoma" w:hAnsi="Tahoma" w:cs="Tahoma"/>
          <w:sz w:val="18"/>
          <w:lang w:val="de-DE"/>
        </w:rPr>
        <w:t xml:space="preserve"> </w:t>
      </w:r>
      <w:r w:rsidRPr="00C83DF5">
        <w:rPr>
          <w:rFonts w:ascii="Tahoma" w:hAnsi="Tahoma" w:cs="Tahoma"/>
          <w:sz w:val="18"/>
          <w:lang w:val="de-DE"/>
        </w:rPr>
        <w:t>Jeder Verlängerungszeitraum beginnt an dem auf den</w:t>
      </w:r>
      <w:r w:rsidR="002D47EE">
        <w:rPr>
          <w:rFonts w:ascii="Tahoma" w:hAnsi="Tahoma" w:cs="Tahoma"/>
          <w:sz w:val="18"/>
          <w:lang w:val="de-DE"/>
        </w:rPr>
        <w:t> </w:t>
      </w:r>
      <w:r w:rsidRPr="00C83DF5">
        <w:rPr>
          <w:rFonts w:ascii="Tahoma" w:hAnsi="Tahoma" w:cs="Tahoma"/>
          <w:sz w:val="18"/>
          <w:lang w:val="de-DE"/>
        </w:rPr>
        <w:t xml:space="preserve">Ablauf der vorhergehenden Laufzeit folgenden Tag. </w:t>
      </w:r>
    </w:p>
    <w:p w:rsidR="00973A93" w:rsidRPr="00F037D5" w:rsidRDefault="00973A93">
      <w:pPr>
        <w:rPr>
          <w:b/>
          <w:sz w:val="20"/>
          <w:szCs w:val="20"/>
          <w:lang w:val="de-DE"/>
        </w:rPr>
      </w:pPr>
      <w:bookmarkStart w:id="694" w:name="_Toc323159748"/>
      <w:bookmarkStart w:id="695" w:name="_Toc336338222"/>
    </w:p>
    <w:p w:rsidR="005D12C9" w:rsidRPr="00F037D5" w:rsidRDefault="005D12C9">
      <w:pPr>
        <w:rPr>
          <w:b/>
          <w:sz w:val="20"/>
          <w:szCs w:val="20"/>
          <w:lang w:val="de-DE"/>
        </w:rPr>
      </w:pPr>
    </w:p>
    <w:p w:rsidR="005D12C9" w:rsidRPr="00F037D5" w:rsidRDefault="005D12C9">
      <w:pPr>
        <w:rPr>
          <w:b/>
          <w:sz w:val="20"/>
          <w:szCs w:val="20"/>
          <w:lang w:val="de-DE"/>
        </w:rPr>
      </w:pPr>
    </w:p>
    <w:p w:rsidR="005D12C9" w:rsidRPr="00F037D5" w:rsidRDefault="005D12C9">
      <w:pPr>
        <w:rPr>
          <w:b/>
          <w:sz w:val="20"/>
          <w:szCs w:val="20"/>
          <w:lang w:val="de-DE"/>
        </w:rPr>
      </w:pPr>
    </w:p>
    <w:p w:rsidR="00171817" w:rsidRPr="00C83DF5" w:rsidRDefault="00171817" w:rsidP="005242EC">
      <w:pPr>
        <w:pStyle w:val="Heading4"/>
        <w:spacing w:before="0" w:after="60"/>
        <w:ind w:left="360"/>
        <w:rPr>
          <w:lang w:val="de-DE"/>
        </w:rPr>
      </w:pPr>
      <w:bookmarkStart w:id="696" w:name="_Toc370983331"/>
      <w:r w:rsidRPr="00C83DF5">
        <w:rPr>
          <w:rFonts w:ascii="Tahoma" w:hAnsi="Tahoma"/>
          <w:sz w:val="18"/>
          <w:lang w:val="de-DE"/>
        </w:rPr>
        <w:lastRenderedPageBreak/>
        <w:t>Verlängerung im Rahmen eines separaten Vertrages</w:t>
      </w:r>
      <w:bookmarkEnd w:id="694"/>
      <w:bookmarkEnd w:id="695"/>
      <w:bookmarkEnd w:id="696"/>
    </w:p>
    <w:p w:rsidR="00171817" w:rsidRPr="00C83DF5" w:rsidRDefault="00171817" w:rsidP="005D12C9">
      <w:pPr>
        <w:pStyle w:val="styleheading22left138firstline00"/>
        <w:tabs>
          <w:tab w:val="num" w:pos="0"/>
        </w:tabs>
        <w:snapToGrid w:val="0"/>
        <w:ind w:left="0"/>
        <w:jc w:val="left"/>
        <w:rPr>
          <w:lang w:val="de-DE"/>
        </w:rPr>
      </w:pPr>
      <w:r w:rsidRPr="00C83DF5">
        <w:rPr>
          <w:rFonts w:ascii="Tahoma" w:hAnsi="Tahoma" w:cs="Tahoma"/>
          <w:sz w:val="18"/>
          <w:lang w:val="de-DE"/>
        </w:rPr>
        <w:t>Kunden können Software Assurance bestellen, ohne gleichzeitig eine Lizenz für Kopien von Produkten bestellen zu</w:t>
      </w:r>
      <w:r w:rsidR="005D12C9">
        <w:rPr>
          <w:rFonts w:ascii="Tahoma" w:hAnsi="Tahoma" w:cs="Tahoma"/>
          <w:sz w:val="18"/>
          <w:lang w:val="de-DE"/>
        </w:rPr>
        <w:t> </w:t>
      </w:r>
      <w:r w:rsidRPr="00C83DF5">
        <w:rPr>
          <w:rFonts w:ascii="Tahoma" w:hAnsi="Tahoma" w:cs="Tahoma"/>
          <w:sz w:val="18"/>
          <w:lang w:val="de-DE"/>
        </w:rPr>
        <w:t>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rsidR="00865A60" w:rsidRPr="00F037D5" w:rsidRDefault="00865A60" w:rsidP="0063466C">
      <w:pPr>
        <w:outlineLvl w:val="2"/>
        <w:rPr>
          <w:lang w:val="de-DE" w:eastAsia="ja-JP"/>
        </w:rPr>
      </w:pPr>
    </w:p>
    <w:p w:rsidR="00171817" w:rsidRPr="00C83DF5" w:rsidRDefault="00171817" w:rsidP="002171C3">
      <w:pPr>
        <w:pStyle w:val="Heading4"/>
        <w:ind w:left="360"/>
        <w:rPr>
          <w:lang w:val="de-DE"/>
        </w:rPr>
      </w:pPr>
      <w:bookmarkStart w:id="697" w:name="_Toc336338223"/>
      <w:bookmarkStart w:id="698" w:name="_Toc370983332"/>
      <w:r w:rsidRPr="00C83DF5">
        <w:rPr>
          <w:rFonts w:ascii="Tahoma" w:hAnsi="Tahoma" w:cs="Tahoma"/>
          <w:sz w:val="24"/>
          <w:lang w:val="de-DE"/>
        </w:rPr>
        <w:t>Select Plus 20xx</w:t>
      </w:r>
      <w:bookmarkEnd w:id="697"/>
      <w:bookmarkEnd w:id="698"/>
    </w:p>
    <w:p w:rsidR="00171817" w:rsidRPr="00F037D5" w:rsidRDefault="00171817" w:rsidP="00171817">
      <w:pPr>
        <w:rPr>
          <w:b/>
          <w:bCs/>
          <w:lang w:val="de-DE"/>
        </w:rPr>
      </w:pPr>
    </w:p>
    <w:p w:rsidR="00171817" w:rsidRPr="00C83DF5" w:rsidRDefault="00171817" w:rsidP="0063466C">
      <w:pPr>
        <w:spacing w:after="60"/>
        <w:rPr>
          <w:lang w:val="de-DE"/>
        </w:rPr>
      </w:pPr>
      <w:r w:rsidRPr="00C83DF5">
        <w:rPr>
          <w:b/>
          <w:bCs/>
          <w:lang w:val="de-DE"/>
        </w:rPr>
        <w:t xml:space="preserve">Verlängerung im Rahmen des Gleichen Vertrages </w:t>
      </w:r>
    </w:p>
    <w:p w:rsidR="00171817" w:rsidRPr="00C83DF5" w:rsidRDefault="00171817" w:rsidP="00171817">
      <w:pPr>
        <w:rPr>
          <w:lang w:val="de-DE"/>
        </w:rPr>
      </w:pPr>
      <w:r w:rsidRPr="00C83DF5">
        <w:rPr>
          <w:iCs/>
          <w:lang w:val="de-DE"/>
        </w:rPr>
        <w:t>Seit dem 1. März 2011 endet die anfängliche</w:t>
      </w:r>
      <w:r w:rsidRPr="00C83DF5">
        <w:rPr>
          <w:i/>
          <w:iCs/>
          <w:lang w:val="de-DE"/>
        </w:rPr>
        <w:t xml:space="preserve"> </w:t>
      </w:r>
      <w:r w:rsidRPr="00C83DF5">
        <w:rPr>
          <w:lang w:val="de-DE"/>
        </w:rPr>
        <w:t>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w:t>
      </w:r>
      <w:r w:rsidR="00E71F46" w:rsidRPr="00C83DF5">
        <w:rPr>
          <w:lang w:val="de-DE"/>
        </w:rPr>
        <w:t xml:space="preserve"> </w:t>
      </w:r>
      <w:r w:rsidRPr="00C83DF5">
        <w:rPr>
          <w:lang w:val="de-DE"/>
        </w:rPr>
        <w:t xml:space="preserve">Jeder Verlängerungszeitraum beginnt an dem auf den Ablauf der vorhergehenden Laufzeit folgenden Tag. </w:t>
      </w:r>
    </w:p>
    <w:p w:rsidR="00171817" w:rsidRPr="00F037D5" w:rsidRDefault="00171817" w:rsidP="00171817">
      <w:pPr>
        <w:rPr>
          <w:lang w:val="de-DE"/>
        </w:rPr>
      </w:pPr>
    </w:p>
    <w:p w:rsidR="00171817" w:rsidRPr="00C83DF5" w:rsidRDefault="00171817" w:rsidP="0063466C">
      <w:pPr>
        <w:spacing w:after="60"/>
        <w:rPr>
          <w:lang w:val="de-DE"/>
        </w:rPr>
      </w:pPr>
      <w:r w:rsidRPr="00C83DF5">
        <w:rPr>
          <w:b/>
          <w:bCs/>
          <w:lang w:val="de-DE"/>
        </w:rPr>
        <w:t>Verlängerung im Rahmen eines separaten Vertrages</w:t>
      </w:r>
    </w:p>
    <w:p w:rsidR="00171817" w:rsidRPr="00C83DF5" w:rsidRDefault="00171817" w:rsidP="00401D00">
      <w:pPr>
        <w:rPr>
          <w:lang w:val="de-DE"/>
        </w:rPr>
      </w:pPr>
      <w:r w:rsidRPr="00C83DF5">
        <w:rPr>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401D00">
        <w:rPr>
          <w:lang w:val="de-DE"/>
        </w:rPr>
        <w:t> </w:t>
      </w:r>
      <w:r w:rsidRPr="00C83DF5">
        <w:rPr>
          <w:lang w:val="de-DE"/>
        </w:rPr>
        <w:t>Kunden 90 Tage ab Ablauf Zeit, um die Bestellung abzugeben.</w:t>
      </w:r>
    </w:p>
    <w:p w:rsidR="00865A60" w:rsidRPr="00401D00" w:rsidRDefault="00865A60" w:rsidP="00865A60">
      <w:pPr>
        <w:tabs>
          <w:tab w:val="num" w:pos="0"/>
        </w:tabs>
        <w:rPr>
          <w:rFonts w:cs="Tahoma"/>
          <w:szCs w:val="20"/>
          <w:lang w:val="de-DE" w:eastAsia="ja-JP"/>
        </w:rPr>
      </w:pPr>
    </w:p>
    <w:p w:rsidR="00171817" w:rsidRPr="00C83DF5" w:rsidRDefault="00171817" w:rsidP="002171C3">
      <w:pPr>
        <w:pStyle w:val="Heading4"/>
        <w:ind w:hanging="720"/>
        <w:rPr>
          <w:lang w:val="de-DE"/>
        </w:rPr>
      </w:pPr>
      <w:bookmarkStart w:id="699" w:name="_Toc336338224"/>
      <w:bookmarkStart w:id="700" w:name="_Toc370983333"/>
      <w:r w:rsidRPr="00C83DF5">
        <w:rPr>
          <w:rFonts w:ascii="Tahoma" w:hAnsi="Tahoma" w:cs="Tahoma"/>
          <w:sz w:val="24"/>
          <w:szCs w:val="22"/>
          <w:lang w:val="de-DE"/>
        </w:rPr>
        <w:t>Konzernvertrag 2011 und spätere Versionen</w:t>
      </w:r>
      <w:bookmarkEnd w:id="699"/>
      <w:bookmarkEnd w:id="700"/>
    </w:p>
    <w:p w:rsidR="00171817" w:rsidRPr="00F037D5" w:rsidRDefault="00171817" w:rsidP="00865A60">
      <w:pPr>
        <w:outlineLvl w:val="2"/>
        <w:rPr>
          <w:b/>
          <w:szCs w:val="20"/>
          <w:lang w:val="de-DE"/>
        </w:rPr>
      </w:pPr>
    </w:p>
    <w:p w:rsidR="00171817" w:rsidRPr="00C83DF5" w:rsidRDefault="00171817" w:rsidP="0063466C">
      <w:pPr>
        <w:keepNext/>
        <w:tabs>
          <w:tab w:val="num" w:pos="720"/>
        </w:tabs>
        <w:spacing w:after="60"/>
        <w:ind w:left="360" w:hanging="360"/>
        <w:outlineLvl w:val="3"/>
        <w:rPr>
          <w:lang w:val="de-DE"/>
        </w:rPr>
      </w:pPr>
      <w:r w:rsidRPr="00C83DF5">
        <w:rPr>
          <w:b/>
          <w:szCs w:val="20"/>
          <w:lang w:val="de-DE"/>
        </w:rPr>
        <w:t>Verlängerung im Rahmen des gleichen Vertrages</w:t>
      </w:r>
    </w:p>
    <w:p w:rsidR="00171817" w:rsidRPr="00C83DF5" w:rsidRDefault="00171817" w:rsidP="00401D00">
      <w:pPr>
        <w:tabs>
          <w:tab w:val="num" w:pos="0"/>
        </w:tabs>
        <w:rPr>
          <w:lang w:val="de-DE"/>
        </w:rPr>
      </w:pPr>
      <w:r w:rsidRPr="00C83DF5">
        <w:rPr>
          <w:rFonts w:cs="Tahoma"/>
          <w:szCs w:val="20"/>
          <w:lang w:val="de-DE"/>
        </w:rPr>
        <w:t>Nach Ablauf des Beitritts ist der Kunde zur Verlängerung der Konzernvertragspreise berechtigt, die ausschließlich auf</w:t>
      </w:r>
      <w:r w:rsidR="00401D00">
        <w:rPr>
          <w:rFonts w:cs="Tahoma"/>
          <w:szCs w:val="20"/>
          <w:lang w:val="de-DE"/>
        </w:rPr>
        <w:t> </w:t>
      </w:r>
      <w:r w:rsidRPr="00C83DF5">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E71F46" w:rsidRPr="00C83DF5">
        <w:rPr>
          <w:rFonts w:cs="Tahoma"/>
          <w:szCs w:val="20"/>
          <w:lang w:val="de-DE"/>
        </w:rPr>
        <w:t xml:space="preserve"> </w:t>
      </w:r>
      <w:r w:rsidRPr="00C83DF5">
        <w:rPr>
          <w:rFonts w:cs="Tahoma"/>
          <w:szCs w:val="20"/>
          <w:lang w:val="de-DE"/>
        </w:rPr>
        <w:t>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rsidR="00171817" w:rsidRPr="00F037D5" w:rsidRDefault="00171817" w:rsidP="00171817">
      <w:pPr>
        <w:tabs>
          <w:tab w:val="num" w:pos="0"/>
        </w:tabs>
        <w:rPr>
          <w:rFonts w:cs="Tahoma"/>
          <w:b/>
          <w:sz w:val="20"/>
          <w:szCs w:val="20"/>
          <w:lang w:val="de-DE"/>
        </w:rPr>
      </w:pPr>
    </w:p>
    <w:p w:rsidR="00171817" w:rsidRPr="00C83DF5" w:rsidRDefault="00171817" w:rsidP="0063466C">
      <w:pPr>
        <w:keepNext/>
        <w:tabs>
          <w:tab w:val="num" w:pos="720"/>
        </w:tabs>
        <w:spacing w:after="60"/>
        <w:ind w:left="360" w:hanging="360"/>
        <w:outlineLvl w:val="3"/>
        <w:rPr>
          <w:lang w:val="de-DE"/>
        </w:rPr>
      </w:pPr>
      <w:r w:rsidRPr="00C83DF5">
        <w:rPr>
          <w:b/>
          <w:szCs w:val="20"/>
          <w:lang w:val="de-DE"/>
        </w:rPr>
        <w:t>Verlängerung im Rahmen eines separaten Vertrages</w:t>
      </w:r>
    </w:p>
    <w:p w:rsidR="00171817" w:rsidRPr="00C83DF5" w:rsidRDefault="00171817" w:rsidP="00171817">
      <w:pPr>
        <w:tabs>
          <w:tab w:val="num" w:pos="0"/>
        </w:tabs>
        <w:rPr>
          <w:lang w:val="de-DE"/>
        </w:rPr>
      </w:pPr>
      <w:r w:rsidRPr="00C83DF5">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E71F46" w:rsidRPr="00C83DF5">
        <w:rPr>
          <w:rFonts w:cs="Tahoma"/>
          <w:color w:val="000000"/>
          <w:szCs w:val="20"/>
          <w:lang w:val="de-DE"/>
        </w:rPr>
        <w:t xml:space="preserve"> </w:t>
      </w:r>
      <w:r w:rsidRPr="00C83DF5">
        <w:rPr>
          <w:rFonts w:cs="Tahoma"/>
          <w:color w:val="000000"/>
          <w:szCs w:val="20"/>
          <w:lang w:val="de-DE"/>
        </w:rPr>
        <w:t>Bei Zusätzlichen Produkten hat der Kunde ab dem Ablauf 90 Tage Zeit, um die Bestellung abzugeben, da</w:t>
      </w:r>
      <w:r w:rsidRPr="00C83DF5">
        <w:rPr>
          <w:rFonts w:cs="Tahoma"/>
          <w:color w:val="000000"/>
          <w:szCs w:val="24"/>
          <w:lang w:val="de-DE"/>
        </w:rPr>
        <w:t xml:space="preserve"> Software Assurance von einem Open-Lizenzvertrag vorgetragen wird.</w:t>
      </w:r>
      <w:r w:rsidR="00E71F46" w:rsidRPr="00C83DF5">
        <w:rPr>
          <w:rFonts w:cs="Tahoma"/>
          <w:color w:val="000000"/>
          <w:szCs w:val="24"/>
          <w:lang w:val="de-DE"/>
        </w:rPr>
        <w:t xml:space="preserve"> </w:t>
      </w:r>
    </w:p>
    <w:p w:rsidR="00171817" w:rsidRPr="00C83DF5" w:rsidRDefault="00171817" w:rsidP="00171817">
      <w:pPr>
        <w:tabs>
          <w:tab w:val="num" w:pos="0"/>
        </w:tabs>
        <w:rPr>
          <w:lang w:val="de-DE"/>
        </w:rPr>
      </w:pPr>
    </w:p>
    <w:p w:rsidR="00171817" w:rsidRPr="00C83DF5" w:rsidRDefault="00171817" w:rsidP="0063466C">
      <w:pPr>
        <w:keepNext/>
        <w:tabs>
          <w:tab w:val="num" w:pos="720"/>
        </w:tabs>
        <w:spacing w:after="60"/>
        <w:ind w:left="360" w:hanging="360"/>
        <w:outlineLvl w:val="3"/>
        <w:rPr>
          <w:lang w:val="de-DE"/>
        </w:rPr>
      </w:pPr>
      <w:r w:rsidRPr="00C83DF5">
        <w:rPr>
          <w:b/>
          <w:szCs w:val="20"/>
          <w:lang w:val="de-DE"/>
        </w:rPr>
        <w:t>B</w:t>
      </w:r>
      <w:r w:rsidR="00010452">
        <w:rPr>
          <w:b/>
          <w:szCs w:val="20"/>
          <w:lang w:val="de-DE"/>
        </w:rPr>
        <w:t>eitritt zur Anwendungsplattform</w:t>
      </w:r>
    </w:p>
    <w:p w:rsidR="00171817" w:rsidRPr="00C83DF5" w:rsidRDefault="00171817" w:rsidP="00171817">
      <w:pPr>
        <w:tabs>
          <w:tab w:val="num" w:pos="0"/>
        </w:tabs>
        <w:rPr>
          <w:lang w:val="de-DE"/>
        </w:rPr>
      </w:pPr>
      <w:r w:rsidRPr="00C83DF5">
        <w:rPr>
          <w:rFonts w:cs="Tahoma"/>
          <w:szCs w:val="20"/>
          <w:lang w:val="de-DE"/>
        </w:rPr>
        <w:t>Kunden sind berechtigt, Software Assurance für die verfügbaren Produkte zu bestellen, ohne gleichzeitig, wie in den Bestimmungen des Beitrags vorgesehen, eine neue Lizenz bestellen zu müssen.</w:t>
      </w:r>
    </w:p>
    <w:p w:rsidR="00B215EA" w:rsidRPr="00C83DF5" w:rsidRDefault="00B215EA" w:rsidP="00171817">
      <w:pPr>
        <w:tabs>
          <w:tab w:val="num" w:pos="0"/>
        </w:tabs>
        <w:rPr>
          <w:lang w:val="de-DE"/>
        </w:rPr>
      </w:pPr>
    </w:p>
    <w:p w:rsidR="00B215EA" w:rsidRPr="00C83DF5" w:rsidRDefault="00B215EA" w:rsidP="00B215EA">
      <w:pPr>
        <w:keepNext/>
        <w:tabs>
          <w:tab w:val="num" w:pos="720"/>
        </w:tabs>
        <w:spacing w:after="60"/>
        <w:ind w:left="360" w:hanging="360"/>
        <w:outlineLvl w:val="3"/>
        <w:rPr>
          <w:lang w:val="de-DE"/>
        </w:rPr>
      </w:pPr>
      <w:r w:rsidRPr="00C83DF5">
        <w:rPr>
          <w:b/>
          <w:szCs w:val="20"/>
          <w:lang w:val="de-DE"/>
        </w:rPr>
        <w:lastRenderedPageBreak/>
        <w:t xml:space="preserve">Server- und Cloud-Beitritt </w:t>
      </w:r>
    </w:p>
    <w:p w:rsidR="00B215EA" w:rsidRPr="00C83DF5" w:rsidRDefault="00B215EA" w:rsidP="00B215EA">
      <w:pPr>
        <w:tabs>
          <w:tab w:val="num" w:pos="0"/>
        </w:tabs>
        <w:rPr>
          <w:lang w:val="de-DE"/>
        </w:rPr>
      </w:pPr>
      <w:r w:rsidRPr="00C83DF5">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C83DF5">
        <w:rPr>
          <w:lang w:val="de-DE"/>
        </w:rPr>
        <w:t>EAP-Kunden, die zuvor Lizenzen über SApriorL-SKUs zurückgestellt haben, müssen ein Buy-Out ihrer Lizenzen durchführen, bevor sie Software Assurance verlängern können.</w:t>
      </w:r>
    </w:p>
    <w:p w:rsidR="00B215EA" w:rsidRPr="00F037D5" w:rsidRDefault="00B215EA" w:rsidP="00171817">
      <w:pPr>
        <w:tabs>
          <w:tab w:val="num" w:pos="0"/>
        </w:tabs>
        <w:rPr>
          <w:rFonts w:cs="Tahoma"/>
          <w:szCs w:val="20"/>
          <w:lang w:val="de-DE"/>
        </w:rPr>
      </w:pPr>
    </w:p>
    <w:p w:rsidR="00BD1A6A" w:rsidRPr="00F037D5" w:rsidRDefault="00BD1A6A" w:rsidP="00865A60">
      <w:pPr>
        <w:rPr>
          <w:rFonts w:cs="Tahoma"/>
          <w:b/>
          <w:szCs w:val="20"/>
          <w:lang w:val="de-DE"/>
        </w:rPr>
      </w:pPr>
      <w:bookmarkStart w:id="701" w:name="_Toc336338225"/>
    </w:p>
    <w:p w:rsidR="00171817" w:rsidRPr="00C83DF5" w:rsidRDefault="00171817" w:rsidP="00951852">
      <w:pPr>
        <w:pStyle w:val="Heading4"/>
        <w:ind w:left="360"/>
        <w:rPr>
          <w:lang w:val="de-DE"/>
        </w:rPr>
      </w:pPr>
      <w:bookmarkStart w:id="702" w:name="_Toc370983334"/>
      <w:r w:rsidRPr="00C83DF5">
        <w:rPr>
          <w:rFonts w:ascii="Tahoma" w:hAnsi="Tahoma" w:cs="Tahoma"/>
          <w:sz w:val="24"/>
          <w:lang w:val="de-DE"/>
        </w:rPr>
        <w:t>Konzernvertrag vor 2011</w:t>
      </w:r>
      <w:bookmarkEnd w:id="701"/>
      <w:bookmarkEnd w:id="702"/>
    </w:p>
    <w:p w:rsidR="00171817" w:rsidRPr="00C83DF5" w:rsidRDefault="00171817" w:rsidP="00171817">
      <w:pPr>
        <w:tabs>
          <w:tab w:val="num" w:pos="0"/>
        </w:tabs>
        <w:rPr>
          <w:lang w:val="de-DE"/>
        </w:rPr>
      </w:pPr>
    </w:p>
    <w:p w:rsidR="00171817" w:rsidRPr="00C83DF5" w:rsidRDefault="00171817" w:rsidP="00E3400B">
      <w:pPr>
        <w:tabs>
          <w:tab w:val="num" w:pos="0"/>
        </w:tabs>
        <w:rPr>
          <w:lang w:val="de-DE"/>
        </w:rPr>
      </w:pPr>
      <w:r w:rsidRPr="00C83DF5">
        <w:rPr>
          <w:rFonts w:cs="Tahoma"/>
          <w:szCs w:val="20"/>
          <w:lang w:val="de-DE"/>
        </w:rPr>
        <w:t>Nach Ablauf des Beitritts ist der Kunde zur Verlängerung der Konzernvertragspreise berechtigt, die ausschließlich auf</w:t>
      </w:r>
      <w:r w:rsidR="00D621D4">
        <w:rPr>
          <w:rFonts w:cs="Tahoma"/>
          <w:szCs w:val="20"/>
          <w:lang w:val="de-DE"/>
        </w:rPr>
        <w:t> </w:t>
      </w:r>
      <w:r w:rsidRPr="00C83DF5">
        <w:rPr>
          <w:rFonts w:cs="Tahoma"/>
          <w:szCs w:val="20"/>
          <w:lang w:val="de-DE"/>
        </w:rPr>
        <w:t>Software Assurance basieren. Kunden erhalten 60 Tage vor Ablauf ihres Beitritts eine schriftliche Mitteilung über</w:t>
      </w:r>
      <w:r w:rsidR="00D621D4">
        <w:rPr>
          <w:rFonts w:cs="Tahoma"/>
          <w:szCs w:val="20"/>
          <w:lang w:val="de-DE"/>
        </w:rPr>
        <w:t> </w:t>
      </w:r>
      <w:r w:rsidRPr="00C83DF5">
        <w:rPr>
          <w:rFonts w:cs="Tahoma"/>
          <w:szCs w:val="20"/>
          <w:lang w:val="de-DE"/>
        </w:rPr>
        <w:t>ihre Verlängerungsoptionen.</w:t>
      </w:r>
      <w:r w:rsidR="00E71F46" w:rsidRPr="00C83DF5">
        <w:rPr>
          <w:rFonts w:cs="Tahoma"/>
          <w:szCs w:val="20"/>
          <w:lang w:val="de-DE"/>
        </w:rPr>
        <w:t xml:space="preserve"> </w:t>
      </w:r>
      <w:r w:rsidRPr="00C83DF5">
        <w:rPr>
          <w:rFonts w:cs="Tahoma"/>
          <w:szCs w:val="20"/>
          <w:lang w:val="de-DE"/>
        </w:rPr>
        <w:t>Zur Verlängerung müssen Kunden einen neuen Konzernbeitritt oder -vertrag 2011</w:t>
      </w:r>
      <w:r w:rsidR="00E3400B">
        <w:rPr>
          <w:rFonts w:cs="Tahoma"/>
          <w:szCs w:val="20"/>
          <w:lang w:val="de-DE"/>
        </w:rPr>
        <w:t> </w:t>
      </w:r>
      <w:r w:rsidRPr="00C83DF5">
        <w:rPr>
          <w:rFonts w:cs="Tahoma"/>
          <w:szCs w:val="20"/>
          <w:lang w:val="de-DE"/>
        </w:rPr>
        <w:t>oder später unterzeichnen. Der Verlängerungszeitraum beginnt an dem auf den Ablauf der vorherigen Laufzeit</w:t>
      </w:r>
      <w:r w:rsidR="00D621D4">
        <w:rPr>
          <w:rFonts w:cs="Tahoma"/>
          <w:szCs w:val="20"/>
          <w:lang w:val="de-DE"/>
        </w:rPr>
        <w:t> </w:t>
      </w:r>
      <w:r w:rsidRPr="00C83DF5">
        <w:rPr>
          <w:rFonts w:cs="Tahoma"/>
          <w:szCs w:val="20"/>
          <w:lang w:val="de-DE"/>
        </w:rPr>
        <w:t xml:space="preserve">folgenden Tag. </w:t>
      </w:r>
    </w:p>
    <w:p w:rsidR="00171817" w:rsidRPr="00C83DF5" w:rsidRDefault="00171817" w:rsidP="00171817">
      <w:pPr>
        <w:tabs>
          <w:tab w:val="num" w:pos="0"/>
        </w:tabs>
        <w:rPr>
          <w:lang w:val="de-DE"/>
        </w:rPr>
      </w:pPr>
    </w:p>
    <w:p w:rsidR="003E606C" w:rsidRPr="00C83DF5" w:rsidRDefault="00171817" w:rsidP="0063466C">
      <w:pPr>
        <w:tabs>
          <w:tab w:val="num" w:pos="0"/>
        </w:tabs>
        <w:spacing w:after="60"/>
        <w:rPr>
          <w:lang w:val="de-DE"/>
        </w:rPr>
      </w:pPr>
      <w:r w:rsidRPr="00C83DF5">
        <w:rPr>
          <w:rFonts w:cs="Tahoma"/>
          <w:b/>
          <w:szCs w:val="20"/>
          <w:lang w:val="de-DE"/>
        </w:rPr>
        <w:t>Beitritt zur Anwendungsplattform</w:t>
      </w:r>
    </w:p>
    <w:p w:rsidR="00171817" w:rsidRPr="00C83DF5" w:rsidRDefault="00171817" w:rsidP="0063466C">
      <w:pPr>
        <w:tabs>
          <w:tab w:val="num" w:pos="0"/>
        </w:tabs>
        <w:rPr>
          <w:lang w:val="de-DE"/>
        </w:rPr>
      </w:pPr>
      <w:r w:rsidRPr="00C83DF5">
        <w:rPr>
          <w:rFonts w:cs="Tahoma"/>
          <w:szCs w:val="20"/>
          <w:lang w:val="de-DE"/>
        </w:rPr>
        <w:t>Kunden sind berechtigt, Software Assurance für die verfügbaren Produkte zu bestellen, ohne gleichzeitig, wie in den Bestimmungen des Beitrags vorgesehen, eine neue Lizenz bestellen zu müssen.</w:t>
      </w:r>
    </w:p>
    <w:p w:rsidR="00865A60" w:rsidRPr="00C83DF5" w:rsidRDefault="00865A60" w:rsidP="00865A60">
      <w:pPr>
        <w:rPr>
          <w:lang w:val="de-DE"/>
        </w:rPr>
      </w:pPr>
    </w:p>
    <w:p w:rsidR="00B215EA" w:rsidRPr="00C83DF5" w:rsidRDefault="00B215EA" w:rsidP="00B215EA">
      <w:pPr>
        <w:keepNext/>
        <w:tabs>
          <w:tab w:val="num" w:pos="720"/>
        </w:tabs>
        <w:spacing w:after="60"/>
        <w:ind w:left="360" w:hanging="360"/>
        <w:outlineLvl w:val="3"/>
        <w:rPr>
          <w:lang w:val="de-DE"/>
        </w:rPr>
      </w:pPr>
      <w:r w:rsidRPr="00C83DF5">
        <w:rPr>
          <w:b/>
          <w:szCs w:val="20"/>
          <w:lang w:val="de-DE"/>
        </w:rPr>
        <w:t xml:space="preserve">Server- und Cloud-Beitritt </w:t>
      </w:r>
    </w:p>
    <w:p w:rsidR="00B215EA" w:rsidRPr="00C83DF5" w:rsidRDefault="00B215EA" w:rsidP="00B215EA">
      <w:pPr>
        <w:rPr>
          <w:lang w:val="de-DE"/>
        </w:rPr>
      </w:pPr>
      <w:r w:rsidRPr="00C83DF5">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C83DF5">
        <w:rPr>
          <w:lang w:val="de-DE"/>
        </w:rPr>
        <w:t>EAP-Kunden, die zuvor Lizenzen über SApriorL-SKUs zurückgestellt haben, müssen ein Buy-Out ihrer Lizenzen durchführen, bevor sie Software Assurance verlängern können.</w:t>
      </w:r>
    </w:p>
    <w:p w:rsidR="00B215EA" w:rsidRPr="00C83DF5" w:rsidRDefault="00B215EA" w:rsidP="00865A60">
      <w:pPr>
        <w:rPr>
          <w:lang w:val="de-DE"/>
        </w:rPr>
      </w:pPr>
    </w:p>
    <w:p w:rsidR="00171817" w:rsidRPr="00C83DF5" w:rsidRDefault="00171817" w:rsidP="00951852">
      <w:pPr>
        <w:pStyle w:val="Heading4"/>
        <w:ind w:left="360"/>
        <w:rPr>
          <w:lang w:val="de-DE"/>
        </w:rPr>
      </w:pPr>
      <w:bookmarkStart w:id="703" w:name="_Toc323159750"/>
      <w:bookmarkStart w:id="704" w:name="_Toc336338226"/>
      <w:bookmarkStart w:id="705" w:name="_Toc370983335"/>
      <w:r w:rsidRPr="00C83DF5">
        <w:rPr>
          <w:rFonts w:ascii="Tahoma" w:hAnsi="Tahoma" w:cs="Tahoma"/>
          <w:sz w:val="24"/>
          <w:lang w:val="de-DE"/>
        </w:rPr>
        <w:t>Programmübergreifende Verlängerung</w:t>
      </w:r>
      <w:bookmarkEnd w:id="703"/>
      <w:bookmarkEnd w:id="704"/>
      <w:bookmarkEnd w:id="705"/>
    </w:p>
    <w:p w:rsidR="00171817" w:rsidRPr="00C83DF5" w:rsidRDefault="00171817" w:rsidP="00171817">
      <w:pPr>
        <w:tabs>
          <w:tab w:val="num" w:pos="0"/>
        </w:tabs>
        <w:rPr>
          <w:lang w:val="de-DE"/>
        </w:rPr>
      </w:pPr>
    </w:p>
    <w:p w:rsidR="00171817" w:rsidRPr="00C83DF5" w:rsidRDefault="00171817" w:rsidP="00D621D4">
      <w:pPr>
        <w:pStyle w:val="AppendIndentSub"/>
        <w:tabs>
          <w:tab w:val="num" w:pos="0"/>
        </w:tabs>
        <w:ind w:left="0"/>
        <w:rPr>
          <w:lang w:val="de-DE"/>
        </w:rPr>
      </w:pPr>
      <w:r w:rsidRPr="00C83DF5">
        <w:rPr>
          <w:rFonts w:ascii="Tahoma" w:hAnsi="Tahoma" w:cs="Tahoma"/>
          <w:sz w:val="18"/>
          <w:lang w:val="de-DE"/>
        </w:rP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w:t>
      </w:r>
      <w:r w:rsidR="00D621D4">
        <w:rPr>
          <w:rFonts w:ascii="Tahoma" w:hAnsi="Tahoma" w:cs="Tahoma"/>
          <w:sz w:val="18"/>
          <w:lang w:val="de-DE"/>
        </w:rPr>
        <w:t> </w:t>
      </w:r>
      <w:r w:rsidRPr="00C83DF5">
        <w:rPr>
          <w:rFonts w:ascii="Tahoma" w:hAnsi="Tahoma" w:cs="Tahoma"/>
          <w:sz w:val="18"/>
          <w:lang w:val="de-DE"/>
        </w:rPr>
        <w:t xml:space="preserve">vor Ablauf des früheren Vertrages abgeben. </w:t>
      </w:r>
    </w:p>
    <w:p w:rsidR="00171817" w:rsidRPr="00E972E6" w:rsidRDefault="00171817" w:rsidP="00171817">
      <w:pPr>
        <w:pStyle w:val="AppendIndentSub"/>
        <w:tabs>
          <w:tab w:val="num" w:pos="0"/>
        </w:tabs>
        <w:ind w:left="0"/>
        <w:rPr>
          <w:rFonts w:ascii="Tahoma" w:hAnsi="Tahoma" w:cs="Tahoma"/>
          <w:sz w:val="18"/>
          <w:lang w:val="de-DE" w:eastAsia="ja-JP"/>
        </w:rPr>
      </w:pPr>
    </w:p>
    <w:p w:rsidR="00171817" w:rsidRPr="00C83DF5" w:rsidRDefault="00171817" w:rsidP="00E972E6">
      <w:pPr>
        <w:pStyle w:val="AppendIndentSub"/>
        <w:tabs>
          <w:tab w:val="num" w:pos="0"/>
        </w:tabs>
        <w:ind w:left="0"/>
        <w:rPr>
          <w:lang w:val="de-DE"/>
        </w:rPr>
      </w:pPr>
      <w:r w:rsidRPr="00C83DF5">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E71F46" w:rsidRPr="00C83DF5">
        <w:rPr>
          <w:rFonts w:ascii="Tahoma" w:hAnsi="Tahoma" w:cs="Tahoma"/>
          <w:sz w:val="18"/>
          <w:szCs w:val="18"/>
          <w:lang w:val="de-DE"/>
        </w:rPr>
        <w:t xml:space="preserve"> </w:t>
      </w:r>
      <w:r w:rsidRPr="00C83DF5">
        <w:rPr>
          <w:rFonts w:ascii="Tahoma" w:hAnsi="Tahoma" w:cs="Tahoma"/>
          <w:sz w:val="18"/>
          <w:szCs w:val="18"/>
          <w:lang w:val="de-DE"/>
        </w:rPr>
        <w:t>Da die Software Assurance-Preise nicht anteilig für Teile des Jahres berechnet werden, müssen Kunden die Bestellungen zum richtigen Zeitpunkt abgeben, um den Jahrestag des Wirksamkeitsdatums ihres bestehenden Vertrages optimal zu</w:t>
      </w:r>
      <w:r w:rsidR="00E972E6">
        <w:rPr>
          <w:rFonts w:ascii="Tahoma" w:hAnsi="Tahoma" w:cs="Tahoma"/>
          <w:sz w:val="18"/>
          <w:szCs w:val="18"/>
          <w:lang w:val="de-DE"/>
        </w:rPr>
        <w:t> </w:t>
      </w:r>
      <w:r w:rsidRPr="00C83DF5">
        <w:rPr>
          <w:rFonts w:ascii="Tahoma" w:hAnsi="Tahoma" w:cs="Tahoma"/>
          <w:sz w:val="18"/>
          <w:szCs w:val="18"/>
          <w:lang w:val="de-DE"/>
        </w:rPr>
        <w:t>nutzen.</w:t>
      </w:r>
      <w:r w:rsidR="00E71F46" w:rsidRPr="00C83DF5">
        <w:rPr>
          <w:rFonts w:ascii="Tahoma" w:hAnsi="Tahoma" w:cs="Tahoma"/>
          <w:sz w:val="18"/>
          <w:szCs w:val="18"/>
          <w:lang w:val="de-DE"/>
        </w:rPr>
        <w:t xml:space="preserve"> </w:t>
      </w:r>
      <w:r w:rsidRPr="00C83DF5">
        <w:rPr>
          <w:rFonts w:ascii="Tahoma" w:hAnsi="Tahoma" w:cs="Tahoma"/>
          <w:sz w:val="18"/>
          <w:szCs w:val="18"/>
          <w:lang w:val="de-DE"/>
        </w:rPr>
        <w:t>Für Vertragsversionen bis einschließlich 2008 verfügen Kunden jederzeit zwischen Ablauf der alten Software</w:t>
      </w:r>
      <w:r w:rsidR="00E972E6">
        <w:rPr>
          <w:rFonts w:ascii="Tahoma" w:hAnsi="Tahoma" w:cs="Tahoma"/>
          <w:sz w:val="18"/>
          <w:szCs w:val="18"/>
          <w:lang w:val="de-DE"/>
        </w:rPr>
        <w:t> </w:t>
      </w:r>
      <w:r w:rsidRPr="00C83DF5">
        <w:rPr>
          <w:rFonts w:ascii="Tahoma" w:hAnsi="Tahoma" w:cs="Tahoma"/>
          <w:sz w:val="18"/>
          <w:szCs w:val="18"/>
          <w:lang w:val="de-DE"/>
        </w:rPr>
        <w:t>Assurance-Laufzeit und Beginn der neuen Laufzeit über Software Assurance, sofern der Vertrag innerhalb von 30 Tagen (90 Tagen bei Verlängerung im Rahmen des Open-Lizenzprogramms) verlängert wird. Kunden sind zu</w:t>
      </w:r>
      <w:r w:rsidR="00E972E6">
        <w:rPr>
          <w:rFonts w:ascii="Tahoma" w:hAnsi="Tahoma" w:cs="Tahoma"/>
          <w:sz w:val="18"/>
          <w:szCs w:val="18"/>
          <w:lang w:val="de-DE"/>
        </w:rPr>
        <w:t> </w:t>
      </w:r>
      <w:r w:rsidRPr="00C83DF5">
        <w:rPr>
          <w:rFonts w:ascii="Tahoma" w:hAnsi="Tahoma" w:cs="Tahoma"/>
          <w:sz w:val="18"/>
          <w:szCs w:val="18"/>
          <w:lang w:val="de-DE"/>
        </w:rPr>
        <w:t xml:space="preserve">Upgrades berechtigt, die während dieses Zeitraums zur Verfügung gestellt werden, vorausgesetzt Software Assurance wird verlängert. </w:t>
      </w:r>
    </w:p>
    <w:p w:rsidR="00023FE7" w:rsidRPr="00C83DF5" w:rsidRDefault="00023FE7">
      <w:pPr>
        <w:pStyle w:val="AppendixIndent"/>
        <w:tabs>
          <w:tab w:val="num" w:pos="0"/>
        </w:tabs>
        <w:ind w:left="0"/>
        <w:rPr>
          <w:lang w:val="de-DE"/>
        </w:rPr>
      </w:pPr>
    </w:p>
    <w:p w:rsidR="00023FE7" w:rsidRPr="00C83DF5" w:rsidRDefault="00023FE7">
      <w:pPr>
        <w:rPr>
          <w:lang w:val="de-DE"/>
        </w:rPr>
      </w:pPr>
      <w:r w:rsidRPr="00C83DF5">
        <w:rPr>
          <w:rFonts w:cs="Tahoma"/>
          <w:lang w:val="de-DE"/>
        </w:rPr>
        <w:br w:type="page"/>
      </w:r>
    </w:p>
    <w:p w:rsidR="00EA1A1E" w:rsidRPr="00F037D5" w:rsidRDefault="00EA1A1E" w:rsidP="00B0065F">
      <w:pPr>
        <w:pStyle w:val="Heading1"/>
        <w:rPr>
          <w:lang w:val="de-DE"/>
        </w:rPr>
      </w:pPr>
      <w:bookmarkStart w:id="706" w:name="_Toc336338227"/>
      <w:bookmarkStart w:id="707" w:name="_Toc370983336"/>
      <w:r w:rsidRPr="00F037D5">
        <w:rPr>
          <w:lang w:val="de-DE"/>
        </w:rPr>
        <w:lastRenderedPageBreak/>
        <w:t>ABSCHNITT 7 – Programmvorteile, Software Assurance(SA)-VERGÜNSTIGUNGEN und Onlinedienste(OLS)-Vergünstigunge</w:t>
      </w:r>
      <w:bookmarkEnd w:id="706"/>
      <w:r w:rsidRPr="00F037D5">
        <w:rPr>
          <w:lang w:val="de-DE"/>
        </w:rPr>
        <w:t>n</w:t>
      </w:r>
      <w:bookmarkEnd w:id="707"/>
    </w:p>
    <w:p w:rsidR="00EA1A1E" w:rsidRPr="00F037D5" w:rsidRDefault="00EA1A1E" w:rsidP="00EA1A1E">
      <w:pPr>
        <w:rPr>
          <w:rFonts w:cs="Tahoma"/>
          <w:sz w:val="24"/>
          <w:szCs w:val="20"/>
          <w:lang w:val="de-DE"/>
        </w:rPr>
      </w:pPr>
    </w:p>
    <w:p w:rsidR="00E7419A" w:rsidRPr="00C83DF5" w:rsidRDefault="00EB3A5F" w:rsidP="00E7419A">
      <w:pPr>
        <w:spacing w:after="60"/>
        <w:rPr>
          <w:lang w:val="de-DE"/>
        </w:rPr>
      </w:pPr>
      <w:r w:rsidRPr="00C83DF5">
        <w:rPr>
          <w:rFonts w:cs="Tahoma"/>
          <w:szCs w:val="20"/>
          <w:lang w:val="de-DE"/>
        </w:rPr>
        <w:t>In diesem Abschnitt werden Programmvorteile, Software Assurance-Vergünstigungen und Onlinedienste-Vergünstigungen beschrieben.</w:t>
      </w:r>
      <w:r w:rsidR="00E71F46" w:rsidRPr="00C83DF5">
        <w:rPr>
          <w:rFonts w:cs="Tahoma"/>
          <w:szCs w:val="20"/>
          <w:lang w:val="de-DE"/>
        </w:rPr>
        <w:t xml:space="preserve"> </w:t>
      </w:r>
    </w:p>
    <w:p w:rsidR="00EB3A5F" w:rsidRPr="00F037D5" w:rsidRDefault="00EB3A5F" w:rsidP="00E7419A">
      <w:pPr>
        <w:spacing w:after="60"/>
        <w:rPr>
          <w:rFonts w:cs="Tahoma"/>
          <w:szCs w:val="20"/>
          <w:lang w:val="de-DE" w:eastAsia="ja-JP"/>
        </w:rPr>
      </w:pPr>
    </w:p>
    <w:p w:rsidR="00EB3A5F" w:rsidRPr="00C83DF5" w:rsidRDefault="00EB3A5F" w:rsidP="00EB3A5F">
      <w:pPr>
        <w:jc w:val="both"/>
        <w:rPr>
          <w:lang w:val="de-DE"/>
        </w:rPr>
      </w:pPr>
      <w:r w:rsidRPr="00C83DF5">
        <w:rPr>
          <w:b/>
          <w:lang w:val="de-DE"/>
        </w:rPr>
        <w:t>Diese Vergünstigung ist nur über den Server- und Cloud-Beitritt (SCE) zu einem Konzernvertrag verfügbar.</w:t>
      </w:r>
    </w:p>
    <w:p w:rsidR="00EB3A5F" w:rsidRPr="00C83DF5" w:rsidRDefault="00AD6873" w:rsidP="00EB3A5F">
      <w:pPr>
        <w:jc w:val="both"/>
        <w:rPr>
          <w:lang w:val="de-DE"/>
        </w:rPr>
      </w:pPr>
      <w:r w:rsidRPr="00C83DF5">
        <w:rPr>
          <w:lang w:val="de-DE"/>
        </w:rPr>
        <w:t xml:space="preserve"> </w:t>
      </w:r>
    </w:p>
    <w:p w:rsidR="00EB3A5F" w:rsidRPr="00C83DF5" w:rsidRDefault="00EB3A5F" w:rsidP="002C69AC">
      <w:pPr>
        <w:rPr>
          <w:lang w:val="de-DE"/>
        </w:rPr>
      </w:pPr>
      <w:r w:rsidRPr="00C83DF5">
        <w:rPr>
          <w:lang w:val="de-DE"/>
        </w:rPr>
        <w:t>Kunden mit einem SCE, die die Abdeckungsanforderungen erfüllt haben und der Core Infrastructure-Komponente</w:t>
      </w:r>
      <w:r w:rsidR="002C69AC">
        <w:rPr>
          <w:lang w:val="de-DE"/>
        </w:rPr>
        <w:t> </w:t>
      </w:r>
      <w:r w:rsidRPr="00C83DF5">
        <w:rPr>
          <w:lang w:val="de-DE"/>
        </w:rPr>
        <w:t>beigetreten sind, sind berechtigt, das System Center-Produkt in den Komponenten der Virtuellen Betriebssystemumgebung (Virtuelle OSE) innerhalb von Windows Azure zu installieren und zu verwalten.</w:t>
      </w:r>
      <w:r w:rsidR="00E71F46" w:rsidRPr="00C83DF5">
        <w:rPr>
          <w:lang w:val="de-DE"/>
        </w:rPr>
        <w:t xml:space="preserve"> </w:t>
      </w:r>
      <w:r w:rsidRPr="00C83DF5">
        <w:rPr>
          <w:lang w:val="de-DE"/>
        </w:rPr>
        <w:t>Dieser</w:t>
      </w:r>
      <w:r w:rsidR="002C69AC">
        <w:rPr>
          <w:lang w:val="de-DE"/>
        </w:rPr>
        <w:t> </w:t>
      </w:r>
      <w:r w:rsidRPr="00C83DF5">
        <w:rPr>
          <w:lang w:val="de-DE"/>
        </w:rPr>
        <w:t>Vorteil ermöglicht es Kunden, bis zu 10 berechtigte Instanzen der Virtuellen OSE innerhalb von Windows</w:t>
      </w:r>
      <w:r w:rsidR="002C69AC">
        <w:rPr>
          <w:lang w:val="de-DE"/>
        </w:rPr>
        <w:t> </w:t>
      </w:r>
      <w:r w:rsidRPr="00C83DF5">
        <w:rPr>
          <w:lang w:val="de-DE"/>
        </w:rPr>
        <w:t>Azure für jede im SCE enthaltene CIS-Lizenz zu verwalten.</w:t>
      </w:r>
      <w:r w:rsidR="00E71F46" w:rsidRPr="00C83DF5">
        <w:rPr>
          <w:lang w:val="de-DE"/>
        </w:rPr>
        <w:t xml:space="preserve"> </w:t>
      </w:r>
    </w:p>
    <w:p w:rsidR="00EB3A5F" w:rsidRPr="00C83DF5" w:rsidRDefault="00AD6873" w:rsidP="00EB3A5F">
      <w:pPr>
        <w:rPr>
          <w:lang w:val="de-DE"/>
        </w:rPr>
      </w:pPr>
      <w:r w:rsidRPr="00C83DF5">
        <w:rPr>
          <w:lang w:val="de-DE"/>
        </w:rPr>
        <w:t xml:space="preserve"> </w:t>
      </w:r>
    </w:p>
    <w:p w:rsidR="00EB3A5F" w:rsidRPr="00C83DF5" w:rsidRDefault="00EB3A5F" w:rsidP="00EB3A5F">
      <w:pPr>
        <w:spacing w:line="276" w:lineRule="auto"/>
        <w:jc w:val="both"/>
        <w:rPr>
          <w:lang w:val="de-DE"/>
        </w:rPr>
      </w:pPr>
      <w:r w:rsidRPr="00C83DF5">
        <w:rPr>
          <w:lang w:val="de-DE"/>
        </w:rPr>
        <w:t>Berechtigte Instanzen der Virtuellen OSE von Windows Azure:</w:t>
      </w:r>
    </w:p>
    <w:p w:rsidR="00EB3A5F" w:rsidRPr="00B404DE" w:rsidRDefault="00EB3A5F" w:rsidP="00B404DE">
      <w:pPr>
        <w:pStyle w:val="ListParagraph"/>
        <w:numPr>
          <w:ilvl w:val="0"/>
          <w:numId w:val="69"/>
        </w:numPr>
        <w:spacing w:after="60"/>
        <w:ind w:left="1386" w:hanging="306"/>
        <w:contextualSpacing w:val="0"/>
        <w:rPr>
          <w:rFonts w:ascii="Tahoma" w:hAnsi="Tahoma" w:cs="Tahoma"/>
          <w:sz w:val="18"/>
          <w:szCs w:val="18"/>
          <w:lang w:val="de-DE"/>
        </w:rPr>
      </w:pPr>
      <w:r w:rsidRPr="00B404DE">
        <w:rPr>
          <w:rFonts w:ascii="Tahoma" w:hAnsi="Tahoma" w:cs="Tahoma"/>
          <w:sz w:val="18"/>
          <w:szCs w:val="18"/>
          <w:lang w:val="de-DE"/>
        </w:rPr>
        <w:t>Windows Virtual Machine-Instanzen</w:t>
      </w:r>
    </w:p>
    <w:p w:rsidR="00EB3A5F" w:rsidRPr="00B404DE" w:rsidRDefault="00EB3A5F" w:rsidP="00B404DE">
      <w:pPr>
        <w:pStyle w:val="ListParagraph"/>
        <w:numPr>
          <w:ilvl w:val="0"/>
          <w:numId w:val="69"/>
        </w:numPr>
        <w:spacing w:after="60"/>
        <w:ind w:left="1386" w:hanging="306"/>
        <w:contextualSpacing w:val="0"/>
        <w:rPr>
          <w:rFonts w:ascii="Tahoma" w:hAnsi="Tahoma" w:cs="Tahoma"/>
          <w:sz w:val="18"/>
          <w:szCs w:val="18"/>
          <w:lang w:val="de-DE"/>
        </w:rPr>
      </w:pPr>
      <w:r w:rsidRPr="00B404DE">
        <w:rPr>
          <w:rFonts w:ascii="Tahoma" w:hAnsi="Tahoma" w:cs="Tahoma"/>
          <w:color w:val="000000"/>
          <w:sz w:val="18"/>
          <w:szCs w:val="18"/>
          <w:lang w:val="de-DE"/>
        </w:rPr>
        <w:t>Cloud-Dienste-Instanzen (Webrolle und Workerrolle)</w:t>
      </w:r>
    </w:p>
    <w:p w:rsidR="00EB3A5F" w:rsidRPr="00B404DE" w:rsidRDefault="00EB3A5F" w:rsidP="00B404DE">
      <w:pPr>
        <w:pStyle w:val="ListParagraph"/>
        <w:numPr>
          <w:ilvl w:val="0"/>
          <w:numId w:val="69"/>
        </w:numPr>
        <w:spacing w:after="60"/>
        <w:ind w:left="1386" w:hanging="306"/>
        <w:contextualSpacing w:val="0"/>
        <w:rPr>
          <w:rFonts w:ascii="Tahoma" w:hAnsi="Tahoma" w:cs="Tahoma"/>
          <w:sz w:val="18"/>
          <w:szCs w:val="18"/>
          <w:lang w:val="de-DE"/>
        </w:rPr>
      </w:pPr>
      <w:r w:rsidRPr="00B404DE">
        <w:rPr>
          <w:rFonts w:ascii="Tahoma" w:hAnsi="Tahoma" w:cs="Tahoma"/>
          <w:sz w:val="18"/>
          <w:szCs w:val="18"/>
          <w:lang w:val="de-DE"/>
        </w:rPr>
        <w:t>Speicherkonten</w:t>
      </w:r>
    </w:p>
    <w:p w:rsidR="00EB3A5F" w:rsidRPr="00B404DE" w:rsidRDefault="00EB3A5F" w:rsidP="00B404DE">
      <w:pPr>
        <w:pStyle w:val="ListParagraph"/>
        <w:numPr>
          <w:ilvl w:val="0"/>
          <w:numId w:val="69"/>
        </w:numPr>
        <w:spacing w:after="60"/>
        <w:ind w:left="1386" w:hanging="306"/>
        <w:contextualSpacing w:val="0"/>
        <w:rPr>
          <w:rFonts w:ascii="Tahoma" w:hAnsi="Tahoma" w:cs="Tahoma"/>
          <w:sz w:val="18"/>
          <w:szCs w:val="18"/>
          <w:lang w:val="de-DE"/>
        </w:rPr>
      </w:pPr>
      <w:r w:rsidRPr="00B404DE">
        <w:rPr>
          <w:rFonts w:ascii="Tahoma" w:hAnsi="Tahoma" w:cs="Tahoma"/>
          <w:sz w:val="18"/>
          <w:szCs w:val="18"/>
          <w:lang w:val="de-DE"/>
        </w:rPr>
        <w:t>SQL-Datenbanken</w:t>
      </w:r>
    </w:p>
    <w:p w:rsidR="00EB3A5F" w:rsidRPr="00B404DE" w:rsidRDefault="00EB3A5F" w:rsidP="00B404DE">
      <w:pPr>
        <w:pStyle w:val="ListParagraph"/>
        <w:numPr>
          <w:ilvl w:val="0"/>
          <w:numId w:val="69"/>
        </w:numPr>
        <w:spacing w:after="60"/>
        <w:ind w:left="1386" w:hanging="306"/>
        <w:contextualSpacing w:val="0"/>
        <w:rPr>
          <w:rFonts w:ascii="Tahoma" w:hAnsi="Tahoma" w:cs="Tahoma"/>
          <w:sz w:val="18"/>
          <w:szCs w:val="18"/>
          <w:lang w:val="de-DE"/>
        </w:rPr>
      </w:pPr>
      <w:r w:rsidRPr="00B404DE">
        <w:rPr>
          <w:rFonts w:ascii="Tahoma" w:hAnsi="Tahoma" w:cs="Tahoma"/>
          <w:sz w:val="18"/>
          <w:szCs w:val="18"/>
          <w:lang w:val="de-DE"/>
        </w:rPr>
        <w:t>Website-Instanzen</w:t>
      </w:r>
    </w:p>
    <w:p w:rsidR="00EA1A1E" w:rsidRPr="00C71A42" w:rsidRDefault="00EA1A1E" w:rsidP="00BA0707">
      <w:pPr>
        <w:rPr>
          <w:rFonts w:cs="Tahoma"/>
          <w:szCs w:val="20"/>
          <w:lang w:eastAsia="ja-JP"/>
        </w:rPr>
      </w:pPr>
    </w:p>
    <w:p w:rsidR="003E606C" w:rsidRPr="00C71A42" w:rsidRDefault="003E606C" w:rsidP="0063466C">
      <w:pPr>
        <w:spacing w:after="60"/>
        <w:rPr>
          <w:rFonts w:cs="Tahoma"/>
          <w:b/>
          <w:szCs w:val="20"/>
          <w:lang w:eastAsia="ja-JP"/>
        </w:rPr>
      </w:pPr>
      <w:r w:rsidRPr="00C71A42">
        <w:rPr>
          <w:rFonts w:cs="Tahoma"/>
          <w:b/>
          <w:szCs w:val="20"/>
          <w:lang w:eastAsia="ja-JP"/>
        </w:rPr>
        <w:t>Software Assurance-Vergünstigungen</w:t>
      </w:r>
    </w:p>
    <w:p w:rsidR="00E7419A" w:rsidRPr="00C83DF5" w:rsidRDefault="00E7419A" w:rsidP="0063466C">
      <w:pPr>
        <w:rPr>
          <w:lang w:val="de-DE"/>
        </w:rPr>
      </w:pPr>
      <w:r w:rsidRPr="00C83DF5">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00E71F46" w:rsidRPr="00C83DF5">
        <w:rPr>
          <w:rFonts w:cs="Tahoma"/>
          <w:szCs w:val="20"/>
          <w:lang w:val="de-DE"/>
        </w:rPr>
        <w:t xml:space="preserve"> </w:t>
      </w:r>
      <w:r w:rsidRPr="00C83DF5">
        <w:rPr>
          <w:rFonts w:cs="Tahoma"/>
          <w:szCs w:val="20"/>
          <w:lang w:val="de-DE"/>
        </w:rPr>
        <w:t>Änderungen während der Software Assurance-Laufzeit (z. B. zusätzliche Käufe, Rückgaben oder Übergänge von Onlinediensten) können zu Änderungen bei der Vergünstigungsberechtigung führen.</w:t>
      </w:r>
    </w:p>
    <w:p w:rsidR="00BA0707" w:rsidRPr="00F037D5" w:rsidRDefault="00BA0707" w:rsidP="00BA0707">
      <w:pPr>
        <w:rPr>
          <w:rFonts w:cs="Tahoma"/>
          <w:szCs w:val="20"/>
          <w:lang w:val="de-DE" w:eastAsia="ja-JP"/>
        </w:rPr>
      </w:pPr>
    </w:p>
    <w:p w:rsidR="0063466C" w:rsidRPr="00C83DF5" w:rsidRDefault="0063466C" w:rsidP="0063466C">
      <w:pPr>
        <w:spacing w:after="60"/>
        <w:rPr>
          <w:lang w:val="de-DE"/>
        </w:rPr>
      </w:pPr>
      <w:r w:rsidRPr="00C83DF5">
        <w:rPr>
          <w:rFonts w:cs="Tahoma"/>
          <w:b/>
          <w:szCs w:val="20"/>
          <w:lang w:val="de-DE"/>
        </w:rPr>
        <w:t>Onlinedienste-Vergünstigungen</w:t>
      </w:r>
    </w:p>
    <w:p w:rsidR="00E7419A" w:rsidRPr="00C83DF5" w:rsidRDefault="009F1A2B" w:rsidP="00C71A42">
      <w:pPr>
        <w:rPr>
          <w:lang w:val="de-DE"/>
        </w:rPr>
      </w:pPr>
      <w:r w:rsidRPr="00C83DF5">
        <w:rPr>
          <w:rFonts w:cs="Tahoma"/>
          <w:szCs w:val="20"/>
          <w:lang w:val="de-DE"/>
        </w:rPr>
        <w:t>Diese Vergünstigungen sind je nach Produkt unterschiedlich.</w:t>
      </w:r>
      <w:r w:rsidR="00E71F46" w:rsidRPr="00C83DF5">
        <w:rPr>
          <w:rFonts w:cs="Tahoma"/>
          <w:szCs w:val="20"/>
          <w:lang w:val="de-DE"/>
        </w:rPr>
        <w:t xml:space="preserve"> </w:t>
      </w:r>
      <w:r w:rsidRPr="00C83DF5">
        <w:rPr>
          <w:rFonts w:cs="Tahoma"/>
          <w:szCs w:val="20"/>
          <w:lang w:val="de-DE"/>
        </w:rPr>
        <w:t>Der Zugriff auf und die Rechte des Kunden zur</w:t>
      </w:r>
      <w:r w:rsidR="00C71A42">
        <w:rPr>
          <w:rFonts w:cs="Tahoma"/>
          <w:szCs w:val="20"/>
          <w:lang w:val="de-DE"/>
        </w:rPr>
        <w:t> </w:t>
      </w:r>
      <w:r w:rsidRPr="00C83DF5">
        <w:rPr>
          <w:rFonts w:cs="Tahoma"/>
          <w:szCs w:val="20"/>
          <w:lang w:val="de-DE"/>
        </w:rPr>
        <w:t xml:space="preserve">Verwendung von Onlinedienste-Vergünstigungen laufen bei Ablauf der entsprechenden Onlinedienste-Abonnementlizenz ab. </w:t>
      </w:r>
    </w:p>
    <w:p w:rsidR="009F1A2B" w:rsidRPr="00C71A42" w:rsidRDefault="009F1A2B" w:rsidP="0063466C">
      <w:pPr>
        <w:rPr>
          <w:rFonts w:cs="Tahoma"/>
          <w:szCs w:val="20"/>
          <w:lang w:val="de-DE"/>
        </w:rPr>
      </w:pPr>
    </w:p>
    <w:p w:rsidR="00E7419A" w:rsidRPr="00C83DF5" w:rsidRDefault="00E7419A" w:rsidP="00C71A42">
      <w:pPr>
        <w:rPr>
          <w:lang w:val="de-DE"/>
        </w:rPr>
      </w:pPr>
      <w:r w:rsidRPr="00C83DF5">
        <w:rPr>
          <w:rFonts w:cs="Tahoma"/>
          <w:szCs w:val="20"/>
          <w:lang w:val="de-DE"/>
        </w:rPr>
        <w:t>Ausnahmen von den oben genannten Regeln werden unten in den einzelnen Abschnitten zu den Vergünstigungen aufgeführt.</w:t>
      </w:r>
      <w:r w:rsidR="00E71F46" w:rsidRPr="00C83DF5">
        <w:rPr>
          <w:rFonts w:cs="Tahoma"/>
          <w:szCs w:val="20"/>
          <w:lang w:val="de-DE"/>
        </w:rPr>
        <w:t xml:space="preserve"> </w:t>
      </w:r>
      <w:r w:rsidRPr="00C83DF5">
        <w:rPr>
          <w:rFonts w:cs="Tahoma"/>
          <w:szCs w:val="20"/>
          <w:lang w:val="de-DE"/>
        </w:rPr>
        <w:t>Die Vergünstigungen können jederzeit ohne Ankündigung geändert und eingestellt werden. Die</w:t>
      </w:r>
      <w:r w:rsidR="00C71A42">
        <w:rPr>
          <w:rFonts w:cs="Tahoma"/>
          <w:szCs w:val="20"/>
          <w:lang w:val="de-DE"/>
        </w:rPr>
        <w:t> </w:t>
      </w:r>
      <w:r w:rsidRPr="00C83DF5">
        <w:rPr>
          <w:rFonts w:cs="Tahoma"/>
          <w:szCs w:val="20"/>
          <w:lang w:val="de-DE"/>
        </w:rPr>
        <w:t xml:space="preserve">Verfügbarkeit von Vergünstigungen hängt von Programm, Region, Fulfillment-Optionen und Sprache ab. </w:t>
      </w:r>
    </w:p>
    <w:p w:rsidR="00023FE7" w:rsidRDefault="00023FE7"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Default="00BE50B2" w:rsidP="0063466C">
      <w:pPr>
        <w:pStyle w:val="AppendixBodyText"/>
        <w:spacing w:after="0"/>
        <w:rPr>
          <w:rFonts w:ascii="Tahoma" w:hAnsi="Tahoma" w:cs="Tahoma"/>
          <w:sz w:val="18"/>
          <w:lang w:val="de-DE" w:eastAsia="ja-JP"/>
        </w:rPr>
      </w:pPr>
    </w:p>
    <w:p w:rsidR="00BE50B2" w:rsidRPr="00BE50B2" w:rsidRDefault="00BE50B2" w:rsidP="0063466C">
      <w:pPr>
        <w:pStyle w:val="AppendixBodyText"/>
        <w:spacing w:after="0"/>
        <w:rPr>
          <w:rFonts w:ascii="Tahoma" w:hAnsi="Tahoma" w:cs="Tahoma"/>
          <w:sz w:val="18"/>
          <w:lang w:val="de-DE" w:eastAsia="ja-JP"/>
        </w:rPr>
      </w:pPr>
    </w:p>
    <w:p w:rsidR="00023FE7" w:rsidRPr="00C83DF5" w:rsidRDefault="00023FE7" w:rsidP="0063466C">
      <w:pPr>
        <w:pStyle w:val="AppendixBodyText"/>
        <w:spacing w:after="0"/>
        <w:rPr>
          <w:lang w:val="de-DE"/>
        </w:rPr>
      </w:pPr>
      <w:r w:rsidRPr="00C83DF5">
        <w:rPr>
          <w:rFonts w:ascii="Tahoma" w:hAnsi="Tahoma" w:cs="Tahoma"/>
          <w:sz w:val="18"/>
          <w:lang w:val="de-DE"/>
        </w:rPr>
        <w:lastRenderedPageBreak/>
        <w:t>Software Assurance-Vergünstigungen und Onlinedienste-Vergünstigungen werden unter den verschiedenen Programmen wie im Diagramm unten dargestellt zugewiesen:</w:t>
      </w:r>
    </w:p>
    <w:p w:rsidR="00023FE7" w:rsidRPr="00BE50B2" w:rsidRDefault="00023FE7" w:rsidP="00BA0707">
      <w:pPr>
        <w:pStyle w:val="AppendixBodyText"/>
        <w:spacing w:after="0"/>
        <w:rPr>
          <w:rFonts w:ascii="Tahoma" w:hAnsi="Tahoma" w:cs="Tahoma"/>
          <w:lang w:val="de-DE"/>
        </w:rPr>
      </w:pPr>
    </w:p>
    <w:tbl>
      <w:tblPr>
        <w:tblW w:w="9682"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46"/>
        <w:gridCol w:w="1251"/>
        <w:gridCol w:w="954"/>
        <w:gridCol w:w="2016"/>
        <w:gridCol w:w="2601"/>
        <w:gridCol w:w="1314"/>
      </w:tblGrid>
      <w:tr w:rsidR="009233CA" w:rsidRPr="00C83DF5" w:rsidTr="00BE50B2">
        <w:trPr>
          <w:trHeight w:val="178"/>
        </w:trPr>
        <w:tc>
          <w:tcPr>
            <w:tcW w:w="1546" w:type="dxa"/>
            <w:shd w:val="clear" w:color="auto" w:fill="FFCC99"/>
            <w:vAlign w:val="center"/>
          </w:tcPr>
          <w:p w:rsidR="00394D2B" w:rsidRPr="00C83DF5" w:rsidRDefault="00394D2B" w:rsidP="00FF3343">
            <w:pPr>
              <w:pStyle w:val="AppendixTableHeadings"/>
              <w:jc w:val="left"/>
              <w:rPr>
                <w:rFonts w:ascii="Tahoma" w:hAnsi="Tahoma" w:cs="Tahoma"/>
                <w:sz w:val="20"/>
                <w:szCs w:val="20"/>
              </w:rPr>
            </w:pPr>
            <w:r w:rsidRPr="00C83DF5">
              <w:rPr>
                <w:rFonts w:ascii="Tahoma" w:hAnsi="Tahoma" w:cs="Tahoma"/>
                <w:sz w:val="20"/>
                <w:szCs w:val="20"/>
              </w:rPr>
              <w:t>Programme</w:t>
            </w:r>
          </w:p>
        </w:tc>
        <w:tc>
          <w:tcPr>
            <w:tcW w:w="1251" w:type="dxa"/>
            <w:shd w:val="clear" w:color="auto" w:fill="FFCC99"/>
            <w:vAlign w:val="center"/>
          </w:tcPr>
          <w:p w:rsidR="00394D2B" w:rsidRPr="00C83DF5" w:rsidRDefault="00394D2B" w:rsidP="00FF3343">
            <w:pPr>
              <w:pStyle w:val="AppendixTableHeadings"/>
              <w:jc w:val="left"/>
              <w:rPr>
                <w:rFonts w:ascii="Tahoma" w:hAnsi="Tahoma" w:cs="Tahoma"/>
                <w:sz w:val="20"/>
                <w:szCs w:val="20"/>
              </w:rPr>
            </w:pPr>
            <w:r w:rsidRPr="00C83DF5">
              <w:rPr>
                <w:rFonts w:ascii="Tahoma" w:hAnsi="Tahoma" w:cs="Tahoma"/>
                <w:sz w:val="20"/>
                <w:szCs w:val="20"/>
              </w:rPr>
              <w:t>Open-Lizenz</w:t>
            </w:r>
          </w:p>
        </w:tc>
        <w:tc>
          <w:tcPr>
            <w:tcW w:w="954" w:type="dxa"/>
            <w:shd w:val="clear" w:color="auto" w:fill="FFCC99"/>
            <w:vAlign w:val="center"/>
          </w:tcPr>
          <w:p w:rsidR="00394D2B" w:rsidRPr="00C83DF5" w:rsidRDefault="00394D2B" w:rsidP="00FF3343">
            <w:pPr>
              <w:pStyle w:val="AppendixTableHeadings"/>
              <w:jc w:val="left"/>
              <w:rPr>
                <w:rFonts w:ascii="Tahoma" w:hAnsi="Tahoma" w:cs="Tahoma"/>
                <w:sz w:val="20"/>
                <w:szCs w:val="20"/>
              </w:rPr>
            </w:pPr>
            <w:r w:rsidRPr="00C83DF5">
              <w:rPr>
                <w:rFonts w:ascii="Tahoma" w:hAnsi="Tahoma" w:cs="Tahoma"/>
                <w:sz w:val="20"/>
                <w:szCs w:val="20"/>
              </w:rPr>
              <w:t>Open Value</w:t>
            </w:r>
          </w:p>
        </w:tc>
        <w:tc>
          <w:tcPr>
            <w:tcW w:w="2016" w:type="dxa"/>
            <w:shd w:val="clear" w:color="auto" w:fill="FFCC99"/>
            <w:vAlign w:val="center"/>
          </w:tcPr>
          <w:p w:rsidR="00394D2B" w:rsidRPr="00C83DF5" w:rsidRDefault="00394D2B" w:rsidP="00FF3343">
            <w:pPr>
              <w:pStyle w:val="AppendixTableHeadings"/>
              <w:jc w:val="left"/>
              <w:rPr>
                <w:rFonts w:ascii="Tahoma" w:hAnsi="Tahoma" w:cs="Tahoma"/>
                <w:sz w:val="20"/>
                <w:szCs w:val="20"/>
              </w:rPr>
            </w:pPr>
            <w:r w:rsidRPr="00C83DF5">
              <w:rPr>
                <w:rFonts w:ascii="Tahoma" w:hAnsi="Tahoma" w:cs="Tahoma"/>
                <w:sz w:val="20"/>
                <w:szCs w:val="20"/>
              </w:rPr>
              <w:t>Open Value Subscription – Bildungslösungen</w:t>
            </w:r>
          </w:p>
        </w:tc>
        <w:tc>
          <w:tcPr>
            <w:tcW w:w="2601" w:type="dxa"/>
            <w:shd w:val="clear" w:color="auto" w:fill="FFCC99"/>
            <w:vAlign w:val="center"/>
          </w:tcPr>
          <w:p w:rsidR="00394D2B" w:rsidRPr="00C83DF5" w:rsidRDefault="00394D2B" w:rsidP="00FF3343">
            <w:pPr>
              <w:pStyle w:val="AppendixTableHeadings"/>
              <w:jc w:val="left"/>
              <w:rPr>
                <w:lang w:val="de-DE"/>
              </w:rPr>
            </w:pPr>
            <w:r w:rsidRPr="00C83DF5">
              <w:rPr>
                <w:rFonts w:ascii="Tahoma" w:hAnsi="Tahoma" w:cs="Tahoma"/>
                <w:sz w:val="20"/>
                <w:szCs w:val="20"/>
                <w:lang w:val="de-DE"/>
              </w:rPr>
              <w:t>Select*</w:t>
            </w:r>
          </w:p>
          <w:p w:rsidR="00394D2B" w:rsidRPr="00C83DF5" w:rsidRDefault="00394D2B" w:rsidP="00FF3343">
            <w:pPr>
              <w:pStyle w:val="AppendixTableHeadings"/>
              <w:jc w:val="left"/>
              <w:rPr>
                <w:lang w:val="de-DE"/>
              </w:rPr>
            </w:pPr>
            <w:r w:rsidRPr="00C83DF5">
              <w:rPr>
                <w:rFonts w:ascii="Tahoma" w:hAnsi="Tahoma" w:cs="Tahoma"/>
                <w:sz w:val="20"/>
                <w:szCs w:val="20"/>
                <w:lang w:val="de-DE"/>
              </w:rPr>
              <w:t>Konzernvertrag</w:t>
            </w:r>
          </w:p>
          <w:p w:rsidR="00394D2B" w:rsidRPr="00C83DF5" w:rsidRDefault="00394D2B" w:rsidP="00FF3343">
            <w:pPr>
              <w:pStyle w:val="AppendixTableHeadings"/>
              <w:jc w:val="left"/>
              <w:rPr>
                <w:lang w:val="de-DE"/>
              </w:rPr>
            </w:pPr>
            <w:r w:rsidRPr="00C83DF5">
              <w:rPr>
                <w:rFonts w:ascii="Tahoma" w:hAnsi="Tahoma" w:cs="Tahoma"/>
                <w:sz w:val="20"/>
                <w:szCs w:val="20"/>
                <w:lang w:val="de-DE"/>
              </w:rPr>
              <w:t>Beitritt für Bildungslösungen unter dem Campus- und</w:t>
            </w:r>
          </w:p>
          <w:p w:rsidR="00394D2B" w:rsidRPr="00C83DF5" w:rsidRDefault="00394D2B" w:rsidP="00FF3343">
            <w:pPr>
              <w:pStyle w:val="AppendixTableHeadings"/>
              <w:jc w:val="left"/>
              <w:rPr>
                <w:rFonts w:ascii="Tahoma" w:hAnsi="Tahoma" w:cs="Tahoma"/>
                <w:sz w:val="20"/>
                <w:szCs w:val="20"/>
              </w:rPr>
            </w:pPr>
            <w:r w:rsidRPr="00C83DF5">
              <w:rPr>
                <w:rFonts w:ascii="Tahoma" w:hAnsi="Tahoma" w:cs="Tahoma"/>
                <w:sz w:val="20"/>
                <w:szCs w:val="20"/>
              </w:rPr>
              <w:t>School-Vertrag</w:t>
            </w:r>
          </w:p>
        </w:tc>
        <w:tc>
          <w:tcPr>
            <w:tcW w:w="1314" w:type="dxa"/>
            <w:shd w:val="clear" w:color="auto" w:fill="FFCC99"/>
            <w:vAlign w:val="center"/>
          </w:tcPr>
          <w:p w:rsidR="00394D2B" w:rsidRPr="00C83DF5" w:rsidRDefault="00394D2B" w:rsidP="007E466C">
            <w:pPr>
              <w:pStyle w:val="AppendixTableHeadings"/>
              <w:rPr>
                <w:rFonts w:ascii="Tahoma" w:hAnsi="Tahoma" w:cs="Tahoma"/>
                <w:sz w:val="20"/>
                <w:szCs w:val="20"/>
              </w:rPr>
            </w:pPr>
            <w:r w:rsidRPr="00C83DF5">
              <w:rPr>
                <w:rFonts w:ascii="Tahoma" w:hAnsi="Tahoma" w:cs="Tahoma"/>
                <w:sz w:val="20"/>
                <w:szCs w:val="20"/>
              </w:rPr>
              <w:t>Select Plus</w:t>
            </w:r>
          </w:p>
        </w:tc>
      </w:tr>
      <w:tr w:rsidR="009233CA" w:rsidRPr="00C83DF5" w:rsidTr="00BE50B2">
        <w:trPr>
          <w:trHeight w:val="369"/>
        </w:trPr>
        <w:tc>
          <w:tcPr>
            <w:tcW w:w="1546" w:type="dxa"/>
            <w:vAlign w:val="center"/>
          </w:tcPr>
          <w:p w:rsidR="00394D2B" w:rsidRPr="00C83DF5" w:rsidRDefault="00394D2B">
            <w:pPr>
              <w:pStyle w:val="AppendixTableText"/>
              <w:rPr>
                <w:rFonts w:ascii="Tahoma" w:hAnsi="Tahoma" w:cs="Tahoma"/>
                <w:szCs w:val="20"/>
              </w:rPr>
            </w:pPr>
            <w:r w:rsidRPr="00C83DF5">
              <w:rPr>
                <w:rFonts w:ascii="Tahoma" w:hAnsi="Tahoma" w:cs="Tahoma"/>
                <w:szCs w:val="20"/>
              </w:rPr>
              <w:t>Vergünstigungen sind verfügbar nach:</w:t>
            </w:r>
          </w:p>
        </w:tc>
        <w:tc>
          <w:tcPr>
            <w:tcW w:w="1251" w:type="dxa"/>
            <w:vAlign w:val="center"/>
          </w:tcPr>
          <w:p w:rsidR="00394D2B" w:rsidRPr="00C83DF5" w:rsidRDefault="00394D2B">
            <w:pPr>
              <w:pStyle w:val="AppendixTableText"/>
              <w:rPr>
                <w:rFonts w:ascii="Tahoma" w:hAnsi="Tahoma" w:cs="Tahoma"/>
                <w:szCs w:val="20"/>
              </w:rPr>
            </w:pPr>
            <w:r w:rsidRPr="00C83DF5">
              <w:rPr>
                <w:rFonts w:ascii="Tahoma" w:hAnsi="Tahoma" w:cs="Tahoma"/>
                <w:szCs w:val="20"/>
              </w:rPr>
              <w:t>Lizenzanzahl</w:t>
            </w:r>
          </w:p>
        </w:tc>
        <w:tc>
          <w:tcPr>
            <w:tcW w:w="954" w:type="dxa"/>
            <w:vAlign w:val="center"/>
          </w:tcPr>
          <w:p w:rsidR="00394D2B" w:rsidRPr="00C83DF5" w:rsidRDefault="00394D2B">
            <w:pPr>
              <w:pStyle w:val="AppendixTableText"/>
              <w:rPr>
                <w:rFonts w:ascii="Tahoma" w:hAnsi="Tahoma" w:cs="Tahoma"/>
                <w:szCs w:val="20"/>
              </w:rPr>
            </w:pPr>
            <w:r w:rsidRPr="00C83DF5">
              <w:rPr>
                <w:rFonts w:ascii="Tahoma" w:hAnsi="Tahoma" w:cs="Tahoma"/>
                <w:szCs w:val="20"/>
              </w:rPr>
              <w:t>Vertrag</w:t>
            </w:r>
          </w:p>
        </w:tc>
        <w:tc>
          <w:tcPr>
            <w:tcW w:w="2016" w:type="dxa"/>
            <w:vAlign w:val="center"/>
          </w:tcPr>
          <w:p w:rsidR="00394D2B" w:rsidRPr="00C83DF5" w:rsidRDefault="00394D2B" w:rsidP="00394D2B">
            <w:pPr>
              <w:pStyle w:val="AppendixTableText"/>
              <w:rPr>
                <w:rFonts w:ascii="Tahoma" w:hAnsi="Tahoma" w:cs="Tahoma"/>
                <w:szCs w:val="20"/>
              </w:rPr>
            </w:pPr>
            <w:r w:rsidRPr="00C83DF5">
              <w:rPr>
                <w:rFonts w:ascii="Tahoma" w:hAnsi="Tahoma" w:cs="Tahoma"/>
                <w:szCs w:val="20"/>
              </w:rPr>
              <w:t>Vertrag</w:t>
            </w:r>
          </w:p>
        </w:tc>
        <w:tc>
          <w:tcPr>
            <w:tcW w:w="2601" w:type="dxa"/>
            <w:vAlign w:val="center"/>
          </w:tcPr>
          <w:p w:rsidR="00394D2B" w:rsidRPr="00C83DF5" w:rsidRDefault="00394D2B">
            <w:pPr>
              <w:pStyle w:val="AppendixTableText"/>
              <w:rPr>
                <w:rFonts w:ascii="Tahoma" w:hAnsi="Tahoma" w:cs="Tahoma"/>
                <w:szCs w:val="20"/>
              </w:rPr>
            </w:pPr>
            <w:r w:rsidRPr="00C83DF5">
              <w:rPr>
                <w:rFonts w:ascii="Tahoma" w:hAnsi="Tahoma" w:cs="Tahoma"/>
                <w:szCs w:val="20"/>
              </w:rPr>
              <w:t>Beitritt</w:t>
            </w:r>
          </w:p>
        </w:tc>
        <w:tc>
          <w:tcPr>
            <w:tcW w:w="1314" w:type="dxa"/>
          </w:tcPr>
          <w:p w:rsidR="00394D2B" w:rsidRPr="00C83DF5" w:rsidRDefault="00394D2B">
            <w:pPr>
              <w:pStyle w:val="AppendixTableText"/>
              <w:rPr>
                <w:rFonts w:ascii="Tahoma" w:hAnsi="Tahoma" w:cs="Tahoma"/>
                <w:szCs w:val="20"/>
              </w:rPr>
            </w:pPr>
            <w:r w:rsidRPr="00C83DF5">
              <w:rPr>
                <w:rFonts w:ascii="Tahoma" w:hAnsi="Tahoma" w:cs="Tahoma"/>
                <w:szCs w:val="20"/>
              </w:rPr>
              <w:t>Registriertes Verbundenes Unternehmen</w:t>
            </w:r>
          </w:p>
        </w:tc>
      </w:tr>
    </w:tbl>
    <w:p w:rsidR="00023FE7" w:rsidRPr="00C83DF5" w:rsidRDefault="00023FE7" w:rsidP="00BE50B2">
      <w:pPr>
        <w:pStyle w:val="AppendixBodyText"/>
        <w:spacing w:after="0"/>
        <w:ind w:right="403"/>
        <w:rPr>
          <w:lang w:val="de-DE"/>
        </w:rPr>
      </w:pPr>
      <w:r w:rsidRPr="00C83DF5">
        <w:rPr>
          <w:rFonts w:ascii="Tahoma" w:hAnsi="Tahoma" w:cs="Tahoma"/>
          <w:b/>
          <w:i/>
          <w:sz w:val="16"/>
          <w:szCs w:val="16"/>
          <w:lang w:val="de-DE"/>
        </w:rPr>
        <w:t>Anmerkung:</w:t>
      </w:r>
      <w:r w:rsidRPr="00C83DF5">
        <w:rPr>
          <w:rFonts w:ascii="Tahoma" w:hAnsi="Tahoma" w:cs="Tahoma"/>
          <w:i/>
          <w:sz w:val="16"/>
          <w:szCs w:val="16"/>
          <w:lang w:val="de-DE"/>
        </w:rPr>
        <w:t xml:space="preserve"> *Kunden, die Canadian HealthCare-Volumenlizenz-Konzernverträge schließen, erhalten SA-Vergünstigungen, die</w:t>
      </w:r>
      <w:r w:rsidR="00BE50B2">
        <w:rPr>
          <w:rFonts w:ascii="Tahoma" w:hAnsi="Tahoma" w:cs="Tahoma"/>
          <w:i/>
          <w:sz w:val="16"/>
          <w:szCs w:val="16"/>
          <w:lang w:val="de-DE"/>
        </w:rPr>
        <w:t> </w:t>
      </w:r>
      <w:r w:rsidRPr="00C83DF5">
        <w:rPr>
          <w:rFonts w:ascii="Tahoma" w:hAnsi="Tahoma" w:cs="Tahoma"/>
          <w:i/>
          <w:sz w:val="16"/>
          <w:szCs w:val="16"/>
          <w:lang w:val="de-DE"/>
        </w:rPr>
        <w:t>den SA-Vergünstigungen für Kunden entsprechen, die Produkte über Microsoft Open Value erwerben.</w:t>
      </w:r>
    </w:p>
    <w:p w:rsidR="00023FE7" w:rsidRPr="00F037D5" w:rsidRDefault="00023FE7" w:rsidP="0063466C">
      <w:pPr>
        <w:pStyle w:val="AppendixBodyText"/>
        <w:spacing w:after="0"/>
        <w:rPr>
          <w:rFonts w:ascii="Tahoma" w:hAnsi="Tahoma" w:cs="Tahoma"/>
          <w:sz w:val="18"/>
          <w:lang w:val="de-DE" w:eastAsia="ja-JP"/>
        </w:rPr>
      </w:pPr>
    </w:p>
    <w:p w:rsidR="00023FE7" w:rsidRPr="00C83DF5" w:rsidRDefault="00023FE7" w:rsidP="00BE50B2">
      <w:pPr>
        <w:pStyle w:val="AppendixBodyText"/>
        <w:spacing w:after="0"/>
        <w:rPr>
          <w:lang w:val="de-DE"/>
        </w:rPr>
      </w:pPr>
      <w:r w:rsidRPr="00C83DF5">
        <w:rPr>
          <w:rFonts w:ascii="Tahoma" w:hAnsi="Tahoma" w:cs="Tahoma"/>
          <w:sz w:val="18"/>
          <w:lang w:val="de-DE"/>
        </w:rPr>
        <w:t>Software Assurance-Vergünstigungen und Onlinedienste-Vergünstigungen werden im Diagramm unten dargestellt.</w:t>
      </w:r>
      <w:r w:rsidR="00E71F46" w:rsidRPr="00C83DF5">
        <w:rPr>
          <w:rFonts w:ascii="Tahoma" w:hAnsi="Tahoma" w:cs="Tahoma"/>
          <w:sz w:val="18"/>
          <w:lang w:val="de-DE"/>
        </w:rPr>
        <w:t xml:space="preserve"> </w:t>
      </w:r>
      <w:r w:rsidRPr="00C83DF5">
        <w:rPr>
          <w:rFonts w:ascii="Tahoma" w:hAnsi="Tahoma" w:cs="Tahoma"/>
          <w:sz w:val="18"/>
          <w:lang w:val="de-DE"/>
        </w:rPr>
        <w:t>Bestimmte Vorteile entsprechen einzelnen Lizenzen, für die Software Assurance erworben wird.</w:t>
      </w:r>
      <w:r w:rsidR="00E71F46" w:rsidRPr="00C83DF5">
        <w:rPr>
          <w:rFonts w:ascii="Tahoma" w:hAnsi="Tahoma" w:cs="Tahoma"/>
          <w:sz w:val="18"/>
          <w:lang w:val="de-DE"/>
        </w:rPr>
        <w:t xml:space="preserve"> </w:t>
      </w:r>
      <w:r w:rsidRPr="00C83DF5">
        <w:rPr>
          <w:rFonts w:ascii="Tahoma" w:hAnsi="Tahoma" w:cs="Tahoma"/>
          <w:sz w:val="18"/>
          <w:lang w:val="de-DE"/>
        </w:rPr>
        <w:t>Aktive Software Assurance (oder ein anderes Upgrade-Programm) für ein qualifizierendes Produkt qualifiziert diesen Kunden zu</w:t>
      </w:r>
      <w:r w:rsidR="00BE50B2">
        <w:rPr>
          <w:rFonts w:ascii="Tahoma" w:hAnsi="Tahoma" w:cs="Tahoma"/>
          <w:sz w:val="18"/>
          <w:lang w:val="de-DE"/>
        </w:rPr>
        <w:t> </w:t>
      </w:r>
      <w:r w:rsidRPr="00C83DF5">
        <w:rPr>
          <w:rFonts w:ascii="Tahoma" w:hAnsi="Tahoma" w:cs="Tahoma"/>
          <w:sz w:val="18"/>
          <w:lang w:val="de-DE"/>
        </w:rPr>
        <w:t>diesen Vergünstigungen, unabhängig von der Produktversion, die ein Kunde tatsächlich verwendet.</w:t>
      </w:r>
      <w:r w:rsidR="00E71F46" w:rsidRPr="00C83DF5">
        <w:rPr>
          <w:rFonts w:ascii="Tahoma" w:hAnsi="Tahoma" w:cs="Tahoma"/>
          <w:sz w:val="18"/>
          <w:lang w:val="de-DE"/>
        </w:rPr>
        <w:t xml:space="preserve"> </w:t>
      </w:r>
      <w:r w:rsidRPr="00C83DF5">
        <w:rPr>
          <w:rFonts w:ascii="Tahoma" w:hAnsi="Tahoma" w:cs="Tahoma"/>
          <w:sz w:val="18"/>
          <w:lang w:val="de-DE"/>
        </w:rPr>
        <w:t>Die</w:t>
      </w:r>
      <w:r w:rsidR="00BE50B2">
        <w:rPr>
          <w:rFonts w:ascii="Tahoma" w:hAnsi="Tahoma" w:cs="Tahoma"/>
          <w:sz w:val="18"/>
          <w:lang w:val="de-DE"/>
        </w:rPr>
        <w:t> </w:t>
      </w:r>
      <w:r w:rsidRPr="00C83DF5">
        <w:rPr>
          <w:rFonts w:ascii="Tahoma" w:hAnsi="Tahoma" w:cs="Tahoma"/>
          <w:sz w:val="18"/>
          <w:lang w:val="de-DE"/>
        </w:rPr>
        <w:t>qualifizierenden Produkte werden in den einzelnen Produktabschnitten genannt.</w:t>
      </w:r>
      <w:r w:rsidR="00E71F46" w:rsidRPr="00C83DF5">
        <w:rPr>
          <w:rFonts w:ascii="Tahoma" w:hAnsi="Tahoma" w:cs="Tahoma"/>
          <w:sz w:val="18"/>
          <w:lang w:val="de-DE"/>
        </w:rPr>
        <w:t xml:space="preserve"> </w:t>
      </w:r>
      <w:r w:rsidRPr="00C83DF5">
        <w:rPr>
          <w:rFonts w:ascii="Tahoma" w:hAnsi="Tahoma" w:cs="Tahoma"/>
          <w:sz w:val="18"/>
          <w:lang w:val="de-DE"/>
        </w:rPr>
        <w:t>Einige Vergünstigungen werden</w:t>
      </w:r>
      <w:r w:rsidR="00BE50B2">
        <w:rPr>
          <w:rFonts w:ascii="Tahoma" w:hAnsi="Tahoma" w:cs="Tahoma"/>
          <w:sz w:val="18"/>
          <w:lang w:val="de-DE"/>
        </w:rPr>
        <w:t> </w:t>
      </w:r>
      <w:r w:rsidRPr="00C83DF5">
        <w:rPr>
          <w:rFonts w:ascii="Tahoma" w:hAnsi="Tahoma" w:cs="Tahoma"/>
          <w:sz w:val="18"/>
          <w:lang w:val="de-DE"/>
        </w:rPr>
        <w:t>auf Grundlage der SA-Ausgaben des Kunden für einen bestimmten Satz qualifizierender Produkte innerhalb eines Pools gewährt.</w:t>
      </w:r>
      <w:r w:rsidR="00E71F46" w:rsidRPr="00C83DF5">
        <w:rPr>
          <w:rFonts w:ascii="Tahoma" w:hAnsi="Tahoma" w:cs="Tahoma"/>
          <w:sz w:val="18"/>
          <w:lang w:val="de-DE"/>
        </w:rPr>
        <w:t xml:space="preserve"> </w:t>
      </w:r>
      <w:r w:rsidRPr="00C83DF5">
        <w:rPr>
          <w:rFonts w:ascii="Tahoma" w:hAnsi="Tahoma" w:cs="Tahoma"/>
          <w:sz w:val="18"/>
          <w:lang w:val="de-DE"/>
        </w:rPr>
        <w:t>In diesem Sinne sind mit „SA-Ausgaben“ nicht die tatsächlich ausgegebenen Beträge des Kunden gemeint.</w:t>
      </w:r>
      <w:r w:rsidR="00E71F46" w:rsidRPr="00C83DF5">
        <w:rPr>
          <w:rFonts w:ascii="Tahoma" w:hAnsi="Tahoma" w:cs="Tahoma"/>
          <w:sz w:val="18"/>
          <w:lang w:val="de-DE"/>
        </w:rPr>
        <w:t xml:space="preserve"> </w:t>
      </w:r>
      <w:r w:rsidRPr="00C83DF5">
        <w:rPr>
          <w:rFonts w:ascii="Tahoma" w:hAnsi="Tahoma" w:cs="Tahoma"/>
          <w:sz w:val="18"/>
          <w:lang w:val="de-DE"/>
        </w:rPr>
        <w:t>Vielmehr ist ein Überschlag der Ausgaben eines Kunden für Software Assurance für diese Produkte</w:t>
      </w:r>
      <w:r w:rsidR="00BE50B2">
        <w:rPr>
          <w:rFonts w:ascii="Tahoma" w:hAnsi="Tahoma" w:cs="Tahoma"/>
          <w:sz w:val="18"/>
          <w:lang w:val="de-DE"/>
        </w:rPr>
        <w:t> </w:t>
      </w:r>
      <w:r w:rsidRPr="00C83DF5">
        <w:rPr>
          <w:rFonts w:ascii="Tahoma" w:hAnsi="Tahoma" w:cs="Tahoma"/>
          <w:sz w:val="18"/>
          <w:lang w:val="de-DE"/>
        </w:rPr>
        <w:t xml:space="preserve">unter seinem Select- oder Konzernbeitritt, </w:t>
      </w:r>
      <w:r w:rsidRPr="00C83DF5">
        <w:rPr>
          <w:rFonts w:ascii="Tahoma" w:hAnsi="Tahoma" w:cs="Tahoma"/>
          <w:sz w:val="18"/>
          <w:szCs w:val="18"/>
          <w:lang w:val="de-DE"/>
        </w:rPr>
        <w:t>seiner Select Plus-Registrierung oder seinem Open-Vertrag gemeint (zum Beispiel der Erwerb von nur SA und die SA-Komponenten von L&amp;SA-Käufen).</w:t>
      </w:r>
      <w:r w:rsidR="00E71F46" w:rsidRPr="00C83DF5">
        <w:rPr>
          <w:rFonts w:ascii="Tahoma" w:hAnsi="Tahoma" w:cs="Tahoma"/>
          <w:sz w:val="18"/>
          <w:szCs w:val="18"/>
          <w:lang w:val="de-DE"/>
        </w:rPr>
        <w:t xml:space="preserve"> </w:t>
      </w:r>
      <w:r w:rsidRPr="00C83DF5">
        <w:rPr>
          <w:rFonts w:ascii="Tahoma" w:hAnsi="Tahoma" w:cs="Tahoma"/>
          <w:sz w:val="18"/>
          <w:szCs w:val="18"/>
          <w:lang w:val="de-DE"/>
        </w:rPr>
        <w:t>Für Kunden unter Abonnementprogrammen handelt es sich um einen Überschlag des Gesamtbetrags, den der Kunde für die Lizenzierung dieser Produkte unter seinem Beitritt bzw. Vertrag ausgegeben hat.</w:t>
      </w:r>
      <w:r w:rsidR="00E71F46" w:rsidRPr="00C83DF5">
        <w:rPr>
          <w:rFonts w:ascii="Tahoma" w:hAnsi="Tahoma" w:cs="Tahoma"/>
          <w:sz w:val="18"/>
          <w:szCs w:val="18"/>
          <w:lang w:val="de-DE"/>
        </w:rPr>
        <w:t xml:space="preserve"> </w:t>
      </w:r>
      <w:r w:rsidRPr="00C83DF5">
        <w:rPr>
          <w:rFonts w:ascii="Tahoma" w:hAnsi="Tahoma" w:cs="Tahoma"/>
          <w:sz w:val="18"/>
          <w:szCs w:val="18"/>
          <w:lang w:val="de-DE"/>
        </w:rPr>
        <w:t>Andere Vergünstigungen entsprechen der Mitgliedschaft bei Software Assurance; die Mitgliedschaft bei Software Assurance für den jeweiligen</w:t>
      </w:r>
      <w:r w:rsidR="00BE50B2">
        <w:rPr>
          <w:rFonts w:ascii="Tahoma" w:hAnsi="Tahoma" w:cs="Tahoma"/>
          <w:sz w:val="18"/>
          <w:szCs w:val="18"/>
          <w:lang w:val="de-DE"/>
        </w:rPr>
        <w:t> </w:t>
      </w:r>
      <w:r w:rsidRPr="00C83DF5">
        <w:rPr>
          <w:rFonts w:ascii="Tahoma" w:hAnsi="Tahoma" w:cs="Tahoma"/>
          <w:sz w:val="18"/>
          <w:szCs w:val="18"/>
          <w:lang w:val="de-DE"/>
        </w:rPr>
        <w:t>Produktpool qualifiziert den Kunden für diese Vergünstigungen.</w:t>
      </w:r>
    </w:p>
    <w:p w:rsidR="00023FE7" w:rsidRPr="00C83DF5" w:rsidRDefault="00023FE7" w:rsidP="0063466C">
      <w:pPr>
        <w:pStyle w:val="AppendixBodyText"/>
        <w:spacing w:after="0"/>
        <w:rPr>
          <w:lang w:val="de-DE"/>
        </w:rPr>
      </w:pPr>
    </w:p>
    <w:tbl>
      <w:tblPr>
        <w:tblW w:w="9727" w:type="dxa"/>
        <w:tblInd w:w="101" w:type="dxa"/>
        <w:tblLayout w:type="fixed"/>
        <w:tblLook w:val="0000" w:firstRow="0" w:lastRow="0" w:firstColumn="0" w:lastColumn="0" w:noHBand="0" w:noVBand="0"/>
      </w:tblPr>
      <w:tblGrid>
        <w:gridCol w:w="2374"/>
        <w:gridCol w:w="1611"/>
        <w:gridCol w:w="1494"/>
        <w:gridCol w:w="1530"/>
        <w:gridCol w:w="1440"/>
        <w:gridCol w:w="1278"/>
      </w:tblGrid>
      <w:tr w:rsidR="004B4C79" w:rsidRPr="00C83DF5" w:rsidTr="0019427D">
        <w:trPr>
          <w:trHeight w:val="781"/>
          <w:tblHeader/>
        </w:trPr>
        <w:tc>
          <w:tcPr>
            <w:tcW w:w="2374"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83DF5" w:rsidRDefault="004B4C79" w:rsidP="00E06FE8">
            <w:pPr>
              <w:pStyle w:val="AppendixTableHeadings"/>
              <w:rPr>
                <w:rFonts w:ascii="Tahoma" w:hAnsi="Tahoma" w:cs="Tahoma"/>
                <w:sz w:val="20"/>
                <w:szCs w:val="20"/>
              </w:rPr>
            </w:pPr>
            <w:r w:rsidRPr="00C83DF5">
              <w:rPr>
                <w:rFonts w:ascii="Tahoma" w:hAnsi="Tahoma" w:cs="Tahoma"/>
                <w:sz w:val="20"/>
                <w:szCs w:val="20"/>
              </w:rPr>
              <w:t>Vergünstigungen</w:t>
            </w:r>
          </w:p>
        </w:tc>
        <w:tc>
          <w:tcPr>
            <w:tcW w:w="1611"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83DF5" w:rsidRDefault="004B4C79" w:rsidP="00E06FE8">
            <w:pPr>
              <w:pStyle w:val="AppendixTableHeadings"/>
              <w:rPr>
                <w:rFonts w:ascii="Tahoma" w:hAnsi="Tahoma" w:cs="Tahoma"/>
                <w:sz w:val="20"/>
                <w:szCs w:val="20"/>
              </w:rPr>
            </w:pPr>
            <w:r w:rsidRPr="00C83DF5">
              <w:rPr>
                <w:rFonts w:ascii="Tahoma" w:hAnsi="Tahoma" w:cs="Tahoma"/>
                <w:sz w:val="20"/>
                <w:szCs w:val="20"/>
              </w:rPr>
              <w:t>Anwendungs-Pool</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83DF5" w:rsidRDefault="004B4C79" w:rsidP="00E06FE8">
            <w:pPr>
              <w:pStyle w:val="AppendixTableHeadings"/>
              <w:rPr>
                <w:rFonts w:ascii="Tahoma" w:hAnsi="Tahoma" w:cs="Tahoma"/>
                <w:sz w:val="20"/>
                <w:szCs w:val="20"/>
              </w:rPr>
            </w:pPr>
            <w:r w:rsidRPr="00C83DF5">
              <w:rPr>
                <w:rFonts w:ascii="Tahoma" w:hAnsi="Tahoma" w:cs="Tahoma"/>
                <w:sz w:val="20"/>
                <w:szCs w:val="20"/>
              </w:rPr>
              <w:t>System-Pool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83DF5" w:rsidRDefault="004B4C79" w:rsidP="00E06FE8">
            <w:pPr>
              <w:pStyle w:val="AppendixTableHeadings"/>
              <w:rPr>
                <w:rFonts w:ascii="Tahoma" w:hAnsi="Tahoma" w:cs="Tahoma"/>
                <w:sz w:val="20"/>
                <w:szCs w:val="20"/>
              </w:rPr>
            </w:pPr>
            <w:r w:rsidRPr="00C83DF5">
              <w:rPr>
                <w:rFonts w:ascii="Tahoma" w:hAnsi="Tahoma" w:cs="Tahoma"/>
                <w:sz w:val="20"/>
                <w:szCs w:val="20"/>
              </w:rPr>
              <w:t>Server-Pool</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83DF5" w:rsidRDefault="006705D4" w:rsidP="00273BDA">
            <w:pPr>
              <w:pStyle w:val="AppendixTableHeadings"/>
              <w:rPr>
                <w:rFonts w:ascii="Tahoma" w:hAnsi="Tahoma" w:cs="Tahoma"/>
                <w:sz w:val="20"/>
                <w:szCs w:val="20"/>
              </w:rPr>
            </w:pPr>
            <w:r w:rsidRPr="00C83DF5">
              <w:rPr>
                <w:rFonts w:ascii="Tahoma" w:hAnsi="Tahoma" w:cs="Tahoma"/>
                <w:sz w:val="20"/>
                <w:szCs w:val="20"/>
              </w:rPr>
              <w:t>Windows Intune (pro</w:t>
            </w:r>
            <w:r w:rsidR="00273BDA">
              <w:rPr>
                <w:rFonts w:ascii="Tahoma" w:hAnsi="Tahoma" w:cs="Tahoma"/>
                <w:sz w:val="20"/>
                <w:szCs w:val="20"/>
              </w:rPr>
              <w:t> </w:t>
            </w:r>
            <w:r w:rsidRPr="00C83DF5">
              <w:rPr>
                <w:rFonts w:ascii="Tahoma" w:hAnsi="Tahoma" w:cs="Tahoma"/>
                <w:sz w:val="20"/>
                <w:szCs w:val="20"/>
              </w:rPr>
              <w:t>Gerät)</w:t>
            </w:r>
          </w:p>
        </w:tc>
        <w:tc>
          <w:tcPr>
            <w:tcW w:w="1278"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C83DF5" w:rsidRDefault="004B4C79" w:rsidP="00E06FE8">
            <w:pPr>
              <w:pStyle w:val="AppendixTableHeadings"/>
              <w:rPr>
                <w:rFonts w:ascii="Tahoma" w:hAnsi="Tahoma" w:cs="Tahoma"/>
                <w:sz w:val="20"/>
                <w:szCs w:val="20"/>
              </w:rPr>
            </w:pPr>
            <w:r w:rsidRPr="00C83DF5">
              <w:rPr>
                <w:rFonts w:ascii="Tahoma" w:hAnsi="Tahoma" w:cs="Tahoma"/>
                <w:sz w:val="20"/>
                <w:szCs w:val="20"/>
              </w:rPr>
              <w:t>Office 365</w:t>
            </w:r>
          </w:p>
        </w:tc>
      </w:tr>
      <w:tr w:rsidR="004B4C79" w:rsidRPr="00C83DF5" w:rsidTr="00273BDA">
        <w:trPr>
          <w:trHeight w:val="255"/>
        </w:trPr>
        <w:tc>
          <w:tcPr>
            <w:tcW w:w="2374" w:type="dxa"/>
            <w:tcBorders>
              <w:top w:val="single" w:sz="8" w:space="0" w:color="auto"/>
              <w:left w:val="single" w:sz="4" w:space="0" w:color="auto"/>
              <w:bottom w:val="single" w:sz="4" w:space="0" w:color="auto"/>
              <w:right w:val="single" w:sz="4"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Rechte für neue Versionen</w:t>
            </w:r>
          </w:p>
        </w:tc>
        <w:tc>
          <w:tcPr>
            <w:tcW w:w="1611" w:type="dxa"/>
            <w:tcBorders>
              <w:top w:val="single" w:sz="8" w:space="0" w:color="auto"/>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single" w:sz="8" w:space="0" w:color="auto"/>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4B4C79" w:rsidRPr="00C83DF5" w:rsidRDefault="00302B84" w:rsidP="00E06FE8">
            <w:pPr>
              <w:pStyle w:val="AppendixTableText"/>
              <w:rPr>
                <w:rFonts w:ascii="Tahoma" w:hAnsi="Tahoma" w:cs="Tahoma"/>
              </w:rPr>
            </w:pPr>
            <w:r w:rsidRPr="00C83DF5">
              <w:rPr>
                <w:rFonts w:ascii="Tahoma" w:hAnsi="Tahoma" w:cs="Tahoma"/>
              </w:rPr>
              <w:t>Ja</w:t>
            </w:r>
          </w:p>
        </w:tc>
        <w:tc>
          <w:tcPr>
            <w:tcW w:w="1278" w:type="dxa"/>
            <w:tcBorders>
              <w:top w:val="single" w:sz="8" w:space="0" w:color="auto"/>
              <w:left w:val="nil"/>
              <w:bottom w:val="single" w:sz="4" w:space="0" w:color="auto"/>
              <w:right w:val="single" w:sz="4" w:space="0" w:color="auto"/>
            </w:tcBorders>
            <w:vAlign w:val="center"/>
          </w:tcPr>
          <w:p w:rsidR="004B4C79" w:rsidRPr="00C83DF5" w:rsidRDefault="00302B84" w:rsidP="00E06FE8">
            <w:pPr>
              <w:pStyle w:val="AppendixTableText"/>
              <w:rPr>
                <w:rFonts w:ascii="Tahoma" w:hAnsi="Tahoma" w:cs="Tahoma"/>
              </w:rPr>
            </w:pPr>
            <w:r w:rsidRPr="00C83DF5">
              <w:rPr>
                <w:rFonts w:ascii="Tahoma" w:hAnsi="Tahoma" w:cs="Tahoma"/>
              </w:rPr>
              <w:t>Ja</w:t>
            </w:r>
          </w:p>
        </w:tc>
      </w:tr>
      <w:tr w:rsidR="004B4C79"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Office Multi Language Pack</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Style w:val="CommentReference"/>
                <w:rFonts w:ascii="Tahoma" w:hAnsi="Tahoma" w:cs="Tahoma"/>
                <w:sz w:val="18"/>
                <w:szCs w:val="18"/>
              </w:rPr>
            </w:pP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Style w:val="CommentReference"/>
                <w:rFonts w:ascii="Tahoma" w:hAnsi="Tahoma" w:cs="Tahoma"/>
                <w:sz w:val="18"/>
                <w:szCs w:val="18"/>
              </w:rPr>
            </w:pPr>
            <w:r w:rsidRPr="00C83DF5">
              <w:rPr>
                <w:rFonts w:ascii="Tahoma" w:hAnsi="Tahoma" w:cs="Tahoma"/>
              </w:rPr>
              <w:t>Ja</w:t>
            </w:r>
          </w:p>
        </w:tc>
      </w:tr>
      <w:tr w:rsidR="004B4C79"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E7419A" w:rsidP="0019427D">
            <w:pPr>
              <w:pStyle w:val="AppendixTableText"/>
              <w:spacing w:after="20"/>
              <w:jc w:val="left"/>
              <w:rPr>
                <w:rFonts w:ascii="Tahoma" w:hAnsi="Tahoma" w:cs="Tahoma"/>
              </w:rPr>
            </w:pPr>
            <w:r w:rsidRPr="00C83DF5">
              <w:rPr>
                <w:rFonts w:ascii="Tahoma" w:hAnsi="Tahoma" w:cs="Tahoma"/>
              </w:rPr>
              <w:t>Planning Services</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Style w:val="CommentReference"/>
                <w:rFonts w:ascii="Tahoma" w:hAnsi="Tahoma" w:cs="Tahoma"/>
                <w:sz w:val="18"/>
                <w:szCs w:val="18"/>
              </w:rPr>
            </w:pPr>
            <w:r w:rsidRPr="00C83DF5">
              <w:rPr>
                <w:rStyle w:val="CommentReference"/>
                <w:rFonts w:ascii="Tahoma" w:hAnsi="Tahoma" w:cs="Tahoma"/>
                <w:sz w:val="18"/>
                <w:szCs w:val="18"/>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Style w:val="CommentReference"/>
                <w:rFonts w:ascii="Tahoma" w:hAnsi="Tahoma" w:cs="Tahoma"/>
                <w:sz w:val="18"/>
                <w:szCs w:val="18"/>
              </w:rPr>
            </w:pP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Style w:val="CommentReference"/>
                <w:rFonts w:ascii="Tahoma" w:hAnsi="Tahoma" w:cs="Tahoma"/>
                <w:sz w:val="18"/>
                <w:szCs w:val="18"/>
              </w:rPr>
            </w:pPr>
          </w:p>
        </w:tc>
      </w:tr>
      <w:tr w:rsidR="004B4C79"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4B4C79" w:rsidRPr="00C83DF5" w:rsidRDefault="004B4C79" w:rsidP="0019427D">
            <w:pPr>
              <w:pStyle w:val="AppendixTableText"/>
              <w:spacing w:after="20"/>
              <w:jc w:val="left"/>
              <w:rPr>
                <w:rFonts w:ascii="Tahoma" w:hAnsi="Tahoma" w:cs="Tahoma"/>
                <w:lang w:val="de-DE"/>
              </w:rPr>
            </w:pPr>
            <w:r w:rsidRPr="00C83DF5">
              <w:rPr>
                <w:rFonts w:ascii="Tahoma" w:hAnsi="Tahoma" w:cs="Tahoma"/>
                <w:lang w:val="de-DE"/>
              </w:rPr>
              <w:t>Rechte zur Nutzung von Enterprise-Editionen</w:t>
            </w:r>
          </w:p>
        </w:tc>
        <w:tc>
          <w:tcPr>
            <w:tcW w:w="1611"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lang w:val="de-DE"/>
              </w:rPr>
            </w:pPr>
          </w:p>
        </w:tc>
        <w:tc>
          <w:tcPr>
            <w:tcW w:w="1494"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53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278"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Trainingsgutscheine</w:t>
            </w:r>
          </w:p>
        </w:tc>
        <w:tc>
          <w:tcPr>
            <w:tcW w:w="1611"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53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E-Learning</w:t>
            </w:r>
          </w:p>
        </w:tc>
        <w:tc>
          <w:tcPr>
            <w:tcW w:w="1611"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53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278"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r>
      <w:tr w:rsidR="004B4C79"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Home Use Program</w:t>
            </w:r>
          </w:p>
        </w:tc>
        <w:tc>
          <w:tcPr>
            <w:tcW w:w="1611"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Enterprise Source Licensing Program</w:t>
            </w:r>
          </w:p>
        </w:tc>
        <w:tc>
          <w:tcPr>
            <w:tcW w:w="1611"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494"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53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24x7 Problembehebungssupport</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Style w:val="CommentReference"/>
                <w:rFonts w:ascii="Tahoma" w:hAnsi="Tahoma" w:cs="Tahoma"/>
                <w:sz w:val="18"/>
                <w:szCs w:val="18"/>
              </w:rPr>
            </w:pPr>
            <w:r w:rsidRPr="00C83DF5">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620185"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620185" w:rsidRPr="00C83DF5" w:rsidRDefault="00620185" w:rsidP="0019427D">
            <w:pPr>
              <w:pStyle w:val="AppendixTableText"/>
              <w:spacing w:after="20"/>
              <w:jc w:val="left"/>
              <w:rPr>
                <w:rFonts w:ascii="Tahoma" w:hAnsi="Tahoma" w:cs="Tahoma"/>
              </w:rPr>
            </w:pPr>
            <w:r w:rsidRPr="00C83DF5">
              <w:rPr>
                <w:rFonts w:ascii="Tahoma" w:hAnsi="Tahoma" w:cs="Tahoma"/>
              </w:rPr>
              <w:t>System Center Advisor</w:t>
            </w:r>
          </w:p>
        </w:tc>
        <w:tc>
          <w:tcPr>
            <w:tcW w:w="1611" w:type="dxa"/>
            <w:tcBorders>
              <w:top w:val="nil"/>
              <w:left w:val="nil"/>
              <w:bottom w:val="single" w:sz="4" w:space="0" w:color="auto"/>
              <w:right w:val="single" w:sz="4" w:space="0" w:color="auto"/>
            </w:tcBorders>
            <w:vAlign w:val="center"/>
          </w:tcPr>
          <w:p w:rsidR="00620185" w:rsidRPr="00C83DF5" w:rsidRDefault="00620185" w:rsidP="00E06FE8">
            <w:pPr>
              <w:pStyle w:val="AppendixTableText"/>
              <w:rPr>
                <w:rFonts w:ascii="Tahoma" w:hAnsi="Tahoma" w:cs="Tahoma"/>
              </w:rPr>
            </w:pPr>
          </w:p>
        </w:tc>
        <w:tc>
          <w:tcPr>
            <w:tcW w:w="1494" w:type="dxa"/>
            <w:tcBorders>
              <w:top w:val="nil"/>
              <w:left w:val="nil"/>
              <w:bottom w:val="single" w:sz="4" w:space="0" w:color="auto"/>
              <w:right w:val="single" w:sz="4" w:space="0" w:color="auto"/>
            </w:tcBorders>
            <w:vAlign w:val="center"/>
          </w:tcPr>
          <w:p w:rsidR="00620185" w:rsidRPr="00C83DF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C83DF5" w:rsidRDefault="00620185" w:rsidP="00E06FE8">
            <w:pPr>
              <w:pStyle w:val="AppendixTableText"/>
              <w:rPr>
                <w:rFonts w:ascii="Tahoma" w:hAnsi="Tahoma" w:cs="Tahoma"/>
              </w:rPr>
            </w:pPr>
            <w:r w:rsidRPr="00C83DF5">
              <w:rPr>
                <w:rFonts w:ascii="Tahoma" w:hAnsi="Tahoma" w:cs="Tahoma"/>
              </w:rPr>
              <w:t>Ja</w:t>
            </w:r>
          </w:p>
        </w:tc>
        <w:tc>
          <w:tcPr>
            <w:tcW w:w="1440" w:type="dxa"/>
            <w:tcBorders>
              <w:top w:val="nil"/>
              <w:left w:val="nil"/>
              <w:bottom w:val="single" w:sz="4" w:space="0" w:color="auto"/>
              <w:right w:val="single" w:sz="4" w:space="0" w:color="auto"/>
            </w:tcBorders>
            <w:vAlign w:val="center"/>
          </w:tcPr>
          <w:p w:rsidR="00620185" w:rsidRPr="00C83DF5" w:rsidRDefault="00620185" w:rsidP="00E06FE8">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620185" w:rsidRPr="00C83DF5" w:rsidRDefault="00620185" w:rsidP="00E06FE8">
            <w:pPr>
              <w:pStyle w:val="AppendixTableText"/>
              <w:rPr>
                <w:rFonts w:ascii="Tahoma" w:hAnsi="Tahoma" w:cs="Tahoma"/>
              </w:rPr>
            </w:pPr>
          </w:p>
        </w:tc>
      </w:tr>
      <w:tr w:rsidR="00E06FE8"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E06FE8" w:rsidRPr="00C83DF5" w:rsidRDefault="00E06FE8" w:rsidP="0019427D">
            <w:pPr>
              <w:pStyle w:val="AppendixTableText"/>
              <w:spacing w:after="20"/>
              <w:jc w:val="left"/>
              <w:rPr>
                <w:rFonts w:ascii="Tahoma" w:hAnsi="Tahoma" w:cs="Tahoma"/>
              </w:rPr>
            </w:pPr>
            <w:r w:rsidRPr="00C83DF5">
              <w:rPr>
                <w:rFonts w:ascii="Tahoma" w:hAnsi="Tahoma" w:cs="Tahoma"/>
              </w:rPr>
              <w:t>Globaler System Center-Dienstmonitor</w:t>
            </w:r>
          </w:p>
        </w:tc>
        <w:tc>
          <w:tcPr>
            <w:tcW w:w="1611" w:type="dxa"/>
            <w:tcBorders>
              <w:top w:val="nil"/>
              <w:left w:val="nil"/>
              <w:bottom w:val="single" w:sz="4" w:space="0" w:color="auto"/>
              <w:right w:val="single" w:sz="4" w:space="0" w:color="auto"/>
            </w:tcBorders>
            <w:vAlign w:val="center"/>
          </w:tcPr>
          <w:p w:rsidR="00E06FE8" w:rsidRPr="00C83DF5" w:rsidRDefault="00E06FE8" w:rsidP="00E06FE8">
            <w:pPr>
              <w:pStyle w:val="AppendixTableText"/>
              <w:rPr>
                <w:rFonts w:ascii="Tahoma" w:hAnsi="Tahoma" w:cs="Tahoma"/>
              </w:rPr>
            </w:pPr>
          </w:p>
        </w:tc>
        <w:tc>
          <w:tcPr>
            <w:tcW w:w="1494" w:type="dxa"/>
            <w:tcBorders>
              <w:top w:val="nil"/>
              <w:left w:val="nil"/>
              <w:bottom w:val="single" w:sz="4" w:space="0" w:color="auto"/>
              <w:right w:val="single" w:sz="4" w:space="0" w:color="auto"/>
            </w:tcBorders>
            <w:vAlign w:val="center"/>
          </w:tcPr>
          <w:p w:rsidR="00E06FE8" w:rsidRPr="00C83DF5"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C83DF5" w:rsidRDefault="00E06FE8" w:rsidP="00E06FE8">
            <w:pPr>
              <w:pStyle w:val="AppendixTableText"/>
              <w:rPr>
                <w:rFonts w:ascii="Tahoma" w:hAnsi="Tahoma" w:cs="Tahoma"/>
              </w:rPr>
            </w:pPr>
            <w:r w:rsidRPr="00C83DF5">
              <w:rPr>
                <w:rFonts w:ascii="Tahoma" w:hAnsi="Tahoma" w:cs="Tahoma"/>
              </w:rPr>
              <w:t>Ja</w:t>
            </w:r>
          </w:p>
        </w:tc>
        <w:tc>
          <w:tcPr>
            <w:tcW w:w="1440" w:type="dxa"/>
            <w:tcBorders>
              <w:top w:val="nil"/>
              <w:left w:val="nil"/>
              <w:bottom w:val="single" w:sz="4" w:space="0" w:color="auto"/>
              <w:right w:val="single" w:sz="4" w:space="0" w:color="auto"/>
            </w:tcBorders>
            <w:vAlign w:val="center"/>
          </w:tcPr>
          <w:p w:rsidR="00E06FE8" w:rsidRPr="00C83DF5" w:rsidRDefault="00E06FE8" w:rsidP="00E06FE8">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E06FE8" w:rsidRPr="00C83DF5" w:rsidRDefault="00E06FE8" w:rsidP="00E06FE8">
            <w:pPr>
              <w:pStyle w:val="AppendixTableText"/>
              <w:rPr>
                <w:rFonts w:ascii="Tahoma" w:hAnsi="Tahoma" w:cs="Tahoma"/>
              </w:rPr>
            </w:pPr>
          </w:p>
        </w:tc>
      </w:tr>
      <w:tr w:rsidR="004B4C79"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4B4C79" w:rsidRPr="00C83DF5" w:rsidRDefault="004B4C79" w:rsidP="00EE2DD6">
            <w:pPr>
              <w:pStyle w:val="AppendixTableText"/>
              <w:spacing w:after="20"/>
              <w:jc w:val="left"/>
              <w:rPr>
                <w:rFonts w:ascii="Tahoma" w:hAnsi="Tahoma" w:cs="Tahoma"/>
                <w:lang w:val="de-DE"/>
              </w:rPr>
            </w:pPr>
            <w:r w:rsidRPr="00C83DF5">
              <w:rPr>
                <w:rFonts w:ascii="Tahoma" w:hAnsi="Tahoma" w:cs="Tahoma"/>
                <w:lang w:val="de-DE"/>
              </w:rPr>
              <w:t>„Cold Backup“ für die Wiederherstellung im</w:t>
            </w:r>
            <w:r w:rsidR="00EE2DD6">
              <w:rPr>
                <w:rFonts w:ascii="Tahoma" w:hAnsi="Tahoma" w:cs="Tahoma"/>
                <w:lang w:val="de-DE"/>
              </w:rPr>
              <w:t> </w:t>
            </w:r>
            <w:r w:rsidRPr="00C83DF5">
              <w:rPr>
                <w:rFonts w:ascii="Tahoma" w:hAnsi="Tahoma" w:cs="Tahoma"/>
                <w:lang w:val="de-DE"/>
              </w:rPr>
              <w:t>Notfall</w:t>
            </w:r>
          </w:p>
        </w:tc>
        <w:tc>
          <w:tcPr>
            <w:tcW w:w="1611"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lang w:val="de-DE"/>
              </w:rPr>
            </w:pPr>
          </w:p>
        </w:tc>
        <w:tc>
          <w:tcPr>
            <w:tcW w:w="1494"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55"/>
        </w:trPr>
        <w:tc>
          <w:tcPr>
            <w:tcW w:w="2374" w:type="dxa"/>
            <w:tcBorders>
              <w:top w:val="single" w:sz="4" w:space="0" w:color="auto"/>
              <w:left w:val="single" w:sz="4" w:space="0" w:color="auto"/>
              <w:bottom w:val="single" w:sz="4" w:space="0" w:color="auto"/>
              <w:right w:val="single" w:sz="4"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TechNet SA-Abonnementservices</w:t>
            </w:r>
          </w:p>
        </w:tc>
        <w:tc>
          <w:tcPr>
            <w:tcW w:w="1611" w:type="dxa"/>
            <w:tcBorders>
              <w:top w:val="single" w:sz="4" w:space="0" w:color="auto"/>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single" w:sz="4" w:space="0" w:color="auto"/>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40" w:type="dxa"/>
            <w:tcBorders>
              <w:top w:val="single" w:sz="4" w:space="0" w:color="auto"/>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278" w:type="dxa"/>
            <w:tcBorders>
              <w:top w:val="single" w:sz="4" w:space="0" w:color="auto"/>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55"/>
        </w:trPr>
        <w:tc>
          <w:tcPr>
            <w:tcW w:w="2374" w:type="dxa"/>
            <w:tcBorders>
              <w:top w:val="nil"/>
              <w:left w:val="single" w:sz="4" w:space="0" w:color="auto"/>
              <w:bottom w:val="single" w:sz="4" w:space="0" w:color="auto"/>
              <w:right w:val="single" w:sz="4"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lastRenderedPageBreak/>
              <w:t>TechNet Plus Direct</w:t>
            </w:r>
          </w:p>
        </w:tc>
        <w:tc>
          <w:tcPr>
            <w:tcW w:w="1611"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494"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46"/>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Windows Thin PC</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r w:rsidRPr="00C83DF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Erweiterter Hotfix-Support</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Style w:val="CommentReference"/>
                <w:rFonts w:ascii="Tahoma" w:hAnsi="Tahoma" w:cs="Tahoma"/>
                <w:sz w:val="18"/>
                <w:szCs w:val="18"/>
              </w:rPr>
            </w:pPr>
            <w:r w:rsidRPr="00C83DF5">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4B4C79"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4B4C79" w:rsidP="0019427D">
            <w:pPr>
              <w:pStyle w:val="AppendixTableText"/>
              <w:spacing w:after="20"/>
              <w:jc w:val="left"/>
              <w:rPr>
                <w:rFonts w:ascii="Tahoma" w:hAnsi="Tahoma" w:cs="Tahoma"/>
                <w:color w:val="000000"/>
              </w:rPr>
            </w:pPr>
            <w:r w:rsidRPr="00C83DF5">
              <w:rPr>
                <w:rFonts w:ascii="Tahoma" w:hAnsi="Tahoma" w:cs="Tahoma"/>
                <w:color w:val="000000"/>
              </w:rPr>
              <w:t>Microsoft Desktop Optimization Pack (MDOP)</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color w:val="000000"/>
              </w:rPr>
            </w:pP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spacing w:after="120"/>
              <w:rPr>
                <w:rFonts w:ascii="Tahoma" w:hAnsi="Tahoma" w:cs="Tahoma"/>
                <w:color w:val="000000"/>
              </w:rPr>
            </w:pPr>
            <w:r w:rsidRPr="00C83DF5">
              <w:rPr>
                <w:rFonts w:ascii="Tahoma" w:hAnsi="Tahoma" w:cs="Tahoma"/>
                <w:color w:val="000000"/>
              </w:rPr>
              <w:t>Ja</w:t>
            </w:r>
            <w:r w:rsidRPr="00C83DF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spacing w:before="120"/>
              <w:rPr>
                <w:rFonts w:ascii="Tahoma" w:hAnsi="Tahoma" w:cs="Tahoma"/>
                <w:color w:val="000000"/>
              </w:rPr>
            </w:pPr>
            <w:r w:rsidRPr="00C83DF5">
              <w:rPr>
                <w:rFonts w:ascii="Tahoma" w:hAnsi="Tahoma" w:cs="Tahoma"/>
                <w:color w:val="000000"/>
              </w:rPr>
              <w:t>Ja</w:t>
            </w: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spacing w:before="120"/>
              <w:rPr>
                <w:rFonts w:ascii="Tahoma" w:hAnsi="Tahoma" w:cs="Tahoma"/>
                <w:color w:val="000000"/>
              </w:rPr>
            </w:pPr>
          </w:p>
        </w:tc>
      </w:tr>
      <w:tr w:rsidR="004B4C79"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E7419A" w:rsidP="0019427D">
            <w:pPr>
              <w:pStyle w:val="AppendixTableText"/>
              <w:spacing w:after="20"/>
              <w:jc w:val="left"/>
              <w:rPr>
                <w:rFonts w:ascii="Tahoma" w:hAnsi="Tahoma" w:cs="Tahoma"/>
                <w:color w:val="000000"/>
              </w:rPr>
            </w:pPr>
            <w:r w:rsidRPr="00C83DF5">
              <w:rPr>
                <w:rFonts w:ascii="Tahoma" w:hAnsi="Tahoma" w:cs="Tahoma"/>
                <w:color w:val="000000"/>
              </w:rPr>
              <w:t>Virtualisierungsrechte für Windows-Desktops</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color w:val="000000"/>
              </w:rPr>
            </w:pP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spacing w:after="120"/>
              <w:rPr>
                <w:rFonts w:ascii="Tahoma" w:hAnsi="Tahoma" w:cs="Tahoma"/>
                <w:color w:val="000000"/>
              </w:rPr>
            </w:pPr>
            <w:r w:rsidRPr="00C83DF5">
              <w:rPr>
                <w:rFonts w:ascii="Tahoma" w:hAnsi="Tahoma" w:cs="Tahoma"/>
                <w:color w:val="000000"/>
              </w:rPr>
              <w:t>Ja</w:t>
            </w:r>
            <w:r w:rsidRPr="00C83DF5">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spacing w:before="120"/>
              <w:rPr>
                <w:rFonts w:ascii="Tahoma" w:hAnsi="Tahoma" w:cs="Tahoma"/>
                <w:color w:val="000000"/>
              </w:rPr>
            </w:pPr>
            <w:r w:rsidRPr="00C83DF5">
              <w:rPr>
                <w:rFonts w:ascii="Tahoma" w:hAnsi="Tahoma" w:cs="Tahoma"/>
                <w:color w:val="000000"/>
              </w:rPr>
              <w:t>Ja</w:t>
            </w: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spacing w:before="120"/>
              <w:rPr>
                <w:rFonts w:ascii="Tahoma" w:hAnsi="Tahoma" w:cs="Tahoma"/>
                <w:color w:val="000000"/>
              </w:rPr>
            </w:pPr>
          </w:p>
        </w:tc>
      </w:tr>
      <w:tr w:rsidR="004B4C79"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4B4C79" w:rsidP="0019427D">
            <w:pPr>
              <w:pStyle w:val="AppendixTableText"/>
              <w:spacing w:after="20"/>
              <w:jc w:val="left"/>
              <w:rPr>
                <w:rFonts w:ascii="Tahoma" w:hAnsi="Tahoma" w:cs="Tahoma"/>
                <w:color w:val="000000"/>
              </w:rPr>
            </w:pPr>
            <w:r w:rsidRPr="00C83DF5">
              <w:rPr>
                <w:rFonts w:ascii="Tahoma" w:hAnsi="Tahoma" w:cs="Tahoma"/>
                <w:color w:val="000000"/>
              </w:rPr>
              <w:t>Windows Virtual Desktop Access (VDA)</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color w:val="000000"/>
              </w:rPr>
            </w:pP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spacing w:after="120"/>
              <w:rPr>
                <w:rFonts w:ascii="Tahoma" w:hAnsi="Tahoma" w:cs="Tahoma"/>
                <w:color w:val="000000"/>
              </w:rPr>
            </w:pPr>
            <w:r w:rsidRPr="00C83DF5">
              <w:rPr>
                <w:rFonts w:ascii="Tahoma" w:hAnsi="Tahoma" w:cs="Tahoma"/>
                <w:color w:val="000000"/>
              </w:rPr>
              <w:t>Ja</w:t>
            </w:r>
            <w:r w:rsidRPr="00C83DF5">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spacing w:before="120"/>
              <w:rPr>
                <w:rFonts w:ascii="Tahoma" w:hAnsi="Tahoma" w:cs="Tahoma"/>
                <w:color w:val="000000"/>
              </w:rPr>
            </w:pPr>
            <w:r w:rsidRPr="00C83DF5">
              <w:rPr>
                <w:rFonts w:ascii="Tahoma" w:hAnsi="Tahoma" w:cs="Tahoma"/>
                <w:color w:val="000000"/>
              </w:rPr>
              <w:t>Ja</w:t>
            </w: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spacing w:before="120"/>
              <w:rPr>
                <w:rFonts w:ascii="Tahoma" w:hAnsi="Tahoma" w:cs="Tahoma"/>
                <w:color w:val="000000"/>
              </w:rPr>
            </w:pPr>
          </w:p>
        </w:tc>
      </w:tr>
      <w:tr w:rsidR="004B4C79"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4B4C79" w:rsidRPr="00C83DF5" w:rsidRDefault="004B4C79" w:rsidP="0019427D">
            <w:pPr>
              <w:pStyle w:val="AppendixTableText"/>
              <w:spacing w:after="20"/>
              <w:jc w:val="left"/>
              <w:rPr>
                <w:rFonts w:ascii="Tahoma" w:hAnsi="Tahoma" w:cs="Tahoma"/>
              </w:rPr>
            </w:pPr>
            <w:r w:rsidRPr="00C83DF5">
              <w:rPr>
                <w:rFonts w:ascii="Tahoma" w:hAnsi="Tahoma" w:cs="Tahoma"/>
              </w:rPr>
              <w:t>Step Up-Lizenz</w:t>
            </w:r>
          </w:p>
        </w:tc>
        <w:tc>
          <w:tcPr>
            <w:tcW w:w="1611"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94" w:type="dxa"/>
            <w:tcBorders>
              <w:top w:val="single" w:sz="6" w:space="0" w:color="auto"/>
              <w:left w:val="single" w:sz="6" w:space="0" w:color="auto"/>
              <w:bottom w:val="single" w:sz="6" w:space="0" w:color="auto"/>
              <w:right w:val="single" w:sz="6"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Nein</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r w:rsidRPr="00C83DF5">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p>
        </w:tc>
        <w:tc>
          <w:tcPr>
            <w:tcW w:w="1278" w:type="dxa"/>
            <w:tcBorders>
              <w:top w:val="single" w:sz="6" w:space="0" w:color="auto"/>
              <w:left w:val="single" w:sz="6" w:space="0" w:color="auto"/>
              <w:bottom w:val="single" w:sz="6" w:space="0" w:color="auto"/>
              <w:right w:val="single" w:sz="4" w:space="0" w:color="auto"/>
            </w:tcBorders>
            <w:vAlign w:val="center"/>
          </w:tcPr>
          <w:p w:rsidR="004B4C79" w:rsidRPr="00C83DF5" w:rsidRDefault="004B4C79" w:rsidP="00E06FE8">
            <w:pPr>
              <w:pStyle w:val="AppendixTableText"/>
              <w:rPr>
                <w:rFonts w:ascii="Tahoma" w:hAnsi="Tahoma" w:cs="Tahoma"/>
              </w:rPr>
            </w:pPr>
          </w:p>
        </w:tc>
      </w:tr>
      <w:tr w:rsidR="00870095"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870095" w:rsidRPr="00C83DF5" w:rsidRDefault="00870095" w:rsidP="0019427D">
            <w:pPr>
              <w:pStyle w:val="AppendixTableText"/>
              <w:spacing w:after="20"/>
              <w:jc w:val="left"/>
              <w:rPr>
                <w:rFonts w:ascii="Tahoma" w:hAnsi="Tahoma" w:cs="Tahoma"/>
              </w:rPr>
            </w:pPr>
            <w:r w:rsidRPr="00C83DF5">
              <w:rPr>
                <w:rFonts w:ascii="Tahoma" w:hAnsi="Tahoma" w:cs="Tahoma"/>
              </w:rPr>
              <w:t>Windows 8 Enterprise Sideloading</w:t>
            </w:r>
          </w:p>
        </w:tc>
        <w:tc>
          <w:tcPr>
            <w:tcW w:w="1611" w:type="dxa"/>
            <w:tcBorders>
              <w:top w:val="single" w:sz="6" w:space="0" w:color="auto"/>
              <w:left w:val="single" w:sz="6" w:space="0" w:color="auto"/>
              <w:bottom w:val="single" w:sz="6" w:space="0" w:color="auto"/>
              <w:right w:val="single" w:sz="6" w:space="0" w:color="auto"/>
            </w:tcBorders>
            <w:vAlign w:val="center"/>
          </w:tcPr>
          <w:p w:rsidR="00870095" w:rsidRPr="00C83DF5" w:rsidRDefault="00870095" w:rsidP="00E06FE8">
            <w:pPr>
              <w:pStyle w:val="AppendixTableText"/>
              <w:rPr>
                <w:rFonts w:ascii="Tahoma" w:hAnsi="Tahoma" w:cs="Tahoma"/>
              </w:rPr>
            </w:pPr>
          </w:p>
        </w:tc>
        <w:tc>
          <w:tcPr>
            <w:tcW w:w="1494" w:type="dxa"/>
            <w:tcBorders>
              <w:top w:val="single" w:sz="6" w:space="0" w:color="auto"/>
              <w:left w:val="single" w:sz="6" w:space="0" w:color="auto"/>
              <w:bottom w:val="single" w:sz="6" w:space="0" w:color="auto"/>
              <w:right w:val="single" w:sz="6" w:space="0" w:color="auto"/>
            </w:tcBorders>
            <w:vAlign w:val="center"/>
          </w:tcPr>
          <w:p w:rsidR="00870095" w:rsidRPr="00C83DF5" w:rsidRDefault="00870095" w:rsidP="00E06FE8">
            <w:pPr>
              <w:pStyle w:val="AppendixTableText"/>
              <w:rPr>
                <w:rFonts w:ascii="Tahoma" w:hAnsi="Tahoma" w:cs="Tahoma"/>
              </w:rPr>
            </w:pPr>
            <w:r w:rsidRPr="00C83DF5">
              <w:rPr>
                <w:rFonts w:ascii="Tahoma" w:hAnsi="Tahoma" w:cs="Tahoma"/>
              </w:rPr>
              <w:t>Ja</w:t>
            </w:r>
            <w:r w:rsidRPr="00C83DF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C83DF5"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C83DF5" w:rsidRDefault="00175615" w:rsidP="00E06FE8">
            <w:pPr>
              <w:pStyle w:val="AppendixTableText"/>
              <w:rPr>
                <w:rFonts w:ascii="Tahoma" w:hAnsi="Tahoma" w:cs="Tahoma"/>
              </w:rPr>
            </w:pPr>
            <w:r w:rsidRPr="00C83DF5">
              <w:rPr>
                <w:rFonts w:ascii="Tahoma" w:hAnsi="Tahoma" w:cs="Tahoma"/>
              </w:rPr>
              <w:t>Ja</w:t>
            </w:r>
          </w:p>
        </w:tc>
        <w:tc>
          <w:tcPr>
            <w:tcW w:w="1278" w:type="dxa"/>
            <w:tcBorders>
              <w:top w:val="single" w:sz="6" w:space="0" w:color="auto"/>
              <w:left w:val="single" w:sz="6" w:space="0" w:color="auto"/>
              <w:bottom w:val="single" w:sz="6" w:space="0" w:color="auto"/>
              <w:right w:val="single" w:sz="4" w:space="0" w:color="auto"/>
            </w:tcBorders>
            <w:vAlign w:val="center"/>
          </w:tcPr>
          <w:p w:rsidR="00870095" w:rsidRPr="00C83DF5" w:rsidRDefault="00870095" w:rsidP="00E06FE8">
            <w:pPr>
              <w:pStyle w:val="AppendixTableText"/>
              <w:rPr>
                <w:rFonts w:ascii="Tahoma" w:hAnsi="Tahoma" w:cs="Tahoma"/>
              </w:rPr>
            </w:pPr>
          </w:p>
        </w:tc>
      </w:tr>
      <w:tr w:rsidR="00175615" w:rsidRPr="00C83DF5" w:rsidTr="00273BDA">
        <w:trPr>
          <w:trHeight w:val="255"/>
        </w:trPr>
        <w:tc>
          <w:tcPr>
            <w:tcW w:w="2374" w:type="dxa"/>
            <w:tcBorders>
              <w:top w:val="single" w:sz="6" w:space="0" w:color="auto"/>
              <w:left w:val="single" w:sz="4" w:space="0" w:color="auto"/>
              <w:bottom w:val="single" w:sz="6" w:space="0" w:color="auto"/>
              <w:right w:val="single" w:sz="6" w:space="0" w:color="auto"/>
            </w:tcBorders>
            <w:vAlign w:val="bottom"/>
          </w:tcPr>
          <w:p w:rsidR="00175615" w:rsidRPr="00C83DF5" w:rsidRDefault="00175615" w:rsidP="0019427D">
            <w:pPr>
              <w:pStyle w:val="AppendixTableText"/>
              <w:spacing w:after="20"/>
              <w:jc w:val="left"/>
              <w:rPr>
                <w:rFonts w:ascii="Tahoma" w:hAnsi="Tahoma" w:cs="Tahoma"/>
              </w:rPr>
            </w:pPr>
            <w:r w:rsidRPr="00C83DF5">
              <w:rPr>
                <w:rFonts w:ascii="Tahoma" w:hAnsi="Tahoma" w:cs="Tahoma"/>
              </w:rPr>
              <w:t>Windows Companion-Abonnementlizenz</w:t>
            </w:r>
          </w:p>
        </w:tc>
        <w:tc>
          <w:tcPr>
            <w:tcW w:w="1611" w:type="dxa"/>
            <w:tcBorders>
              <w:top w:val="single" w:sz="6" w:space="0" w:color="auto"/>
              <w:left w:val="single" w:sz="6" w:space="0" w:color="auto"/>
              <w:bottom w:val="single" w:sz="6" w:space="0" w:color="auto"/>
              <w:right w:val="single" w:sz="6" w:space="0" w:color="auto"/>
            </w:tcBorders>
            <w:vAlign w:val="center"/>
          </w:tcPr>
          <w:p w:rsidR="00175615" w:rsidRPr="00C83DF5" w:rsidRDefault="00175615" w:rsidP="00E06FE8">
            <w:pPr>
              <w:pStyle w:val="AppendixTableText"/>
              <w:rPr>
                <w:rFonts w:ascii="Tahoma" w:hAnsi="Tahoma" w:cs="Tahoma"/>
              </w:rPr>
            </w:pPr>
          </w:p>
        </w:tc>
        <w:tc>
          <w:tcPr>
            <w:tcW w:w="1494" w:type="dxa"/>
            <w:tcBorders>
              <w:top w:val="single" w:sz="6" w:space="0" w:color="auto"/>
              <w:left w:val="single" w:sz="6" w:space="0" w:color="auto"/>
              <w:bottom w:val="single" w:sz="6" w:space="0" w:color="auto"/>
              <w:right w:val="single" w:sz="6" w:space="0" w:color="auto"/>
            </w:tcBorders>
            <w:vAlign w:val="center"/>
          </w:tcPr>
          <w:p w:rsidR="00175615" w:rsidRPr="00C83DF5" w:rsidRDefault="00175615" w:rsidP="00E06FE8">
            <w:pPr>
              <w:pStyle w:val="AppendixTableText"/>
              <w:rPr>
                <w:rFonts w:ascii="Tahoma" w:hAnsi="Tahoma" w:cs="Tahoma"/>
              </w:rPr>
            </w:pPr>
            <w:r w:rsidRPr="00C83DF5">
              <w:rPr>
                <w:rFonts w:ascii="Tahoma" w:hAnsi="Tahoma" w:cs="Tahoma"/>
              </w:rPr>
              <w:t>Ja</w:t>
            </w:r>
            <w:r w:rsidRPr="00C83DF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C83DF5"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C83DF5" w:rsidRDefault="00175615" w:rsidP="00E06FE8">
            <w:pPr>
              <w:pStyle w:val="AppendixTableText"/>
              <w:rPr>
                <w:rFonts w:ascii="Tahoma" w:hAnsi="Tahoma" w:cs="Tahoma"/>
              </w:rPr>
            </w:pPr>
            <w:r w:rsidRPr="00C83DF5">
              <w:rPr>
                <w:rFonts w:ascii="Tahoma" w:hAnsi="Tahoma" w:cs="Tahoma"/>
              </w:rPr>
              <w:t>Ja</w:t>
            </w:r>
          </w:p>
        </w:tc>
        <w:tc>
          <w:tcPr>
            <w:tcW w:w="1278" w:type="dxa"/>
            <w:tcBorders>
              <w:top w:val="single" w:sz="6" w:space="0" w:color="auto"/>
              <w:left w:val="single" w:sz="6" w:space="0" w:color="auto"/>
              <w:bottom w:val="single" w:sz="6" w:space="0" w:color="auto"/>
              <w:right w:val="single" w:sz="4" w:space="0" w:color="auto"/>
            </w:tcBorders>
            <w:vAlign w:val="center"/>
          </w:tcPr>
          <w:p w:rsidR="00175615" w:rsidRPr="00C83DF5" w:rsidRDefault="00175615" w:rsidP="00E06FE8">
            <w:pPr>
              <w:pStyle w:val="AppendixTableText"/>
              <w:rPr>
                <w:rFonts w:ascii="Tahoma" w:hAnsi="Tahoma" w:cs="Tahoma"/>
              </w:rPr>
            </w:pPr>
          </w:p>
        </w:tc>
      </w:tr>
    </w:tbl>
    <w:p w:rsidR="00023FE7" w:rsidRPr="00543CC8" w:rsidRDefault="00023FE7" w:rsidP="003A4B07">
      <w:pPr>
        <w:pStyle w:val="AppendixBodyText"/>
        <w:ind w:right="180"/>
        <w:rPr>
          <w:sz w:val="16"/>
          <w:szCs w:val="16"/>
          <w:lang w:val="de-DE"/>
        </w:rPr>
      </w:pPr>
      <w:r w:rsidRPr="00543CC8">
        <w:rPr>
          <w:rFonts w:ascii="Tahoma" w:hAnsi="Tahoma" w:cs="Tahoma"/>
          <w:i/>
          <w:sz w:val="16"/>
          <w:szCs w:val="16"/>
          <w:lang w:val="de-DE"/>
        </w:rPr>
        <w:t>*„Ja</w:t>
      </w:r>
      <w:r w:rsidRPr="00543CC8">
        <w:rPr>
          <w:rFonts w:ascii="Tahoma" w:hAnsi="Tahoma" w:cs="Tahoma"/>
          <w:iCs/>
          <w:sz w:val="16"/>
          <w:szCs w:val="16"/>
          <w:lang w:val="de-DE"/>
        </w:rPr>
        <w:t>“</w:t>
      </w:r>
      <w:r w:rsidRPr="00543CC8">
        <w:rPr>
          <w:rFonts w:ascii="Tahoma" w:hAnsi="Tahoma" w:cs="Tahoma"/>
          <w:i/>
          <w:sz w:val="16"/>
          <w:szCs w:val="16"/>
          <w:lang w:val="de-DE"/>
        </w:rPr>
        <w:t xml:space="preserve"> im Diagramm bedeutet, Mitgliedschaft bei Software Assurance, Erwerb von Software Assurance für qualifizierende Produkte</w:t>
      </w:r>
      <w:r w:rsidR="003A4B07" w:rsidRPr="00543CC8">
        <w:rPr>
          <w:rFonts w:ascii="Tahoma" w:hAnsi="Tahoma" w:cs="Tahoma"/>
          <w:i/>
          <w:sz w:val="16"/>
          <w:szCs w:val="16"/>
          <w:lang w:val="de-DE"/>
        </w:rPr>
        <w:t> </w:t>
      </w:r>
      <w:r w:rsidRPr="00543CC8">
        <w:rPr>
          <w:rFonts w:ascii="Tahoma" w:hAnsi="Tahoma" w:cs="Tahoma"/>
          <w:i/>
          <w:sz w:val="16"/>
          <w:szCs w:val="16"/>
          <w:lang w:val="de-DE"/>
        </w:rPr>
        <w:t>oder SA-Ausgaben für qualifizierende Produkte innerhalb dieses Pools oder Erwerb von Windows Intune (Pro</w:t>
      </w:r>
      <w:r w:rsidR="003A4B07" w:rsidRPr="00543CC8">
        <w:rPr>
          <w:rFonts w:ascii="Tahoma" w:hAnsi="Tahoma" w:cs="Tahoma"/>
          <w:i/>
          <w:sz w:val="16"/>
          <w:szCs w:val="16"/>
          <w:lang w:val="de-DE"/>
        </w:rPr>
        <w:t> </w:t>
      </w:r>
      <w:r w:rsidRPr="00543CC8">
        <w:rPr>
          <w:rFonts w:ascii="Tahoma" w:hAnsi="Tahoma" w:cs="Tahoma"/>
          <w:i/>
          <w:sz w:val="16"/>
          <w:szCs w:val="16"/>
          <w:lang w:val="de-DE"/>
        </w:rPr>
        <w:t>Gerät)/qualifizierender Office 365 Suite würden den Kunden für diese Vergünstigung qualifizieren.</w:t>
      </w:r>
    </w:p>
    <w:p w:rsidR="00023FE7" w:rsidRPr="00543CC8" w:rsidRDefault="00023FE7">
      <w:pPr>
        <w:pStyle w:val="AppendixBodyText"/>
        <w:ind w:right="180"/>
        <w:rPr>
          <w:sz w:val="16"/>
          <w:szCs w:val="16"/>
          <w:lang w:val="de-DE"/>
        </w:rPr>
      </w:pPr>
      <w:r w:rsidRPr="00543CC8">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rsidR="00023FE7" w:rsidRPr="00543CC8" w:rsidRDefault="00302B84" w:rsidP="00A65C58">
      <w:pPr>
        <w:pStyle w:val="AppendixBodyText"/>
        <w:spacing w:after="0"/>
        <w:rPr>
          <w:sz w:val="16"/>
          <w:szCs w:val="16"/>
          <w:lang w:val="de-DE"/>
        </w:rPr>
      </w:pPr>
      <w:r w:rsidRPr="00543CC8">
        <w:rPr>
          <w:rFonts w:ascii="Tahoma" w:hAnsi="Tahoma" w:cs="Tahoma"/>
          <w:i/>
          <w:sz w:val="16"/>
          <w:szCs w:val="16"/>
          <w:lang w:val="de-DE"/>
        </w:rPr>
        <w:t>***Grundsätzlich enthalten Abonnementangebote mit Softwarekomponenten, die aus versionierter Software bestehen, Rechte</w:t>
      </w:r>
      <w:r w:rsidR="00A65C58">
        <w:rPr>
          <w:rFonts w:ascii="Tahoma" w:hAnsi="Tahoma" w:cs="Tahoma"/>
          <w:i/>
          <w:sz w:val="16"/>
          <w:szCs w:val="16"/>
          <w:lang w:val="de-DE"/>
        </w:rPr>
        <w:t> </w:t>
      </w:r>
      <w:r w:rsidRPr="00543CC8">
        <w:rPr>
          <w:rFonts w:ascii="Tahoma" w:hAnsi="Tahoma" w:cs="Tahoma"/>
          <w:i/>
          <w:sz w:val="16"/>
          <w:szCs w:val="16"/>
          <w:lang w:val="de-DE"/>
        </w:rPr>
        <w:t>für</w:t>
      </w:r>
      <w:r w:rsidR="003A4B07" w:rsidRPr="00543CC8">
        <w:rPr>
          <w:rFonts w:ascii="Tahoma" w:hAnsi="Tahoma" w:cs="Tahoma"/>
          <w:i/>
          <w:sz w:val="16"/>
          <w:szCs w:val="16"/>
          <w:lang w:val="de-DE"/>
        </w:rPr>
        <w:t> </w:t>
      </w:r>
      <w:r w:rsidRPr="00543CC8">
        <w:rPr>
          <w:rFonts w:ascii="Tahoma" w:hAnsi="Tahoma" w:cs="Tahoma"/>
          <w:i/>
          <w:sz w:val="16"/>
          <w:szCs w:val="16"/>
          <w:lang w:val="de-DE"/>
        </w:rPr>
        <w:t>neue Versionen für diese Komponenten.</w:t>
      </w:r>
    </w:p>
    <w:p w:rsidR="00E0729E" w:rsidRPr="00543CC8" w:rsidRDefault="00E0729E" w:rsidP="00A65C58">
      <w:pPr>
        <w:pStyle w:val="AppendixBodyText"/>
        <w:spacing w:after="0"/>
        <w:ind w:left="90" w:hanging="90"/>
        <w:rPr>
          <w:sz w:val="16"/>
          <w:szCs w:val="16"/>
          <w:lang w:val="de-DE"/>
        </w:rPr>
      </w:pPr>
      <w:r w:rsidRPr="00A65C58">
        <w:rPr>
          <w:rFonts w:ascii="Tahoma" w:hAnsi="Tahoma" w:cs="Tahoma"/>
          <w:vertAlign w:val="superscript"/>
          <w:lang w:val="de-DE"/>
        </w:rPr>
        <w:t>1</w:t>
      </w:r>
      <w:r w:rsidR="00A65C58">
        <w:rPr>
          <w:rFonts w:ascii="Tahoma" w:hAnsi="Tahoma" w:cs="Tahoma"/>
          <w:vertAlign w:val="superscript"/>
          <w:lang w:val="de-DE"/>
        </w:rPr>
        <w:tab/>
      </w:r>
      <w:r w:rsidRPr="00543CC8">
        <w:rPr>
          <w:rFonts w:ascii="Tahoma" w:hAnsi="Tahoma" w:cs="Tahoma"/>
          <w:i/>
          <w:sz w:val="16"/>
          <w:szCs w:val="16"/>
          <w:lang w:val="de-DE"/>
        </w:rPr>
        <w:t>Keine Software Assurance-Vergünstigung für Windows Embedded 8-Produkte.</w:t>
      </w:r>
    </w:p>
    <w:p w:rsidR="00E0729E" w:rsidRPr="00543CC8" w:rsidRDefault="00E0729E" w:rsidP="00A65C58">
      <w:pPr>
        <w:pStyle w:val="AppendixBodyText"/>
        <w:spacing w:after="0"/>
        <w:ind w:left="90" w:hanging="90"/>
        <w:rPr>
          <w:sz w:val="16"/>
          <w:szCs w:val="16"/>
          <w:lang w:val="de-DE"/>
        </w:rPr>
      </w:pPr>
      <w:r w:rsidRPr="00A65C58">
        <w:rPr>
          <w:rFonts w:ascii="Tahoma" w:hAnsi="Tahoma" w:cs="Tahoma"/>
          <w:vertAlign w:val="superscript"/>
          <w:lang w:val="de-DE"/>
        </w:rPr>
        <w:t>2</w:t>
      </w:r>
      <w:r w:rsidR="00A65C58">
        <w:rPr>
          <w:rFonts w:ascii="Tahoma" w:hAnsi="Tahoma" w:cs="Tahoma"/>
          <w:vertAlign w:val="superscript"/>
          <w:lang w:val="de-DE"/>
        </w:rPr>
        <w:tab/>
      </w:r>
      <w:r w:rsidRPr="00543CC8">
        <w:rPr>
          <w:rFonts w:ascii="Tahoma" w:hAnsi="Tahoma" w:cs="Tahoma"/>
          <w:i/>
          <w:sz w:val="16"/>
          <w:szCs w:val="16"/>
          <w:lang w:val="de-DE"/>
        </w:rPr>
        <w:t>Software Assurance für Windows 8 Embedded-Produkte lässt lokale Virtualisierungsrechte zu, aber nicht den Zugriff auf virtualisierte Remoteinstanzen der Software.</w:t>
      </w:r>
    </w:p>
    <w:p w:rsidR="00302B84" w:rsidRPr="00C83DF5" w:rsidRDefault="00302B84" w:rsidP="0045693C">
      <w:pPr>
        <w:rPr>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4D388E" w:rsidTr="00AA4F5D">
        <w:trPr>
          <w:trHeight w:val="286"/>
        </w:trPr>
        <w:tc>
          <w:tcPr>
            <w:tcW w:w="8280" w:type="dxa"/>
            <w:shd w:val="clear" w:color="auto" w:fill="FFCC99"/>
            <w:vAlign w:val="center"/>
          </w:tcPr>
          <w:p w:rsidR="00AD6AD6" w:rsidRPr="00C83DF5" w:rsidRDefault="00AD6AD6" w:rsidP="004B54F7">
            <w:pPr>
              <w:pStyle w:val="AppendixTableHeadings"/>
              <w:rPr>
                <w:rFonts w:ascii="Tahoma" w:hAnsi="Tahoma" w:cs="Tahoma"/>
                <w:sz w:val="20"/>
                <w:szCs w:val="20"/>
                <w:lang w:val="de-DE"/>
              </w:rPr>
            </w:pPr>
            <w:r w:rsidRPr="00C83DF5">
              <w:rPr>
                <w:rFonts w:ascii="Tahoma" w:hAnsi="Tahoma" w:cs="Tahoma"/>
                <w:sz w:val="20"/>
                <w:szCs w:val="20"/>
                <w:lang w:val="de-DE"/>
              </w:rPr>
              <w:t>Produkte aus dem Office System-Anwendungs-Pool</w:t>
            </w:r>
          </w:p>
        </w:tc>
      </w:tr>
      <w:tr w:rsidR="00AD6AD6" w:rsidRPr="00C83DF5" w:rsidTr="0044720D">
        <w:trPr>
          <w:trHeight w:val="438"/>
        </w:trPr>
        <w:tc>
          <w:tcPr>
            <w:tcW w:w="8280" w:type="dxa"/>
            <w:vAlign w:val="center"/>
          </w:tcPr>
          <w:p w:rsidR="00AD6AD6" w:rsidRPr="00B525B3" w:rsidRDefault="00AD6AD6" w:rsidP="004B54F7">
            <w:pPr>
              <w:spacing w:line="240" w:lineRule="atLeast"/>
            </w:pPr>
            <w:r w:rsidRPr="00B525B3">
              <w:rPr>
                <w:rFonts w:cs="Tahoma"/>
                <w:color w:val="000000"/>
                <w:szCs w:val="18"/>
              </w:rPr>
              <w:t>Office Standard 2013</w:t>
            </w:r>
          </w:p>
          <w:p w:rsidR="00AD6AD6" w:rsidRPr="00B525B3" w:rsidRDefault="00AD6AD6" w:rsidP="004B54F7">
            <w:pPr>
              <w:spacing w:line="240" w:lineRule="atLeast"/>
            </w:pPr>
            <w:r w:rsidRPr="00B525B3">
              <w:rPr>
                <w:rFonts w:cs="Tahoma"/>
                <w:color w:val="000000"/>
                <w:szCs w:val="18"/>
              </w:rPr>
              <w:t xml:space="preserve">Office Professional Plus 2013 </w:t>
            </w:r>
          </w:p>
          <w:p w:rsidR="00AD6AD6" w:rsidRPr="00B525B3" w:rsidRDefault="00AD6AD6" w:rsidP="004B54F7">
            <w:pPr>
              <w:spacing w:line="240" w:lineRule="atLeast"/>
            </w:pPr>
            <w:r w:rsidRPr="00B525B3">
              <w:rPr>
                <w:rFonts w:cs="Tahoma"/>
                <w:color w:val="000000"/>
                <w:szCs w:val="18"/>
              </w:rPr>
              <w:t>Project Standard 2013</w:t>
            </w:r>
          </w:p>
          <w:p w:rsidR="00AD6AD6" w:rsidRPr="00B525B3" w:rsidRDefault="00AD6AD6" w:rsidP="004B54F7">
            <w:pPr>
              <w:spacing w:line="240" w:lineRule="atLeast"/>
            </w:pPr>
            <w:r w:rsidRPr="00B525B3">
              <w:rPr>
                <w:rFonts w:cs="Tahoma"/>
                <w:color w:val="000000"/>
                <w:szCs w:val="18"/>
              </w:rPr>
              <w:t>Project Professional 2013</w:t>
            </w:r>
          </w:p>
          <w:p w:rsidR="00AD6AD6" w:rsidRPr="00B525B3" w:rsidRDefault="00AD6AD6" w:rsidP="004B54F7">
            <w:pPr>
              <w:spacing w:line="240" w:lineRule="atLeast"/>
            </w:pPr>
            <w:r w:rsidRPr="00B525B3">
              <w:rPr>
                <w:rFonts w:cs="Tahoma"/>
                <w:color w:val="000000"/>
                <w:szCs w:val="18"/>
              </w:rPr>
              <w:t>Visio</w:t>
            </w:r>
            <w:r w:rsidRPr="00B525B3">
              <w:rPr>
                <w:rFonts w:cs="Tahoma"/>
                <w:color w:val="000000"/>
                <w:szCs w:val="18"/>
                <w:vertAlign w:val="superscript"/>
              </w:rPr>
              <w:t>®</w:t>
            </w:r>
            <w:r w:rsidRPr="00B525B3">
              <w:rPr>
                <w:rFonts w:cs="Tahoma"/>
                <w:color w:val="000000"/>
                <w:szCs w:val="18"/>
              </w:rPr>
              <w:t xml:space="preserve"> Standard 2013</w:t>
            </w:r>
          </w:p>
          <w:p w:rsidR="00AD6AD6" w:rsidRPr="00B525B3" w:rsidRDefault="00AD6AD6" w:rsidP="004B54F7">
            <w:pPr>
              <w:spacing w:line="240" w:lineRule="atLeast"/>
            </w:pPr>
            <w:r w:rsidRPr="00B525B3">
              <w:rPr>
                <w:rFonts w:cs="Tahoma"/>
                <w:color w:val="000000"/>
                <w:szCs w:val="18"/>
              </w:rPr>
              <w:t>Visio</w:t>
            </w:r>
            <w:r w:rsidRPr="00B525B3">
              <w:rPr>
                <w:rFonts w:cs="Tahoma"/>
                <w:color w:val="000000"/>
                <w:szCs w:val="18"/>
                <w:vertAlign w:val="superscript"/>
              </w:rPr>
              <w:t>®</w:t>
            </w:r>
            <w:r w:rsidRPr="00B525B3">
              <w:rPr>
                <w:rFonts w:cs="Tahoma"/>
                <w:color w:val="000000"/>
                <w:szCs w:val="18"/>
              </w:rPr>
              <w:t xml:space="preserve"> Professional 2013</w:t>
            </w:r>
          </w:p>
          <w:p w:rsidR="00AD6AD6" w:rsidRPr="00B525B3" w:rsidRDefault="00AD6AD6" w:rsidP="004B54F7">
            <w:pPr>
              <w:spacing w:line="240" w:lineRule="atLeast"/>
            </w:pPr>
            <w:r w:rsidRPr="00B525B3">
              <w:rPr>
                <w:rFonts w:cs="Tahoma"/>
                <w:color w:val="000000"/>
                <w:szCs w:val="18"/>
              </w:rPr>
              <w:t>Access 2013</w:t>
            </w:r>
          </w:p>
          <w:p w:rsidR="00AD6AD6" w:rsidRPr="00B525B3" w:rsidRDefault="00AD6AD6" w:rsidP="004B54F7">
            <w:pPr>
              <w:spacing w:line="240" w:lineRule="atLeast"/>
            </w:pPr>
            <w:r w:rsidRPr="00B525B3">
              <w:rPr>
                <w:rFonts w:cs="Tahoma"/>
                <w:color w:val="000000"/>
                <w:szCs w:val="18"/>
              </w:rPr>
              <w:t xml:space="preserve">Excel 2013 </w:t>
            </w:r>
          </w:p>
          <w:p w:rsidR="00AD6AD6" w:rsidRPr="00B525B3" w:rsidRDefault="00AD6AD6" w:rsidP="004B54F7">
            <w:pPr>
              <w:spacing w:line="240" w:lineRule="atLeast"/>
            </w:pPr>
            <w:r w:rsidRPr="00B525B3">
              <w:rPr>
                <w:rFonts w:cs="Tahoma"/>
                <w:color w:val="000000"/>
                <w:szCs w:val="18"/>
              </w:rPr>
              <w:t>InfoPath</w:t>
            </w:r>
            <w:r w:rsidRPr="00B525B3">
              <w:rPr>
                <w:rFonts w:cs="Tahoma"/>
                <w:color w:val="000000"/>
                <w:szCs w:val="18"/>
                <w:vertAlign w:val="superscript"/>
              </w:rPr>
              <w:t>®</w:t>
            </w:r>
            <w:r w:rsidRPr="00B525B3">
              <w:rPr>
                <w:rFonts w:cs="Tahoma"/>
                <w:color w:val="000000"/>
                <w:szCs w:val="18"/>
              </w:rPr>
              <w:t xml:space="preserve"> 2013</w:t>
            </w:r>
          </w:p>
          <w:p w:rsidR="00AD6AD6" w:rsidRPr="00B525B3" w:rsidRDefault="00AD6AD6" w:rsidP="004B54F7">
            <w:pPr>
              <w:spacing w:line="240" w:lineRule="atLeast"/>
            </w:pPr>
            <w:r w:rsidRPr="00B525B3">
              <w:rPr>
                <w:rFonts w:cs="Tahoma"/>
                <w:color w:val="000000"/>
                <w:szCs w:val="18"/>
              </w:rPr>
              <w:t>Lync 2013</w:t>
            </w:r>
          </w:p>
          <w:p w:rsidR="00AD6AD6" w:rsidRPr="00B525B3" w:rsidRDefault="00AD6AD6" w:rsidP="004B54F7">
            <w:pPr>
              <w:spacing w:line="240" w:lineRule="atLeast"/>
            </w:pPr>
            <w:r w:rsidRPr="00B525B3">
              <w:rPr>
                <w:rFonts w:cs="Tahoma"/>
                <w:color w:val="000000"/>
                <w:szCs w:val="18"/>
              </w:rPr>
              <w:t>OneNote™ 2013</w:t>
            </w:r>
          </w:p>
          <w:p w:rsidR="00AD6AD6" w:rsidRPr="00B525B3" w:rsidRDefault="00AD6AD6" w:rsidP="004B54F7">
            <w:pPr>
              <w:spacing w:line="240" w:lineRule="atLeast"/>
            </w:pPr>
            <w:r w:rsidRPr="00B525B3">
              <w:rPr>
                <w:rFonts w:cs="Tahoma"/>
                <w:color w:val="000000"/>
                <w:szCs w:val="18"/>
              </w:rPr>
              <w:t>Outlook</w:t>
            </w:r>
            <w:r w:rsidRPr="00B525B3">
              <w:rPr>
                <w:rFonts w:cs="Tahoma"/>
                <w:color w:val="000000"/>
                <w:szCs w:val="18"/>
                <w:vertAlign w:val="superscript"/>
              </w:rPr>
              <w:t>®</w:t>
            </w:r>
            <w:r w:rsidRPr="00B525B3">
              <w:rPr>
                <w:rFonts w:cs="Tahoma"/>
                <w:color w:val="000000"/>
                <w:szCs w:val="18"/>
              </w:rPr>
              <w:t xml:space="preserve"> 2013</w:t>
            </w:r>
          </w:p>
          <w:p w:rsidR="00AD6AD6" w:rsidRPr="00C83DF5" w:rsidRDefault="00AD6AD6" w:rsidP="004B54F7">
            <w:pPr>
              <w:spacing w:line="240" w:lineRule="atLeast"/>
            </w:pPr>
            <w:r w:rsidRPr="00C83DF5">
              <w:rPr>
                <w:rFonts w:cs="Tahoma"/>
                <w:color w:val="000000"/>
                <w:szCs w:val="18"/>
              </w:rPr>
              <w:t>PowerPoint</w:t>
            </w:r>
            <w:r w:rsidRPr="003A4B07">
              <w:rPr>
                <w:rFonts w:cs="Tahoma"/>
                <w:color w:val="000000"/>
                <w:szCs w:val="18"/>
                <w:vertAlign w:val="superscript"/>
              </w:rPr>
              <w:t>®</w:t>
            </w:r>
            <w:r w:rsidRPr="00C83DF5">
              <w:rPr>
                <w:rFonts w:cs="Tahoma"/>
                <w:color w:val="000000"/>
                <w:szCs w:val="18"/>
              </w:rPr>
              <w:t xml:space="preserve"> 2013</w:t>
            </w:r>
          </w:p>
          <w:p w:rsidR="00AD6AD6" w:rsidRPr="00C83DF5" w:rsidRDefault="00AD6AD6" w:rsidP="004B54F7">
            <w:pPr>
              <w:spacing w:line="240" w:lineRule="atLeast"/>
            </w:pPr>
            <w:r w:rsidRPr="00C83DF5">
              <w:rPr>
                <w:rFonts w:cs="Tahoma"/>
                <w:color w:val="000000"/>
                <w:szCs w:val="18"/>
              </w:rPr>
              <w:t>Publisher 2013</w:t>
            </w:r>
          </w:p>
          <w:p w:rsidR="00AD6AD6" w:rsidRPr="00C83DF5" w:rsidRDefault="00AD6AD6" w:rsidP="004B54F7">
            <w:pPr>
              <w:spacing w:line="240" w:lineRule="atLeast"/>
            </w:pPr>
            <w:r w:rsidRPr="00C83DF5">
              <w:rPr>
                <w:rFonts w:cs="Tahoma"/>
                <w:color w:val="000000"/>
                <w:szCs w:val="18"/>
              </w:rPr>
              <w:t>Word 2013</w:t>
            </w:r>
          </w:p>
          <w:p w:rsidR="00AD6AD6" w:rsidRPr="00C83DF5" w:rsidRDefault="00AD6AD6" w:rsidP="004B54F7">
            <w:pPr>
              <w:spacing w:line="240" w:lineRule="atLeast"/>
            </w:pPr>
            <w:r w:rsidRPr="00C83DF5">
              <w:rPr>
                <w:rFonts w:cs="Tahoma"/>
                <w:color w:val="000000"/>
                <w:szCs w:val="18"/>
              </w:rPr>
              <w:t xml:space="preserve">Office für Mac Standard 2011 </w:t>
            </w:r>
          </w:p>
          <w:p w:rsidR="00AD6AD6" w:rsidRPr="00C83DF5" w:rsidRDefault="00AD6AD6" w:rsidP="004B54F7">
            <w:pPr>
              <w:spacing w:line="240" w:lineRule="atLeast"/>
              <w:rPr>
                <w:lang w:val="de-DE"/>
              </w:rPr>
            </w:pPr>
            <w:r w:rsidRPr="00C83DF5">
              <w:rPr>
                <w:rFonts w:cs="Tahoma"/>
                <w:color w:val="000000"/>
                <w:szCs w:val="18"/>
                <w:lang w:val="de-DE"/>
              </w:rPr>
              <w:t>Lync für Mac 2011</w:t>
            </w:r>
          </w:p>
          <w:p w:rsidR="00061A45" w:rsidRPr="00C83DF5" w:rsidRDefault="007C4ADB" w:rsidP="004B54F7">
            <w:pPr>
              <w:spacing w:line="240" w:lineRule="atLeast"/>
              <w:rPr>
                <w:lang w:val="de-DE"/>
              </w:rPr>
            </w:pPr>
            <w:r w:rsidRPr="00C83DF5">
              <w:rPr>
                <w:rFonts w:cs="Tahoma"/>
                <w:color w:val="000000"/>
                <w:szCs w:val="18"/>
                <w:lang w:val="de-DE"/>
              </w:rPr>
              <w:t>Outlook für Mac 2011</w:t>
            </w:r>
          </w:p>
          <w:p w:rsidR="00AD6AD6" w:rsidRPr="00C83DF5" w:rsidRDefault="00AD6AD6" w:rsidP="004B54F7">
            <w:pPr>
              <w:spacing w:line="240" w:lineRule="atLeast"/>
              <w:rPr>
                <w:lang w:val="de-DE"/>
              </w:rPr>
            </w:pPr>
            <w:r w:rsidRPr="00C83DF5">
              <w:rPr>
                <w:rFonts w:cs="Tahoma"/>
                <w:color w:val="000000"/>
                <w:szCs w:val="18"/>
                <w:lang w:val="de-DE"/>
              </w:rPr>
              <w:t>PowerPoint für Mac 2011</w:t>
            </w:r>
          </w:p>
          <w:p w:rsidR="00AD6AD6" w:rsidRPr="00C83DF5" w:rsidRDefault="00AD6AD6" w:rsidP="004B54F7">
            <w:pPr>
              <w:spacing w:line="240" w:lineRule="atLeast"/>
              <w:rPr>
                <w:lang w:val="de-DE"/>
              </w:rPr>
            </w:pPr>
            <w:r w:rsidRPr="00C83DF5">
              <w:rPr>
                <w:rFonts w:cs="Tahoma"/>
                <w:color w:val="000000"/>
                <w:szCs w:val="18"/>
                <w:lang w:val="de-DE"/>
              </w:rPr>
              <w:t>Excel für Mac 2011</w:t>
            </w:r>
          </w:p>
          <w:p w:rsidR="00AD6AD6" w:rsidRPr="00C83DF5" w:rsidRDefault="00AD6AD6" w:rsidP="004B54F7">
            <w:pPr>
              <w:spacing w:line="240" w:lineRule="atLeast"/>
              <w:rPr>
                <w:rFonts w:cs="Tahoma"/>
                <w:color w:val="000000"/>
                <w:szCs w:val="18"/>
              </w:rPr>
            </w:pPr>
            <w:r w:rsidRPr="00C83DF5">
              <w:rPr>
                <w:rFonts w:cs="Tahoma"/>
                <w:color w:val="000000"/>
                <w:szCs w:val="18"/>
              </w:rPr>
              <w:t>Word für Mac 2011</w:t>
            </w:r>
          </w:p>
        </w:tc>
      </w:tr>
    </w:tbl>
    <w:p w:rsidR="00D8064F" w:rsidRPr="00C83DF5" w:rsidRDefault="00AD6AD6" w:rsidP="0044720D">
      <w:pPr>
        <w:pStyle w:val="AppendixBodyText"/>
        <w:spacing w:after="0"/>
        <w:ind w:firstLine="550"/>
        <w:rPr>
          <w:lang w:val="de-DE"/>
        </w:rPr>
      </w:pPr>
      <w:r w:rsidRPr="00C83DF5">
        <w:rPr>
          <w:rFonts w:ascii="Tahoma" w:hAnsi="Tahoma" w:cs="Tahoma"/>
          <w:b/>
          <w:i/>
          <w:sz w:val="16"/>
          <w:szCs w:val="16"/>
          <w:lang w:val="de-DE"/>
        </w:rPr>
        <w:t>Anmerkung:</w:t>
      </w:r>
      <w:r w:rsidRPr="00C83DF5">
        <w:rPr>
          <w:rFonts w:ascii="Tahoma" w:hAnsi="Tahoma" w:cs="Tahoma"/>
          <w:i/>
          <w:sz w:val="16"/>
          <w:szCs w:val="16"/>
          <w:lang w:val="de-DE"/>
        </w:rPr>
        <w:t xml:space="preserve"> Änderungen der Liste der Produkte aus dem Office System-Anwendungs-Pool sind vorbehalten.</w:t>
      </w:r>
    </w:p>
    <w:p w:rsidR="00BA0707" w:rsidRPr="00C83DF5" w:rsidRDefault="00BA0707" w:rsidP="0063466C">
      <w:pPr>
        <w:pStyle w:val="AppendixBodyText"/>
        <w:spacing w:after="0"/>
        <w:rPr>
          <w:lang w:val="de-DE"/>
        </w:rPr>
      </w:pPr>
    </w:p>
    <w:p w:rsidR="00023FE7" w:rsidRPr="00C83DF5" w:rsidRDefault="00023FE7">
      <w:pPr>
        <w:pStyle w:val="Heading2"/>
        <w:ind w:left="0"/>
        <w:rPr>
          <w:lang w:val="de-DE"/>
        </w:rPr>
      </w:pPr>
      <w:bookmarkStart w:id="708" w:name="_Toc336338228"/>
      <w:bookmarkStart w:id="709" w:name="_Toc370983337"/>
      <w:r w:rsidRPr="00C83DF5">
        <w:rPr>
          <w:rFonts w:ascii="Tahoma" w:hAnsi="Tahoma"/>
          <w:lang w:val="de-DE"/>
        </w:rPr>
        <w:lastRenderedPageBreak/>
        <w:t>Rechte für neue Versionen</w:t>
      </w:r>
      <w:bookmarkEnd w:id="708"/>
      <w:bookmarkEnd w:id="709"/>
    </w:p>
    <w:p w:rsidR="00023FE7" w:rsidRPr="00F037D5" w:rsidRDefault="00023FE7" w:rsidP="00BA0707">
      <w:pPr>
        <w:rPr>
          <w:rFonts w:cs="Tahoma"/>
          <w:lang w:val="de-DE"/>
        </w:rPr>
      </w:pPr>
    </w:p>
    <w:p w:rsidR="00023FE7" w:rsidRPr="00C83DF5" w:rsidRDefault="00023FE7" w:rsidP="0067513B">
      <w:pPr>
        <w:pStyle w:val="AppendixBodyText"/>
        <w:spacing w:after="0"/>
        <w:rPr>
          <w:lang w:val="de-DE"/>
        </w:rPr>
      </w:pPr>
      <w:r w:rsidRPr="00C83DF5">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00E71F46" w:rsidRPr="00C83DF5">
        <w:rPr>
          <w:rFonts w:ascii="Tahoma" w:hAnsi="Tahoma" w:cs="Tahoma"/>
          <w:color w:val="000000"/>
          <w:sz w:val="18"/>
          <w:lang w:val="de-DE"/>
        </w:rPr>
        <w:t xml:space="preserve"> </w:t>
      </w:r>
      <w:r w:rsidRPr="00C83DF5">
        <w:rPr>
          <w:rFonts w:ascii="Tahoma" w:hAnsi="Tahoma" w:cs="Tahoma"/>
          <w:color w:val="000000"/>
          <w:sz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E71F46" w:rsidRPr="00C83DF5">
        <w:rPr>
          <w:rFonts w:ascii="Tahoma" w:hAnsi="Tahoma" w:cs="Tahoma"/>
          <w:color w:val="000000"/>
          <w:sz w:val="18"/>
          <w:lang w:val="de-DE"/>
        </w:rPr>
        <w:t xml:space="preserve"> </w:t>
      </w:r>
      <w:r w:rsidRPr="00C83DF5">
        <w:rPr>
          <w:rFonts w:ascii="Tahoma" w:hAnsi="Tahoma" w:cs="Tahoma"/>
          <w:color w:val="000000"/>
          <w:sz w:val="18"/>
          <w:lang w:val="de-DE"/>
        </w:rPr>
        <w:t>Beispiel: Wenn während der Software Assurance-Laufzeit eine</w:t>
      </w:r>
      <w:r w:rsidR="0067513B">
        <w:rPr>
          <w:rFonts w:ascii="Tahoma" w:hAnsi="Tahoma" w:cs="Tahoma"/>
          <w:color w:val="000000"/>
          <w:sz w:val="18"/>
          <w:lang w:val="de-DE"/>
        </w:rPr>
        <w:t> </w:t>
      </w:r>
      <w:r w:rsidRPr="00C83DF5">
        <w:rPr>
          <w:rFonts w:ascii="Tahoma" w:hAnsi="Tahoma" w:cs="Tahoma"/>
          <w:color w:val="000000"/>
          <w:sz w:val="18"/>
          <w:lang w:val="de-DE"/>
        </w:rPr>
        <w:t>neue Version von Microsoft Office zur Verfügung gestellt wird, werden Ihre Lizenzen automatisch auf die neue</w:t>
      </w:r>
      <w:r w:rsidR="0067513B">
        <w:rPr>
          <w:rFonts w:ascii="Tahoma" w:hAnsi="Tahoma" w:cs="Tahoma"/>
          <w:color w:val="000000"/>
          <w:sz w:val="18"/>
          <w:lang w:val="de-DE"/>
        </w:rPr>
        <w:t> </w:t>
      </w:r>
      <w:r w:rsidRPr="00C83DF5">
        <w:rPr>
          <w:rFonts w:ascii="Tahoma" w:hAnsi="Tahoma" w:cs="Tahoma"/>
          <w:color w:val="000000"/>
          <w:sz w:val="18"/>
          <w:lang w:val="de-DE"/>
        </w:rPr>
        <w:t>Version upgegradet. Kunden, die zeitlich unbeschränkte Lizenzen über Software Assurance erwerben, können</w:t>
      </w:r>
      <w:r w:rsidR="0067513B">
        <w:rPr>
          <w:rFonts w:ascii="Tahoma" w:hAnsi="Tahoma" w:cs="Tahoma"/>
          <w:color w:val="000000"/>
          <w:sz w:val="18"/>
          <w:lang w:val="de-DE"/>
        </w:rPr>
        <w:t> </w:t>
      </w:r>
      <w:r w:rsidRPr="00C83DF5">
        <w:rPr>
          <w:rFonts w:ascii="Tahoma" w:hAnsi="Tahoma" w:cs="Tahoma"/>
          <w:color w:val="000000"/>
          <w:sz w:val="18"/>
          <w:lang w:val="de-DE"/>
        </w:rPr>
        <w:t>die Upgrades nach Ablauf von Software Assurance bereitstellen.</w:t>
      </w:r>
    </w:p>
    <w:p w:rsidR="00BA0707" w:rsidRPr="00C83DF5" w:rsidRDefault="00BA0707" w:rsidP="0063466C">
      <w:pPr>
        <w:pStyle w:val="AppendixBodyText"/>
        <w:spacing w:after="0"/>
        <w:rPr>
          <w:lang w:val="de-DE"/>
        </w:rPr>
      </w:pPr>
    </w:p>
    <w:p w:rsidR="00023FE7" w:rsidRPr="00C83DF5" w:rsidRDefault="00023FE7">
      <w:pPr>
        <w:pStyle w:val="Heading2"/>
        <w:ind w:left="0"/>
      </w:pPr>
      <w:bookmarkStart w:id="710" w:name="_Toc336338229"/>
      <w:bookmarkStart w:id="711" w:name="_Toc370983338"/>
      <w:r w:rsidRPr="00C83DF5">
        <w:rPr>
          <w:rFonts w:ascii="Tahoma" w:hAnsi="Tahoma"/>
        </w:rPr>
        <w:t>Office Multi Language Pack</w:t>
      </w:r>
      <w:bookmarkEnd w:id="710"/>
      <w:bookmarkEnd w:id="711"/>
    </w:p>
    <w:p w:rsidR="00023FE7" w:rsidRPr="0034544C" w:rsidRDefault="00023FE7" w:rsidP="00BA0707">
      <w:pPr>
        <w:rPr>
          <w:rFonts w:cs="Tahoma"/>
          <w:color w:val="000000"/>
          <w:szCs w:val="18"/>
        </w:rPr>
      </w:pPr>
    </w:p>
    <w:p w:rsidR="0063466C" w:rsidRPr="00C83DF5" w:rsidRDefault="00E7419A" w:rsidP="0063466C">
      <w:pPr>
        <w:spacing w:after="60"/>
        <w:jc w:val="both"/>
      </w:pPr>
      <w:r w:rsidRPr="00C83DF5">
        <w:rPr>
          <w:rFonts w:cs="Tahoma"/>
          <w:b/>
          <w:szCs w:val="18"/>
        </w:rPr>
        <w:t>Software Assurance-Kunden</w:t>
      </w:r>
    </w:p>
    <w:p w:rsidR="00E7419A" w:rsidRPr="00C83DF5" w:rsidRDefault="00E7419A" w:rsidP="00E7419A">
      <w:pPr>
        <w:jc w:val="both"/>
        <w:rPr>
          <w:lang w:val="de-DE"/>
        </w:rPr>
      </w:pPr>
      <w:r w:rsidRPr="00C83DF5">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rsidR="0063466C" w:rsidRPr="00F037D5" w:rsidRDefault="0063466C" w:rsidP="00E7419A">
      <w:pPr>
        <w:jc w:val="both"/>
        <w:rPr>
          <w:rFonts w:cs="Tahoma"/>
          <w:szCs w:val="18"/>
          <w:lang w:val="de-DE"/>
        </w:rPr>
      </w:pPr>
    </w:p>
    <w:p w:rsidR="0063466C" w:rsidRPr="00C83DF5" w:rsidRDefault="00E7419A" w:rsidP="0063466C">
      <w:pPr>
        <w:spacing w:after="60"/>
        <w:jc w:val="both"/>
        <w:rPr>
          <w:lang w:val="de-DE"/>
        </w:rPr>
      </w:pPr>
      <w:r w:rsidRPr="00C83DF5">
        <w:rPr>
          <w:rFonts w:cs="Tahoma"/>
          <w:b/>
          <w:szCs w:val="18"/>
          <w:lang w:val="de-DE"/>
        </w:rPr>
        <w:t>Für Onlinedienste-Vergünstigungen berechtigte Kunden</w:t>
      </w:r>
    </w:p>
    <w:p w:rsidR="00E7419A" w:rsidRPr="00C83DF5" w:rsidRDefault="00E7419A" w:rsidP="00E7419A">
      <w:pPr>
        <w:jc w:val="both"/>
        <w:rPr>
          <w:lang w:val="de-DE"/>
        </w:rPr>
      </w:pPr>
      <w:r w:rsidRPr="00C83DF5">
        <w:rPr>
          <w:rFonts w:cs="Tahoma"/>
          <w:szCs w:val="18"/>
          <w:lang w:val="de-DE"/>
        </w:rPr>
        <w:t xml:space="preserve">Kunden mit Office 365 ProPlus und Office 365 Enterprise E3 und E4 sind während der Laufzeit ihres Beitritts zu dieser Vergünstigung berechtigt. </w:t>
      </w:r>
    </w:p>
    <w:p w:rsidR="00023FE7" w:rsidRPr="00F037D5" w:rsidRDefault="00023FE7" w:rsidP="00BA0707">
      <w:pPr>
        <w:jc w:val="both"/>
        <w:rPr>
          <w:rFonts w:cs="Tahoma"/>
          <w:szCs w:val="18"/>
          <w:lang w:val="de-DE"/>
        </w:rPr>
      </w:pPr>
    </w:p>
    <w:p w:rsidR="00023FE7" w:rsidRPr="00C83DF5" w:rsidRDefault="00023FE7">
      <w:pPr>
        <w:jc w:val="both"/>
        <w:rPr>
          <w:lang w:val="de-DE"/>
        </w:rPr>
      </w:pPr>
      <w:r w:rsidRPr="00C83DF5">
        <w:rPr>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E71F46" w:rsidRPr="00C83DF5">
        <w:rPr>
          <w:lang w:val="de-DE"/>
        </w:rPr>
        <w:t xml:space="preserve"> </w:t>
      </w:r>
      <w:r w:rsidRPr="00C83DF5">
        <w:rPr>
          <w:lang w:val="de-DE"/>
        </w:rPr>
        <w:t xml:space="preserve">Andernfalls läuft das Recht zur Nutzung des Office Multi Language Pack mit Ablauf der Rechte unter der qualifizierenden Office System-Lizenz ab. </w:t>
      </w:r>
    </w:p>
    <w:p w:rsidR="00BA0707" w:rsidRPr="00F037D5" w:rsidRDefault="00BA0707" w:rsidP="00BA0707">
      <w:pPr>
        <w:jc w:val="both"/>
        <w:rPr>
          <w:lang w:val="de-DE"/>
        </w:rPr>
      </w:pPr>
    </w:p>
    <w:p w:rsidR="000D4ECA" w:rsidRPr="00C83DF5" w:rsidRDefault="000D4ECA" w:rsidP="0047054A">
      <w:pPr>
        <w:keepNext/>
        <w:outlineLvl w:val="1"/>
        <w:rPr>
          <w:lang w:val="de-DE"/>
        </w:rPr>
      </w:pPr>
      <w:bookmarkStart w:id="712" w:name="_Toc291204555"/>
      <w:r w:rsidRPr="00C83DF5">
        <w:rPr>
          <w:b/>
          <w:sz w:val="24"/>
          <w:szCs w:val="24"/>
          <w:lang w:val="de-DE"/>
        </w:rPr>
        <w:t>Planning Services</w:t>
      </w:r>
      <w:bookmarkEnd w:id="712"/>
    </w:p>
    <w:p w:rsidR="000D4ECA" w:rsidRPr="00C83DF5" w:rsidRDefault="000D4ECA" w:rsidP="0047054A">
      <w:pPr>
        <w:keepNext/>
        <w:rPr>
          <w:lang w:val="de-DE"/>
        </w:rPr>
      </w:pPr>
    </w:p>
    <w:p w:rsidR="000D4ECA" w:rsidRPr="00C83DF5" w:rsidRDefault="000D4ECA" w:rsidP="008B6E64">
      <w:pPr>
        <w:spacing w:after="60"/>
      </w:pPr>
      <w:r w:rsidRPr="00C83DF5">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E71F46" w:rsidRPr="00C83DF5">
        <w:rPr>
          <w:rFonts w:cs="Tahoma"/>
          <w:color w:val="000000"/>
          <w:szCs w:val="18"/>
          <w:lang w:val="de-DE"/>
        </w:rPr>
        <w:t xml:space="preserve"> </w:t>
      </w:r>
      <w:r w:rsidRPr="00C83DF5">
        <w:rPr>
          <w:rFonts w:cs="Tahoma"/>
          <w:color w:val="000000"/>
          <w:szCs w:val="18"/>
          <w:lang w:val="de-DE"/>
        </w:rPr>
        <w:t>Die Planning Services-Vergünstigung bietet qualifizierenden Kunden vorab festgelegte, angepasste Serviceangebote.</w:t>
      </w:r>
      <w:r w:rsidR="00E71F46" w:rsidRPr="00C83DF5">
        <w:rPr>
          <w:rFonts w:cs="Tahoma"/>
          <w:color w:val="000000"/>
          <w:szCs w:val="18"/>
          <w:lang w:val="de-DE"/>
        </w:rPr>
        <w:t xml:space="preserve"> </w:t>
      </w:r>
      <w:r w:rsidRPr="00C83DF5">
        <w:rPr>
          <w:rFonts w:cs="Tahoma"/>
          <w:color w:val="000000"/>
          <w:szCs w:val="18"/>
        </w:rPr>
        <w:t>Zu den verfügbaren Angeboten gehören</w:t>
      </w:r>
      <w:r w:rsidR="008B6E64">
        <w:rPr>
          <w:rFonts w:cs="Tahoma"/>
          <w:color w:val="000000"/>
          <w:szCs w:val="18"/>
        </w:rPr>
        <w:t> </w:t>
      </w:r>
      <w:r w:rsidRPr="00C83DF5">
        <w:rPr>
          <w:rFonts w:cs="Tahoma"/>
          <w:color w:val="000000"/>
          <w:szCs w:val="18"/>
        </w:rPr>
        <w:t>folgende:</w:t>
      </w:r>
    </w:p>
    <w:p w:rsidR="000D4ECA" w:rsidRPr="00C83DF5" w:rsidRDefault="000D4ECA" w:rsidP="0063466C"/>
    <w:p w:rsidR="000D4ECA" w:rsidRPr="00C83DF5" w:rsidRDefault="000D4ECA" w:rsidP="00024C3C">
      <w:pPr>
        <w:numPr>
          <w:ilvl w:val="0"/>
          <w:numId w:val="10"/>
        </w:numPr>
        <w:spacing w:after="60" w:line="276" w:lineRule="auto"/>
      </w:pPr>
      <w:r w:rsidRPr="00C83DF5">
        <w:rPr>
          <w:rFonts w:cs="Tahoma"/>
          <w:color w:val="000000"/>
          <w:szCs w:val="18"/>
        </w:rPr>
        <w:t>Desktop Deployment Planning Services (DDPS)</w:t>
      </w:r>
    </w:p>
    <w:p w:rsidR="000D4ECA" w:rsidRPr="00C83DF5" w:rsidRDefault="000D4ECA" w:rsidP="00424CF9">
      <w:pPr>
        <w:numPr>
          <w:ilvl w:val="1"/>
          <w:numId w:val="104"/>
        </w:numPr>
        <w:spacing w:after="60" w:line="276" w:lineRule="auto"/>
        <w:ind w:left="1980"/>
        <w:rPr>
          <w:lang w:val="de-DE"/>
        </w:rPr>
      </w:pPr>
      <w:r w:rsidRPr="00C83DF5">
        <w:rPr>
          <w:rFonts w:cs="Tahoma"/>
          <w:color w:val="000000"/>
          <w:szCs w:val="18"/>
          <w:lang w:val="de-DE"/>
        </w:rPr>
        <w:t>Beschreibung: DDPS bietet Kunden die grundlegenden Analyse-, Planungs- und technischen Verfahrensweisen, die für den Start der Desktop-Bereitstellung mit Office 2010 und Windows 8 erforderlich sind. Dieses Angebot basiert auf den bewährten Methoden von Microsoft zur Desktop-Bereitstellung und unterstützt Kunden dabei, die Kosten, Risiken</w:t>
      </w:r>
      <w:r w:rsidR="00424CF9">
        <w:rPr>
          <w:rFonts w:cs="Tahoma"/>
          <w:color w:val="000000"/>
          <w:szCs w:val="18"/>
          <w:lang w:val="de-DE"/>
        </w:rPr>
        <w:t> </w:t>
      </w:r>
      <w:r w:rsidRPr="00C83DF5">
        <w:rPr>
          <w:rFonts w:cs="Tahoma"/>
          <w:color w:val="000000"/>
          <w:szCs w:val="18"/>
          <w:lang w:val="de-DE"/>
        </w:rPr>
        <w:t>und</w:t>
      </w:r>
      <w:r w:rsidR="00424CF9">
        <w:rPr>
          <w:rFonts w:cs="Tahoma"/>
          <w:color w:val="000000"/>
          <w:szCs w:val="18"/>
          <w:lang w:val="de-DE"/>
        </w:rPr>
        <w:t> </w:t>
      </w:r>
      <w:r w:rsidRPr="00C83DF5">
        <w:rPr>
          <w:rFonts w:cs="Tahoma"/>
          <w:color w:val="000000"/>
          <w:szCs w:val="18"/>
          <w:lang w:val="de-DE"/>
        </w:rPr>
        <w:t>die Komplexität von Bereitstellungen durch einen hohen Prozess- und Automatisierungsgrad zu senken. DDPS kann Unternehmen außerdem bei der Bewertung</w:t>
      </w:r>
      <w:r w:rsidR="00424CF9">
        <w:rPr>
          <w:rFonts w:cs="Tahoma"/>
          <w:color w:val="000000"/>
          <w:szCs w:val="18"/>
          <w:lang w:val="de-DE"/>
        </w:rPr>
        <w:t> </w:t>
      </w:r>
      <w:r w:rsidRPr="00C83DF5">
        <w:rPr>
          <w:rFonts w:cs="Tahoma"/>
          <w:color w:val="000000"/>
          <w:szCs w:val="18"/>
          <w:lang w:val="de-DE"/>
        </w:rPr>
        <w:t>von Office 365 unterstützen, indem die Überlegungen und Anforderungen für</w:t>
      </w:r>
      <w:r w:rsidR="00424CF9">
        <w:rPr>
          <w:rFonts w:cs="Tahoma"/>
          <w:color w:val="000000"/>
          <w:szCs w:val="18"/>
          <w:lang w:val="de-DE"/>
        </w:rPr>
        <w:t> </w:t>
      </w:r>
      <w:r w:rsidRPr="00C83DF5">
        <w:rPr>
          <w:rFonts w:cs="Tahoma"/>
          <w:color w:val="000000"/>
          <w:szCs w:val="18"/>
          <w:lang w:val="de-DE"/>
        </w:rPr>
        <w:t>die</w:t>
      </w:r>
      <w:r w:rsidR="00424CF9">
        <w:rPr>
          <w:rFonts w:cs="Tahoma"/>
          <w:color w:val="000000"/>
          <w:szCs w:val="18"/>
          <w:lang w:val="de-DE"/>
        </w:rPr>
        <w:t> </w:t>
      </w:r>
      <w:r w:rsidRPr="00C83DF5">
        <w:rPr>
          <w:rFonts w:cs="Tahoma"/>
          <w:color w:val="000000"/>
          <w:szCs w:val="18"/>
          <w:lang w:val="de-DE"/>
        </w:rPr>
        <w:t>Einführung einer cloudfähigen Desktop-Umgebung berücksichtigt werden.</w:t>
      </w:r>
    </w:p>
    <w:p w:rsidR="000D4ECA" w:rsidRPr="008F08DE" w:rsidRDefault="000D4ECA" w:rsidP="00346F4B">
      <w:pPr>
        <w:numPr>
          <w:ilvl w:val="1"/>
          <w:numId w:val="104"/>
        </w:numPr>
        <w:spacing w:after="60" w:line="276" w:lineRule="auto"/>
        <w:ind w:left="1980"/>
      </w:pPr>
      <w:r w:rsidRPr="00C83DF5">
        <w:rPr>
          <w:rFonts w:cs="Tahoma"/>
          <w:color w:val="000000"/>
          <w:szCs w:val="18"/>
        </w:rPr>
        <w:t>Servicelevels: 1, 3, 5, 10 oder 15 Tage</w:t>
      </w:r>
    </w:p>
    <w:p w:rsidR="008F08DE" w:rsidRDefault="008F08DE" w:rsidP="008F08DE">
      <w:pPr>
        <w:spacing w:after="60" w:line="276" w:lineRule="auto"/>
        <w:rPr>
          <w:rFonts w:cs="Tahoma"/>
          <w:color w:val="000000"/>
          <w:szCs w:val="18"/>
        </w:rPr>
      </w:pPr>
    </w:p>
    <w:p w:rsidR="008F08DE" w:rsidRDefault="008F08DE" w:rsidP="008F08DE">
      <w:pPr>
        <w:spacing w:after="60" w:line="276" w:lineRule="auto"/>
        <w:rPr>
          <w:rFonts w:cs="Tahoma"/>
          <w:color w:val="000000"/>
          <w:szCs w:val="18"/>
        </w:rPr>
      </w:pPr>
    </w:p>
    <w:p w:rsidR="008F08DE" w:rsidRDefault="008F08DE" w:rsidP="008F08DE">
      <w:pPr>
        <w:spacing w:after="60" w:line="276" w:lineRule="auto"/>
        <w:rPr>
          <w:rFonts w:cs="Tahoma"/>
          <w:color w:val="000000"/>
          <w:szCs w:val="18"/>
        </w:rPr>
      </w:pPr>
    </w:p>
    <w:p w:rsidR="008F08DE" w:rsidRDefault="008F08DE" w:rsidP="008F08DE">
      <w:pPr>
        <w:spacing w:after="60" w:line="276" w:lineRule="auto"/>
        <w:rPr>
          <w:rFonts w:cs="Tahoma"/>
          <w:color w:val="000000"/>
          <w:szCs w:val="18"/>
        </w:rPr>
      </w:pPr>
    </w:p>
    <w:p w:rsidR="008F08DE" w:rsidRPr="00C83DF5" w:rsidRDefault="008F08DE" w:rsidP="008F08DE">
      <w:pPr>
        <w:spacing w:after="60" w:line="276" w:lineRule="auto"/>
      </w:pPr>
    </w:p>
    <w:p w:rsidR="000D4ECA" w:rsidRPr="00C83DF5" w:rsidRDefault="000D4ECA" w:rsidP="00024C3C">
      <w:pPr>
        <w:numPr>
          <w:ilvl w:val="0"/>
          <w:numId w:val="11"/>
        </w:numPr>
        <w:spacing w:after="60" w:line="276" w:lineRule="auto"/>
        <w:ind w:left="1440"/>
      </w:pPr>
      <w:r w:rsidRPr="00C83DF5">
        <w:rPr>
          <w:rFonts w:cs="Tahoma"/>
          <w:color w:val="000000"/>
          <w:szCs w:val="18"/>
        </w:rPr>
        <w:t>SharePoint Deployment Planning Services (SDPS)</w:t>
      </w:r>
    </w:p>
    <w:p w:rsidR="000D4ECA" w:rsidRPr="00C83DF5" w:rsidRDefault="000D4ECA" w:rsidP="0013130F">
      <w:pPr>
        <w:numPr>
          <w:ilvl w:val="1"/>
          <w:numId w:val="105"/>
        </w:numPr>
        <w:spacing w:after="60" w:line="276" w:lineRule="auto"/>
        <w:ind w:left="1980"/>
        <w:rPr>
          <w:lang w:val="de-DE"/>
        </w:rPr>
      </w:pPr>
      <w:r w:rsidRPr="00C83DF5">
        <w:rPr>
          <w:rFonts w:cs="Tahoma"/>
          <w:color w:val="000000"/>
          <w:szCs w:val="18"/>
          <w:lang w:val="de-DE"/>
        </w:rPr>
        <w:lastRenderedPageBreak/>
        <w:t>Beschreibung: SDPS ermöglicht es qualifizierten Partner und Microsoft-Beratern, Kunden bei</w:t>
      </w:r>
      <w:r w:rsidR="0013130F">
        <w:rPr>
          <w:rFonts w:cs="Tahoma"/>
          <w:color w:val="000000"/>
          <w:szCs w:val="18"/>
          <w:lang w:val="de-DE"/>
        </w:rPr>
        <w:t> </w:t>
      </w:r>
      <w:r w:rsidRPr="00C83DF5">
        <w:rPr>
          <w:rFonts w:cs="Tahoma"/>
          <w:color w:val="000000"/>
          <w:szCs w:val="18"/>
          <w:lang w:val="de-DE"/>
        </w:rPr>
        <w:t>der Ausarbeitung eines angepassten SharePoint Portal Server-Bereitstellungsplans für</w:t>
      </w:r>
      <w:r w:rsidR="0013130F">
        <w:rPr>
          <w:rFonts w:cs="Tahoma"/>
          <w:color w:val="000000"/>
          <w:szCs w:val="18"/>
          <w:lang w:val="de-DE"/>
        </w:rPr>
        <w:t> </w:t>
      </w:r>
      <w:r w:rsidRPr="00C83DF5">
        <w:rPr>
          <w:rFonts w:cs="Tahoma"/>
          <w:color w:val="000000"/>
          <w:szCs w:val="18"/>
          <w:lang w:val="de-DE"/>
        </w:rPr>
        <w:t>ihre spezifische Umgebung und bei der Abschätzung der Gesamtkosten für die Technologiebereitstellung zu unterstützen.</w:t>
      </w:r>
      <w:r w:rsidR="00E71F46" w:rsidRPr="00C83DF5">
        <w:rPr>
          <w:rFonts w:cs="Tahoma"/>
          <w:color w:val="000000"/>
          <w:szCs w:val="18"/>
          <w:lang w:val="de-DE"/>
        </w:rPr>
        <w:t xml:space="preserve"> </w:t>
      </w:r>
      <w:r w:rsidRPr="00C83DF5">
        <w:rPr>
          <w:rFonts w:cs="Tahoma"/>
          <w:color w:val="000000"/>
          <w:szCs w:val="18"/>
          <w:lang w:val="de-DE"/>
        </w:rPr>
        <w:t>SDPS kann Kunden außerdem bei der Bereitstellungsplanung zur Umstellung auf Office 365 unterstützen, wobei SharePoint Online im Vordergrund steht.</w:t>
      </w:r>
      <w:r w:rsidR="00E71F46" w:rsidRPr="00C83DF5">
        <w:rPr>
          <w:rFonts w:cs="Tahoma"/>
          <w:color w:val="000000"/>
          <w:szCs w:val="18"/>
          <w:lang w:val="de-DE"/>
        </w:rPr>
        <w:t xml:space="preserve"> </w:t>
      </w:r>
    </w:p>
    <w:p w:rsidR="000D4ECA" w:rsidRPr="00C83DF5" w:rsidRDefault="000D4ECA" w:rsidP="00346F4B">
      <w:pPr>
        <w:numPr>
          <w:ilvl w:val="1"/>
          <w:numId w:val="105"/>
        </w:numPr>
        <w:spacing w:after="60" w:line="276" w:lineRule="auto"/>
        <w:ind w:left="1980"/>
      </w:pPr>
      <w:r w:rsidRPr="00C83DF5">
        <w:rPr>
          <w:rFonts w:cs="Tahoma"/>
          <w:color w:val="000000"/>
          <w:szCs w:val="18"/>
        </w:rPr>
        <w:t>Servicelevels: 1, 3, 5, 10 oder 15 Tage</w:t>
      </w:r>
    </w:p>
    <w:p w:rsidR="000D4ECA" w:rsidRPr="00C83DF5" w:rsidRDefault="000D4ECA" w:rsidP="00024C3C">
      <w:pPr>
        <w:numPr>
          <w:ilvl w:val="0"/>
          <w:numId w:val="10"/>
        </w:numPr>
        <w:spacing w:after="60" w:line="276" w:lineRule="auto"/>
      </w:pPr>
      <w:r w:rsidRPr="00C83DF5">
        <w:rPr>
          <w:rFonts w:cs="Tahoma"/>
          <w:color w:val="000000"/>
          <w:szCs w:val="18"/>
        </w:rPr>
        <w:t>Lync und Exchange Deployment Planning Services (L&amp;EDPS)</w:t>
      </w:r>
    </w:p>
    <w:p w:rsidR="000D4ECA" w:rsidRPr="00C83DF5" w:rsidRDefault="000D4ECA" w:rsidP="008F08DE">
      <w:pPr>
        <w:numPr>
          <w:ilvl w:val="1"/>
          <w:numId w:val="106"/>
        </w:numPr>
        <w:spacing w:after="60" w:line="276" w:lineRule="auto"/>
        <w:ind w:left="1980"/>
        <w:rPr>
          <w:lang w:val="de-DE"/>
        </w:rPr>
      </w:pPr>
      <w:r w:rsidRPr="00C83DF5">
        <w:rPr>
          <w:rFonts w:cs="Tahoma"/>
          <w:color w:val="000000"/>
          <w:szCs w:val="18"/>
          <w:lang w:val="de-DE"/>
        </w:rPr>
        <w:t>Beschreibung: L&amp;EDPS ermöglicht es qualifizierten Partnern und Microsoft-Beratern, Kunden</w:t>
      </w:r>
      <w:r w:rsidR="008F08DE">
        <w:rPr>
          <w:rFonts w:cs="Tahoma"/>
          <w:color w:val="000000"/>
          <w:szCs w:val="18"/>
          <w:lang w:val="de-DE"/>
        </w:rPr>
        <w:t> </w:t>
      </w:r>
      <w:r w:rsidRPr="00C83DF5">
        <w:rPr>
          <w:rFonts w:cs="Tahoma"/>
          <w:color w:val="000000"/>
          <w:szCs w:val="18"/>
          <w:lang w:val="de-DE"/>
        </w:rPr>
        <w:t xml:space="preserve">durch die Wert- und Bereitstellungsplanungsphasen bei Lync- und </w:t>
      </w:r>
      <w:r w:rsidR="008F08DE">
        <w:rPr>
          <w:rFonts w:cs="Tahoma"/>
          <w:color w:val="000000"/>
          <w:szCs w:val="18"/>
          <w:lang w:val="de-DE"/>
        </w:rPr>
        <w:br/>
      </w:r>
      <w:r w:rsidRPr="00C83DF5">
        <w:rPr>
          <w:rFonts w:cs="Tahoma"/>
          <w:color w:val="000000"/>
          <w:szCs w:val="18"/>
          <w:lang w:val="de-DE"/>
        </w:rPr>
        <w:t>Exchange 2010-Implementierungen zu begleiten. Dazu gehören die Analyse der Umgebung</w:t>
      </w:r>
      <w:r w:rsidR="008F08DE">
        <w:rPr>
          <w:rFonts w:cs="Tahoma"/>
          <w:color w:val="000000"/>
          <w:szCs w:val="18"/>
          <w:lang w:val="de-DE"/>
        </w:rPr>
        <w:t> </w:t>
      </w:r>
      <w:r w:rsidRPr="00C83DF5">
        <w:rPr>
          <w:rFonts w:cs="Tahoma"/>
          <w:color w:val="000000"/>
          <w:szCs w:val="18"/>
          <w:lang w:val="de-DE"/>
        </w:rPr>
        <w:t>im Kundenunternehmen und der Austausch von bewährten Methoden, sowohl</w:t>
      </w:r>
      <w:r w:rsidR="008F08DE">
        <w:rPr>
          <w:rFonts w:cs="Tahoma"/>
          <w:color w:val="000000"/>
          <w:szCs w:val="18"/>
          <w:lang w:val="de-DE"/>
        </w:rPr>
        <w:t> </w:t>
      </w:r>
      <w:r w:rsidRPr="00C83DF5">
        <w:rPr>
          <w:rFonts w:cs="Tahoma"/>
          <w:color w:val="000000"/>
          <w:szCs w:val="18"/>
          <w:lang w:val="de-DE"/>
        </w:rPr>
        <w:t>für lokale als auch für Cloud-Lösungen.</w:t>
      </w:r>
      <w:r w:rsidR="00E71F46" w:rsidRPr="00C83DF5">
        <w:rPr>
          <w:rFonts w:cs="Tahoma"/>
          <w:color w:val="000000"/>
          <w:szCs w:val="18"/>
          <w:lang w:val="de-DE"/>
        </w:rPr>
        <w:t xml:space="preserve"> </w:t>
      </w:r>
      <w:r w:rsidRPr="00C83DF5">
        <w:rPr>
          <w:rFonts w:cs="Tahoma"/>
          <w:color w:val="000000"/>
          <w:szCs w:val="18"/>
          <w:lang w:val="de-DE"/>
        </w:rPr>
        <w:t>L&amp;EDPS kann Kunden außerdem bei der</w:t>
      </w:r>
      <w:r w:rsidR="008F08DE">
        <w:rPr>
          <w:rFonts w:cs="Tahoma"/>
          <w:color w:val="000000"/>
          <w:szCs w:val="18"/>
          <w:lang w:val="de-DE"/>
        </w:rPr>
        <w:t> </w:t>
      </w:r>
      <w:r w:rsidRPr="00C83DF5">
        <w:rPr>
          <w:rFonts w:cs="Tahoma"/>
          <w:color w:val="000000"/>
          <w:szCs w:val="18"/>
          <w:lang w:val="de-DE"/>
        </w:rPr>
        <w:t>Bereitstellungsplanung zur Umstellung auf Office 365 unterstützen, wobei Lync und</w:t>
      </w:r>
      <w:r w:rsidR="008F08DE">
        <w:rPr>
          <w:rFonts w:cs="Tahoma"/>
          <w:color w:val="000000"/>
          <w:szCs w:val="18"/>
          <w:lang w:val="de-DE"/>
        </w:rPr>
        <w:t> </w:t>
      </w:r>
      <w:r w:rsidRPr="00C83DF5">
        <w:rPr>
          <w:rFonts w:cs="Tahoma"/>
          <w:color w:val="000000"/>
          <w:szCs w:val="18"/>
          <w:lang w:val="de-DE"/>
        </w:rPr>
        <w:t>Exchange Online im Vordergrund stehen.</w:t>
      </w:r>
    </w:p>
    <w:p w:rsidR="000D4ECA" w:rsidRPr="00C83DF5" w:rsidRDefault="000D4ECA" w:rsidP="00346F4B">
      <w:pPr>
        <w:numPr>
          <w:ilvl w:val="1"/>
          <w:numId w:val="106"/>
        </w:numPr>
        <w:spacing w:after="60" w:line="276" w:lineRule="auto"/>
        <w:ind w:left="1980"/>
      </w:pPr>
      <w:r w:rsidRPr="00C83DF5">
        <w:rPr>
          <w:rFonts w:cs="Tahoma"/>
          <w:color w:val="000000"/>
          <w:szCs w:val="18"/>
        </w:rPr>
        <w:t>Servicelevels: 1, 3, 5, 10 oder 15 Tage</w:t>
      </w:r>
    </w:p>
    <w:p w:rsidR="000D4ECA" w:rsidRPr="00C83DF5" w:rsidRDefault="000D4ECA" w:rsidP="00024C3C">
      <w:pPr>
        <w:numPr>
          <w:ilvl w:val="0"/>
          <w:numId w:val="10"/>
        </w:numPr>
        <w:spacing w:after="60" w:line="276" w:lineRule="auto"/>
      </w:pPr>
      <w:r w:rsidRPr="00C83DF5">
        <w:rPr>
          <w:rFonts w:cs="Tahoma"/>
          <w:color w:val="000000"/>
          <w:szCs w:val="18"/>
        </w:rPr>
        <w:t>Private Cloud, Management und Virtualization Deployment Planning Services (PVDPS)</w:t>
      </w:r>
    </w:p>
    <w:p w:rsidR="000D4ECA" w:rsidRPr="00C83DF5" w:rsidRDefault="000D4ECA" w:rsidP="008F08DE">
      <w:pPr>
        <w:numPr>
          <w:ilvl w:val="1"/>
          <w:numId w:val="107"/>
        </w:numPr>
        <w:spacing w:after="60" w:line="276" w:lineRule="auto"/>
        <w:ind w:left="1980"/>
        <w:rPr>
          <w:lang w:val="de-DE"/>
        </w:rPr>
      </w:pPr>
      <w:r w:rsidRPr="00C83DF5">
        <w:rPr>
          <w:rFonts w:cs="Tahoma"/>
          <w:color w:val="000000"/>
          <w:szCs w:val="18"/>
          <w:lang w:val="de-DE"/>
        </w:rPr>
        <w:t xml:space="preserve">Beschreibung: </w:t>
      </w:r>
      <w:r w:rsidRPr="00C83DF5">
        <w:rPr>
          <w:rFonts w:cs="Tahoma"/>
          <w:szCs w:val="18"/>
          <w:lang w:val="de-DE"/>
        </w:rPr>
        <w:t xml:space="preserve">PVDPS bietet strukturierte Consultingeinsätze, mit denen Kunden Infrastrukturlösungen auf der Grundlage von Windows Server, Systems Center und </w:t>
      </w:r>
      <w:r w:rsidR="008F08DE">
        <w:rPr>
          <w:rFonts w:cs="Tahoma"/>
          <w:szCs w:val="18"/>
          <w:lang w:val="de-DE"/>
        </w:rPr>
        <w:br/>
      </w:r>
      <w:r w:rsidRPr="00C83DF5">
        <w:rPr>
          <w:rFonts w:cs="Tahoma"/>
          <w:szCs w:val="18"/>
          <w:lang w:val="de-DE"/>
        </w:rPr>
        <w:t>Hyper-V nutzen können. Mit diesem Service können Rechenzentrumskosten verringert, die</w:t>
      </w:r>
      <w:r w:rsidR="008F08DE">
        <w:rPr>
          <w:rFonts w:cs="Tahoma"/>
          <w:szCs w:val="18"/>
          <w:lang w:val="de-DE"/>
        </w:rPr>
        <w:t> </w:t>
      </w:r>
      <w:r w:rsidRPr="00C83DF5">
        <w:rPr>
          <w:rFonts w:cs="Tahoma"/>
          <w:szCs w:val="18"/>
          <w:lang w:val="de-DE"/>
        </w:rPr>
        <w:t>geschäftliche Flexibilität sowie die Kontrolle über die physische, virtuelle und hybride Infrastruktur des Kunden verbessert werden</w:t>
      </w:r>
      <w:r w:rsidRPr="00C83DF5">
        <w:rPr>
          <w:rFonts w:cs="Tahoma"/>
          <w:color w:val="000000"/>
          <w:szCs w:val="18"/>
          <w:lang w:val="de-DE"/>
        </w:rPr>
        <w:t xml:space="preserve">. </w:t>
      </w:r>
    </w:p>
    <w:p w:rsidR="000D4ECA" w:rsidRPr="00C83DF5" w:rsidRDefault="000D4ECA" w:rsidP="00346F4B">
      <w:pPr>
        <w:numPr>
          <w:ilvl w:val="1"/>
          <w:numId w:val="107"/>
        </w:numPr>
        <w:spacing w:after="60" w:line="276" w:lineRule="auto"/>
        <w:ind w:left="1980"/>
      </w:pPr>
      <w:r w:rsidRPr="00C83DF5">
        <w:rPr>
          <w:rFonts w:cs="Tahoma"/>
          <w:color w:val="000000"/>
          <w:szCs w:val="18"/>
        </w:rPr>
        <w:t>Servicelevels: 3, 5, 10 oder 15 Tage</w:t>
      </w:r>
    </w:p>
    <w:p w:rsidR="000D4ECA" w:rsidRPr="00C83DF5" w:rsidRDefault="000D4ECA" w:rsidP="00024C3C">
      <w:pPr>
        <w:numPr>
          <w:ilvl w:val="0"/>
          <w:numId w:val="10"/>
        </w:numPr>
        <w:spacing w:after="60" w:line="276" w:lineRule="auto"/>
      </w:pPr>
      <w:r w:rsidRPr="00C83DF5">
        <w:rPr>
          <w:rFonts w:cs="Tahoma"/>
          <w:color w:val="000000"/>
          <w:szCs w:val="18"/>
        </w:rPr>
        <w:t>SQL Server Deployment Planning Services (SSDPS)</w:t>
      </w:r>
    </w:p>
    <w:p w:rsidR="000D4ECA" w:rsidRPr="00C83DF5" w:rsidRDefault="000D4ECA" w:rsidP="00113359">
      <w:pPr>
        <w:numPr>
          <w:ilvl w:val="1"/>
          <w:numId w:val="108"/>
        </w:numPr>
        <w:spacing w:after="60" w:line="276" w:lineRule="auto"/>
        <w:ind w:left="1980"/>
        <w:rPr>
          <w:lang w:val="de-DE"/>
        </w:rPr>
      </w:pPr>
      <w:r w:rsidRPr="00C83DF5">
        <w:rPr>
          <w:rFonts w:cs="Tahoma"/>
          <w:color w:val="000000"/>
          <w:szCs w:val="18"/>
          <w:lang w:val="de-DE"/>
        </w:rPr>
        <w:t xml:space="preserve">Beschreibung: </w:t>
      </w:r>
      <w:r w:rsidRPr="00C83DF5">
        <w:rPr>
          <w:rFonts w:cs="Tahoma"/>
          <w:szCs w:val="18"/>
          <w:lang w:val="de-DE"/>
        </w:rPr>
        <w:t>SSDPS umfasst eine ausführliche Bewertung und Bereitstellungsplanung für</w:t>
      </w:r>
      <w:r w:rsidR="00113359">
        <w:rPr>
          <w:rFonts w:cs="Tahoma"/>
          <w:szCs w:val="18"/>
          <w:lang w:val="de-DE"/>
        </w:rPr>
        <w:t> </w:t>
      </w:r>
      <w:r w:rsidRPr="00C83DF5">
        <w:rPr>
          <w:rFonts w:cs="Tahoma"/>
          <w:szCs w:val="18"/>
          <w:lang w:val="de-DE"/>
        </w:rPr>
        <w:t>die Migration auf SQL Server, ein Upgrade auf die neue Version von SQL Server, die</w:t>
      </w:r>
      <w:r w:rsidR="00113359">
        <w:rPr>
          <w:rFonts w:cs="Tahoma"/>
          <w:szCs w:val="18"/>
          <w:lang w:val="de-DE"/>
        </w:rPr>
        <w:t> </w:t>
      </w:r>
      <w:r w:rsidRPr="00C83DF5">
        <w:rPr>
          <w:rFonts w:cs="Tahoma"/>
          <w:szCs w:val="18"/>
          <w:lang w:val="de-DE"/>
        </w:rPr>
        <w:t>SQL</w:t>
      </w:r>
      <w:r w:rsidR="00113359">
        <w:rPr>
          <w:rFonts w:cs="Tahoma"/>
          <w:szCs w:val="18"/>
          <w:lang w:val="de-DE"/>
        </w:rPr>
        <w:t> </w:t>
      </w:r>
      <w:r w:rsidRPr="00C83DF5">
        <w:rPr>
          <w:rFonts w:cs="Tahoma"/>
          <w:szCs w:val="18"/>
          <w:lang w:val="de-DE"/>
        </w:rPr>
        <w:t>Server Business Intelligence-Lösung und eine Bereitstellungsplanung für Microsoft</w:t>
      </w:r>
      <w:r w:rsidR="00113359">
        <w:rPr>
          <w:rFonts w:cs="Tahoma"/>
          <w:szCs w:val="18"/>
          <w:lang w:val="de-DE"/>
        </w:rPr>
        <w:t> </w:t>
      </w:r>
      <w:r w:rsidRPr="00C83DF5">
        <w:rPr>
          <w:rFonts w:cs="Tahoma"/>
          <w:szCs w:val="18"/>
          <w:lang w:val="de-DE"/>
        </w:rPr>
        <w:t>Dynamics CRM.</w:t>
      </w:r>
    </w:p>
    <w:p w:rsidR="000D4ECA" w:rsidRPr="00C83DF5" w:rsidRDefault="000D4ECA" w:rsidP="00346F4B">
      <w:pPr>
        <w:numPr>
          <w:ilvl w:val="1"/>
          <w:numId w:val="108"/>
        </w:numPr>
        <w:spacing w:after="60" w:line="276" w:lineRule="auto"/>
        <w:ind w:left="1980"/>
      </w:pPr>
      <w:r w:rsidRPr="00C83DF5">
        <w:rPr>
          <w:rFonts w:cs="Tahoma"/>
          <w:color w:val="000000"/>
          <w:szCs w:val="18"/>
        </w:rPr>
        <w:t>Servicelevels: 3, 5, 10 oder 15 Tage</w:t>
      </w:r>
    </w:p>
    <w:p w:rsidR="000D4ECA" w:rsidRPr="00C83DF5" w:rsidRDefault="000D4ECA" w:rsidP="00024C3C">
      <w:pPr>
        <w:numPr>
          <w:ilvl w:val="0"/>
          <w:numId w:val="10"/>
        </w:numPr>
        <w:spacing w:after="60" w:line="276" w:lineRule="auto"/>
      </w:pPr>
      <w:r w:rsidRPr="00C83DF5">
        <w:rPr>
          <w:rFonts w:cs="Tahoma"/>
          <w:color w:val="000000"/>
          <w:szCs w:val="18"/>
        </w:rPr>
        <w:t>Developer Tools Deployment Planning Services (DTDPS)</w:t>
      </w:r>
    </w:p>
    <w:p w:rsidR="000D4ECA" w:rsidRPr="00C83DF5" w:rsidRDefault="000D4ECA" w:rsidP="00113359">
      <w:pPr>
        <w:numPr>
          <w:ilvl w:val="1"/>
          <w:numId w:val="109"/>
        </w:numPr>
        <w:spacing w:after="60" w:line="276" w:lineRule="auto"/>
        <w:ind w:left="1980"/>
        <w:rPr>
          <w:lang w:val="de-DE"/>
        </w:rPr>
      </w:pPr>
      <w:r w:rsidRPr="00C83DF5">
        <w:rPr>
          <w:rFonts w:cs="Tahoma"/>
          <w:color w:val="000000"/>
          <w:szCs w:val="18"/>
          <w:lang w:val="de-DE"/>
        </w:rPr>
        <w:t xml:space="preserve">Beschreibung: </w:t>
      </w:r>
      <w:r w:rsidRPr="00C83DF5">
        <w:rPr>
          <w:rFonts w:cs="Tahoma"/>
          <w:szCs w:val="18"/>
          <w:lang w:val="de-DE"/>
        </w:rPr>
        <w:t>DTDPS umfasst eine genaue Analyse sowie einen prozessorientierten Ansatz</w:t>
      </w:r>
      <w:r w:rsidR="00113359">
        <w:rPr>
          <w:rFonts w:cs="Tahoma"/>
          <w:szCs w:val="18"/>
          <w:lang w:val="de-DE"/>
        </w:rPr>
        <w:t> </w:t>
      </w:r>
      <w:r w:rsidRPr="00C83DF5">
        <w:rPr>
          <w:rFonts w:cs="Tahoma"/>
          <w:szCs w:val="18"/>
          <w:lang w:val="de-DE"/>
        </w:rPr>
        <w:t>zur Entwicklung eines Bereitstellungsplans für Visual Studio Team Foundation Server</w:t>
      </w:r>
      <w:r w:rsidR="00113359">
        <w:rPr>
          <w:rFonts w:cs="Tahoma"/>
          <w:szCs w:val="18"/>
          <w:lang w:val="de-DE"/>
        </w:rPr>
        <w:t> </w:t>
      </w:r>
      <w:r w:rsidRPr="00C83DF5">
        <w:rPr>
          <w:rFonts w:cs="Tahoma"/>
          <w:szCs w:val="18"/>
          <w:lang w:val="de-DE"/>
        </w:rPr>
        <w:t>oder Visual Studio Test Tools.</w:t>
      </w:r>
      <w:r w:rsidR="00E71F46" w:rsidRPr="00C83DF5">
        <w:rPr>
          <w:rFonts w:cs="Tahoma"/>
          <w:szCs w:val="18"/>
          <w:lang w:val="de-DE"/>
        </w:rPr>
        <w:t xml:space="preserve"> </w:t>
      </w:r>
      <w:r w:rsidRPr="00C83DF5">
        <w:rPr>
          <w:rFonts w:cs="Tahoma"/>
          <w:szCs w:val="18"/>
          <w:lang w:val="de-DE"/>
        </w:rPr>
        <w:t>Anhand bewährter Methoden von Microsoft arbeitet ein</w:t>
      </w:r>
      <w:r w:rsidR="00113359">
        <w:rPr>
          <w:rFonts w:cs="Tahoma"/>
          <w:szCs w:val="18"/>
          <w:lang w:val="de-DE"/>
        </w:rPr>
        <w:t> </w:t>
      </w:r>
      <w:r w:rsidRPr="00C83DF5">
        <w:rPr>
          <w:rFonts w:cs="Tahoma"/>
          <w:szCs w:val="18"/>
          <w:lang w:val="de-DE"/>
        </w:rPr>
        <w:t>zertifizierter Partner einen individuellen Bereitstellungsplan aus, der auf die geschäftlichen Anforderungen abgestimmt ist</w:t>
      </w:r>
      <w:r w:rsidRPr="00C83DF5">
        <w:rPr>
          <w:rFonts w:cs="Tahoma"/>
          <w:color w:val="000000"/>
          <w:szCs w:val="18"/>
          <w:lang w:val="de-DE"/>
        </w:rPr>
        <w:t xml:space="preserve">. </w:t>
      </w:r>
    </w:p>
    <w:p w:rsidR="000D4ECA" w:rsidRPr="00C83DF5" w:rsidRDefault="000D4ECA" w:rsidP="00346F4B">
      <w:pPr>
        <w:numPr>
          <w:ilvl w:val="1"/>
          <w:numId w:val="109"/>
        </w:numPr>
        <w:spacing w:after="60" w:line="276" w:lineRule="auto"/>
        <w:ind w:left="1980"/>
      </w:pPr>
      <w:r w:rsidRPr="00C83DF5">
        <w:rPr>
          <w:rFonts w:cs="Tahoma"/>
          <w:color w:val="000000"/>
          <w:szCs w:val="18"/>
        </w:rPr>
        <w:t>Servicelevels: 3 oder 5 Tage</w:t>
      </w:r>
    </w:p>
    <w:p w:rsidR="000D4ECA" w:rsidRPr="00C83DF5" w:rsidRDefault="000D4ECA" w:rsidP="00024C3C">
      <w:pPr>
        <w:numPr>
          <w:ilvl w:val="0"/>
          <w:numId w:val="10"/>
        </w:numPr>
        <w:spacing w:after="60" w:line="276" w:lineRule="auto"/>
      </w:pPr>
      <w:r w:rsidRPr="00C83DF5">
        <w:rPr>
          <w:rFonts w:cs="Tahoma"/>
          <w:color w:val="000000"/>
          <w:szCs w:val="18"/>
        </w:rPr>
        <w:t>Public Cloud, Azure Deployment Planning Services (AZDPS)</w:t>
      </w:r>
    </w:p>
    <w:p w:rsidR="000D4ECA" w:rsidRPr="00C83DF5" w:rsidRDefault="000D4ECA" w:rsidP="00113359">
      <w:pPr>
        <w:numPr>
          <w:ilvl w:val="1"/>
          <w:numId w:val="110"/>
        </w:numPr>
        <w:spacing w:after="60" w:line="276" w:lineRule="auto"/>
        <w:ind w:left="1980"/>
        <w:rPr>
          <w:lang w:val="de-DE"/>
        </w:rPr>
      </w:pPr>
      <w:r w:rsidRPr="00C83DF5">
        <w:rPr>
          <w:rFonts w:cs="Tahoma"/>
          <w:color w:val="000000"/>
          <w:szCs w:val="18"/>
          <w:lang w:val="de-DE"/>
        </w:rPr>
        <w:t xml:space="preserve">Beschreibung: </w:t>
      </w:r>
      <w:r w:rsidRPr="00C83DF5">
        <w:rPr>
          <w:rFonts w:cs="Tahoma"/>
          <w:color w:val="1D1B11"/>
          <w:szCs w:val="18"/>
          <w:lang w:val="de-DE"/>
        </w:rPr>
        <w:t>Public</w:t>
      </w:r>
      <w:r w:rsidRPr="00C83DF5">
        <w:rPr>
          <w:rFonts w:cs="Tahoma"/>
          <w:szCs w:val="18"/>
          <w:lang w:val="de-DE"/>
        </w:rPr>
        <w:t xml:space="preserve"> Cloud, AZDPS beinhaltet den Schulungs- und Migrationsservice der</w:t>
      </w:r>
      <w:r w:rsidR="00113359">
        <w:rPr>
          <w:rFonts w:cs="Tahoma"/>
          <w:szCs w:val="18"/>
          <w:lang w:val="de-DE"/>
        </w:rPr>
        <w:t> </w:t>
      </w:r>
      <w:r w:rsidRPr="00C83DF5">
        <w:rPr>
          <w:rFonts w:cs="Tahoma"/>
          <w:szCs w:val="18"/>
          <w:lang w:val="de-DE"/>
        </w:rPr>
        <w:t>Windows Azure-Plattform. Dieser Service umfasst ein Lernprogramm für die Windows</w:t>
      </w:r>
      <w:r w:rsidR="00113359">
        <w:rPr>
          <w:rFonts w:cs="Tahoma"/>
          <w:szCs w:val="18"/>
          <w:lang w:val="de-DE"/>
        </w:rPr>
        <w:t> </w:t>
      </w:r>
      <w:r w:rsidRPr="00C83DF5">
        <w:rPr>
          <w:rFonts w:cs="Tahoma"/>
          <w:szCs w:val="18"/>
          <w:lang w:val="de-DE"/>
        </w:rPr>
        <w:t>Azure-Plattform mit praxisorientierten Schulungsinhalten, die Anweisungen zum</w:t>
      </w:r>
      <w:r w:rsidR="00113359">
        <w:rPr>
          <w:rFonts w:cs="Tahoma"/>
          <w:szCs w:val="18"/>
          <w:lang w:val="de-DE"/>
        </w:rPr>
        <w:t> </w:t>
      </w:r>
      <w:r w:rsidRPr="00C83DF5">
        <w:rPr>
          <w:rFonts w:cs="Tahoma"/>
          <w:szCs w:val="18"/>
          <w:lang w:val="de-DE"/>
        </w:rPr>
        <w:t>Migrieren von Anwendungen und Daten sowie zur Entwicklung von Anwendungen für</w:t>
      </w:r>
      <w:r w:rsidR="00113359">
        <w:rPr>
          <w:rFonts w:cs="Tahoma"/>
          <w:szCs w:val="18"/>
          <w:lang w:val="de-DE"/>
        </w:rPr>
        <w:t> </w:t>
      </w:r>
      <w:r w:rsidRPr="00C83DF5">
        <w:rPr>
          <w:rFonts w:cs="Tahoma"/>
          <w:szCs w:val="18"/>
          <w:lang w:val="de-DE"/>
        </w:rPr>
        <w:t>die Cloud vermitteln und Kunden bei der Migration oder dem Schreiben ihrer ersten Anwendungen auf der Windows Azure-Plattform unterstützen.</w:t>
      </w:r>
    </w:p>
    <w:p w:rsidR="000D4ECA" w:rsidRPr="00C83DF5" w:rsidRDefault="000D4ECA" w:rsidP="00346F4B">
      <w:pPr>
        <w:numPr>
          <w:ilvl w:val="1"/>
          <w:numId w:val="110"/>
        </w:numPr>
        <w:spacing w:line="276" w:lineRule="auto"/>
        <w:ind w:left="1987"/>
      </w:pPr>
      <w:r w:rsidRPr="00C83DF5">
        <w:rPr>
          <w:rFonts w:cs="Tahoma"/>
          <w:color w:val="000000"/>
          <w:szCs w:val="18"/>
        </w:rPr>
        <w:t>Servicelevels: 3, 5 oder 10 Tage</w:t>
      </w:r>
    </w:p>
    <w:p w:rsidR="000D4ECA" w:rsidRPr="00C83DF5" w:rsidRDefault="000D4ECA" w:rsidP="0063466C">
      <w:pPr>
        <w:tabs>
          <w:tab w:val="left" w:pos="8040"/>
        </w:tabs>
      </w:pPr>
    </w:p>
    <w:p w:rsidR="000D4ECA" w:rsidRPr="00C83DF5" w:rsidRDefault="000D4ECA" w:rsidP="000D4ECA">
      <w:pPr>
        <w:spacing w:after="60"/>
        <w:rPr>
          <w:lang w:val="de-DE"/>
        </w:rPr>
      </w:pPr>
      <w:r w:rsidRPr="00C83DF5">
        <w:rPr>
          <w:rFonts w:cs="Tahoma"/>
          <w:color w:val="000000"/>
          <w:szCs w:val="18"/>
          <w:lang w:val="de-DE"/>
        </w:rPr>
        <w:t>Die Liste der verfügbaren Services und zugehörigen Servicelevels kann jederzeit geändert werden.</w:t>
      </w:r>
      <w:r w:rsidR="00E71F46" w:rsidRPr="00C83DF5">
        <w:rPr>
          <w:rFonts w:cs="Tahoma"/>
          <w:color w:val="000000"/>
          <w:szCs w:val="18"/>
          <w:lang w:val="de-DE"/>
        </w:rPr>
        <w:t xml:space="preserve"> </w:t>
      </w:r>
      <w:r w:rsidRPr="00C83DF5">
        <w:rPr>
          <w:rFonts w:cs="Tahoma"/>
          <w:color w:val="000000"/>
          <w:szCs w:val="18"/>
          <w:lang w:val="de-DE"/>
        </w:rPr>
        <w:t>Von Qualifizierten Anbietern erhalten Kunden auf Anfrage eine Übersicht über den verfügbaren Leistungsumfang für jedes der oben genannten Serviceangebote.</w:t>
      </w:r>
    </w:p>
    <w:p w:rsidR="000D4ECA" w:rsidRPr="008B3D04" w:rsidRDefault="000D4ECA" w:rsidP="0063466C">
      <w:pPr>
        <w:rPr>
          <w:rFonts w:cs="Tahoma"/>
          <w:color w:val="000000"/>
          <w:szCs w:val="18"/>
          <w:lang w:val="de-DE"/>
        </w:rPr>
      </w:pPr>
    </w:p>
    <w:p w:rsidR="000D4ECA" w:rsidRPr="00C83DF5" w:rsidRDefault="000D4ECA" w:rsidP="00380DE1">
      <w:pPr>
        <w:spacing w:after="60"/>
        <w:rPr>
          <w:lang w:val="de-DE"/>
        </w:rPr>
      </w:pPr>
      <w:r w:rsidRPr="008B3D04">
        <w:rPr>
          <w:rFonts w:cs="Tahoma"/>
          <w:color w:val="000000"/>
          <w:szCs w:val="18"/>
          <w:lang w:val="de-DE"/>
        </w:rPr>
        <w:t>Je nach der Anzahl der qualifizierenden Office-Anwendungslizenzen, qualifizierenden Serverlizenzen und der Anzahl</w:t>
      </w:r>
      <w:r w:rsidR="00B20ECB" w:rsidRPr="008B3D04">
        <w:rPr>
          <w:rFonts w:cs="Tahoma"/>
          <w:color w:val="000000"/>
          <w:szCs w:val="18"/>
          <w:lang w:val="de-DE"/>
        </w:rPr>
        <w:t> </w:t>
      </w:r>
      <w:r w:rsidRPr="008B3D04">
        <w:rPr>
          <w:rFonts w:cs="Tahoma"/>
          <w:color w:val="000000"/>
          <w:szCs w:val="18"/>
          <w:lang w:val="de-DE"/>
        </w:rPr>
        <w:t>von Core CAL Suites, SQL CAL und Enterprise CAL Suites, für die Software Assurance erworben wird (siehe</w:t>
      </w:r>
      <w:r w:rsidR="00380DE1" w:rsidRPr="008B3D04">
        <w:rPr>
          <w:rFonts w:cs="Tahoma"/>
          <w:color w:val="000000"/>
          <w:szCs w:val="18"/>
          <w:lang w:val="de-DE"/>
        </w:rPr>
        <w:t> </w:t>
      </w:r>
      <w:r w:rsidRPr="008B3D04">
        <w:rPr>
          <w:rFonts w:cs="Tahoma"/>
          <w:color w:val="000000"/>
          <w:szCs w:val="18"/>
          <w:lang w:val="de-DE"/>
        </w:rPr>
        <w:t>Diagramm unten), erhalten qualifizierte Kunden eine bestimmte Anzahl von Planning Services-Tagen.</w:t>
      </w:r>
      <w:r w:rsidR="00E71F46" w:rsidRPr="008B3D04">
        <w:rPr>
          <w:rFonts w:cs="Tahoma"/>
          <w:color w:val="000000"/>
          <w:szCs w:val="18"/>
          <w:lang w:val="de-DE"/>
        </w:rPr>
        <w:t xml:space="preserve"> </w:t>
      </w:r>
      <w:r w:rsidRPr="00C83DF5">
        <w:rPr>
          <w:rFonts w:cs="Tahoma"/>
          <w:bCs/>
          <w:color w:val="000000"/>
          <w:szCs w:val="18"/>
          <w:lang w:val="de-DE"/>
        </w:rPr>
        <w:t>Die</w:t>
      </w:r>
      <w:r w:rsidR="00380DE1">
        <w:rPr>
          <w:rFonts w:cs="Tahoma"/>
          <w:bCs/>
          <w:color w:val="000000"/>
          <w:szCs w:val="18"/>
          <w:lang w:val="de-DE"/>
        </w:rPr>
        <w:t> </w:t>
      </w:r>
      <w:r w:rsidRPr="00C83DF5">
        <w:rPr>
          <w:rFonts w:cs="Tahoma"/>
          <w:bCs/>
          <w:color w:val="000000"/>
          <w:szCs w:val="18"/>
          <w:lang w:val="de-DE"/>
        </w:rPr>
        <w:t>Anzahl der Tage, die ein Kunde erhält, fließt in einen Pool mit Planning Services-Tagen, aus dem der Kunde</w:t>
      </w:r>
      <w:r w:rsidR="00380DE1">
        <w:rPr>
          <w:rFonts w:cs="Tahoma"/>
          <w:bCs/>
          <w:color w:val="000000"/>
          <w:szCs w:val="18"/>
          <w:lang w:val="de-DE"/>
        </w:rPr>
        <w:t> </w:t>
      </w:r>
      <w:r w:rsidRPr="00C83DF5">
        <w:rPr>
          <w:rFonts w:cs="Tahoma"/>
          <w:bCs/>
          <w:color w:val="000000"/>
          <w:szCs w:val="18"/>
          <w:lang w:val="de-DE"/>
        </w:rPr>
        <w:t>Gutscheine für die obigen Serviceangebote erstellen kann.</w:t>
      </w:r>
      <w:r w:rsidR="00E71F46" w:rsidRPr="00C83DF5">
        <w:rPr>
          <w:rFonts w:cs="Tahoma"/>
          <w:bCs/>
          <w:color w:val="000000"/>
          <w:szCs w:val="18"/>
          <w:lang w:val="de-DE"/>
        </w:rPr>
        <w:t xml:space="preserve"> </w:t>
      </w:r>
      <w:r w:rsidRPr="00C83DF5">
        <w:rPr>
          <w:rFonts w:cs="Tahoma"/>
          <w:bCs/>
          <w:color w:val="000000"/>
          <w:szCs w:val="18"/>
          <w:lang w:val="de-DE"/>
        </w:rPr>
        <w:t>Kunden können einen oder mehrere der obigen</w:t>
      </w:r>
      <w:r w:rsidR="00380DE1">
        <w:rPr>
          <w:rFonts w:cs="Tahoma"/>
          <w:bCs/>
          <w:color w:val="000000"/>
          <w:szCs w:val="18"/>
          <w:lang w:val="de-DE"/>
        </w:rPr>
        <w:t> </w:t>
      </w:r>
      <w:r w:rsidRPr="00C83DF5">
        <w:rPr>
          <w:rFonts w:cs="Tahoma"/>
          <w:bCs/>
          <w:color w:val="000000"/>
          <w:szCs w:val="18"/>
          <w:lang w:val="de-DE"/>
        </w:rPr>
        <w:t>Services auswählen und aus den verfügbaren Servicelevels maximal den auswählen, der der Anzahl von</w:t>
      </w:r>
      <w:r w:rsidR="00380DE1">
        <w:rPr>
          <w:rFonts w:cs="Tahoma"/>
          <w:bCs/>
          <w:color w:val="000000"/>
          <w:szCs w:val="18"/>
          <w:lang w:val="de-DE"/>
        </w:rPr>
        <w:t> </w:t>
      </w:r>
      <w:r w:rsidRPr="00C83DF5">
        <w:rPr>
          <w:rFonts w:cs="Tahoma"/>
          <w:bCs/>
          <w:color w:val="000000"/>
          <w:szCs w:val="18"/>
          <w:lang w:val="de-DE"/>
        </w:rPr>
        <w:t>Planning Services-Tagen entspricht, die für sie verfügbar sind.</w:t>
      </w:r>
    </w:p>
    <w:p w:rsidR="001C1727" w:rsidRPr="008B3D04" w:rsidRDefault="001C1727">
      <w:pPr>
        <w:rPr>
          <w:rFonts w:cs="Tahoma"/>
          <w:bCs/>
          <w:color w:val="000000"/>
          <w:szCs w:val="18"/>
          <w:lang w:val="de-DE"/>
        </w:rPr>
      </w:pPr>
    </w:p>
    <w:p w:rsidR="000D4ECA" w:rsidRPr="00C83DF5" w:rsidRDefault="000D4ECA" w:rsidP="000D4ECA">
      <w:pPr>
        <w:spacing w:after="60"/>
        <w:rPr>
          <w:lang w:val="de-DE"/>
        </w:rPr>
      </w:pPr>
      <w:r w:rsidRPr="00C83DF5">
        <w:rPr>
          <w:rFonts w:cs="Tahoma"/>
          <w:bCs/>
          <w:color w:val="000000"/>
          <w:szCs w:val="18"/>
          <w:lang w:val="de-DE"/>
        </w:rPr>
        <w:t>In der folgenden Tabelle sind die qualifizierenden Anwendungs- und Serverlizenzen sowie die jeweils damit verbundenen Punkte aufgeführt:</w:t>
      </w:r>
    </w:p>
    <w:p w:rsidR="0063466C" w:rsidRPr="008B3D04" w:rsidRDefault="0063466C" w:rsidP="000D4ECA">
      <w:pPr>
        <w:spacing w:after="60"/>
        <w:rPr>
          <w:rFonts w:cs="Tahoma"/>
          <w:szCs w:val="18"/>
          <w:lang w:val="de-DE"/>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C83DF5"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b/>
                <w:bCs/>
                <w:szCs w:val="18"/>
              </w:rPr>
              <w:t xml:space="preserve">Office-Anwendungs- und Serverlizenzen*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b/>
                <w:bCs/>
                <w:szCs w:val="18"/>
              </w:rPr>
              <w:t>Punkte</w:t>
            </w:r>
          </w:p>
        </w:tc>
      </w:tr>
      <w:tr w:rsidR="000D4ECA" w:rsidRPr="00C83DF5"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944DE9">
            <w:pPr>
              <w:spacing w:after="60"/>
              <w:jc w:val="center"/>
              <w:rPr>
                <w:rFonts w:cs="Tahoma"/>
                <w:szCs w:val="18"/>
              </w:rPr>
            </w:pPr>
            <w:r w:rsidRPr="00C83DF5">
              <w:rPr>
                <w:rFonts w:cs="Tahoma"/>
                <w:szCs w:val="18"/>
              </w:rPr>
              <w:t>Produkte aus dem Office-Anwendungs-Pool (einschließlich Office-Suites, Project</w:t>
            </w:r>
            <w:r w:rsidR="00DE7813">
              <w:rPr>
                <w:rFonts w:cs="Tahoma"/>
                <w:szCs w:val="18"/>
              </w:rPr>
              <w:t> </w:t>
            </w:r>
            <w:r w:rsidRPr="00C83DF5">
              <w:rPr>
                <w:rFonts w:cs="Tahoma"/>
                <w:szCs w:val="18"/>
              </w:rPr>
              <w:t>Standard und Professional, Visio Standard und Professional), CAL</w:t>
            </w:r>
            <w:r w:rsidR="00944DE9">
              <w:rPr>
                <w:rFonts w:cs="Tahoma"/>
                <w:szCs w:val="18"/>
              </w:rPr>
              <w:t> </w:t>
            </w:r>
            <w:r w:rsidRPr="00C83DF5">
              <w:rPr>
                <w:rFonts w:cs="Tahoma"/>
                <w:szCs w:val="18"/>
              </w:rPr>
              <w:t>für</w:t>
            </w:r>
            <w:r w:rsidR="00944DE9">
              <w:rPr>
                <w:rFonts w:cs="Tahoma"/>
                <w:szCs w:val="18"/>
              </w:rPr>
              <w:t> </w:t>
            </w:r>
            <w:r w:rsidRPr="00C83DF5">
              <w:rPr>
                <w:rFonts w:cs="Tahoma"/>
                <w:szCs w:val="18"/>
              </w:rPr>
              <w:t>Microsoft</w:t>
            </w:r>
            <w:r w:rsidR="00DE7813">
              <w:rPr>
                <w:rFonts w:cs="Tahoma"/>
                <w:szCs w:val="18"/>
              </w:rPr>
              <w:t> </w:t>
            </w:r>
            <w:r w:rsidRPr="00C83DF5">
              <w:rPr>
                <w:rFonts w:cs="Tahoma"/>
                <w:szCs w:val="18"/>
              </w:rPr>
              <w:t>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1</w:t>
            </w:r>
          </w:p>
        </w:tc>
      </w:tr>
      <w:tr w:rsidR="000D4ECA" w:rsidRPr="00C83DF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F56FC9" w:rsidP="00DE7813">
            <w:pPr>
              <w:spacing w:after="60"/>
              <w:jc w:val="center"/>
              <w:rPr>
                <w:rFonts w:cs="Tahoma"/>
                <w:szCs w:val="18"/>
              </w:rPr>
            </w:pPr>
            <w:r w:rsidRPr="00C83DF5">
              <w:rPr>
                <w:rFonts w:eastAsia="Calibri" w:cs="Tahoma"/>
                <w:szCs w:val="18"/>
              </w:rPr>
              <w:t>SQL Server Standard Edition, Windows Server Standard Edition, Microsoft Dynamics CRM</w:t>
            </w:r>
            <w:r w:rsidR="00DE7813">
              <w:rPr>
                <w:rFonts w:eastAsia="Calibri" w:cs="Tahoma"/>
                <w:szCs w:val="18"/>
              </w:rPr>
              <w:t> </w:t>
            </w:r>
            <w:r w:rsidRPr="00C83DF5">
              <w:rPr>
                <w:rFonts w:eastAsia="Calibri" w:cs="Tahoma"/>
                <w:szCs w:val="18"/>
              </w:rPr>
              <w:t>Server 2011, Microsoft Dynamics CRM Server 2013, Server-Management-Lizenz für</w:t>
            </w:r>
            <w:r w:rsidR="00DE7813">
              <w:rPr>
                <w:rFonts w:eastAsia="Calibri" w:cs="Tahoma"/>
                <w:szCs w:val="18"/>
              </w:rPr>
              <w:t> </w:t>
            </w:r>
            <w:r w:rsidRPr="00C83DF5">
              <w:rPr>
                <w:rFonts w:eastAsia="Calibri" w:cs="Tahoma"/>
                <w:szCs w:val="18"/>
              </w:rPr>
              <w:t>System Center 2012 Standard (2 Prozessoren), Visual Studio Professional mit MSDN</w:t>
            </w:r>
            <w:r w:rsidR="00DE7813">
              <w:rPr>
                <w:rFonts w:eastAsia="Calibri" w:cs="Tahoma"/>
                <w:szCs w:val="18"/>
              </w:rPr>
              <w:t> </w:t>
            </w:r>
            <w:r w:rsidRPr="00C83DF5">
              <w:rPr>
                <w:rFonts w:eastAsia="Calibri" w:cs="Tahoma"/>
                <w:szCs w:val="18"/>
              </w:rPr>
              <w:t>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25</w:t>
            </w:r>
          </w:p>
        </w:tc>
      </w:tr>
      <w:tr w:rsidR="000D4ECA" w:rsidRPr="00C83DF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F56FC9" w:rsidP="000D4ECA">
            <w:pPr>
              <w:spacing w:after="60"/>
              <w:jc w:val="center"/>
              <w:rPr>
                <w:rFonts w:cs="Tahoma"/>
                <w:szCs w:val="18"/>
              </w:rPr>
            </w:pPr>
            <w:r w:rsidRPr="00C83DF5">
              <w:rPr>
                <w:rFonts w:eastAsia="Calibri" w:cs="Tahoma"/>
                <w:szCs w:val="18"/>
              </w:rPr>
              <w:t xml:space="preserve">SQL Server Enterprise Edition, </w:t>
            </w:r>
            <w:r w:rsidRPr="00C83DF5">
              <w:rPr>
                <w:rFonts w:cs="Tahoma"/>
                <w:szCs w:val="18"/>
              </w:rPr>
              <w:t xml:space="preserve">SQL Server Business Intelligence, </w:t>
            </w:r>
            <w:r w:rsidRPr="00C83DF5">
              <w:rPr>
                <w:rFonts w:eastAsia="Calibri" w:cs="Tahoma"/>
                <w:szCs w:val="18"/>
              </w:rPr>
              <w:t>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50</w:t>
            </w:r>
          </w:p>
        </w:tc>
      </w:tr>
      <w:tr w:rsidR="000D4ECA" w:rsidRPr="00C83DF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F56FC9" w:rsidP="00480412">
            <w:pPr>
              <w:spacing w:after="60"/>
              <w:jc w:val="center"/>
              <w:rPr>
                <w:rFonts w:cs="Tahoma"/>
                <w:szCs w:val="18"/>
              </w:rPr>
            </w:pPr>
            <w:r w:rsidRPr="00C83DF5">
              <w:rPr>
                <w:rFonts w:eastAsia="Calibri" w:cs="Tahoma"/>
                <w:szCs w:val="18"/>
              </w:rPr>
              <w:t xml:space="preserve">SQL Server Data Center Edition, Windows Server Data Center Edition, </w:t>
            </w:r>
            <w:r w:rsidR="00480412">
              <w:rPr>
                <w:rFonts w:eastAsia="Calibri" w:cs="Tahoma"/>
                <w:szCs w:val="18"/>
              </w:rPr>
              <w:br/>
            </w:r>
            <w:r w:rsidRPr="00C83DF5">
              <w:rPr>
                <w:rFonts w:eastAsia="Calibri" w:cs="Tahoma"/>
                <w:szCs w:val="18"/>
              </w:rPr>
              <w:t>Server-Management-Lizenz für System Center 2012 Datacenter (2 Prozessoren) und</w:t>
            </w:r>
            <w:r w:rsidR="00480412">
              <w:rPr>
                <w:rFonts w:eastAsia="Calibri" w:cs="Tahoma"/>
                <w:szCs w:val="18"/>
              </w:rPr>
              <w:t> </w:t>
            </w:r>
            <w:r w:rsidRPr="00C83DF5">
              <w:rPr>
                <w:rFonts w:eastAsia="Calibri" w:cs="Tahoma"/>
                <w:szCs w:val="18"/>
              </w:rPr>
              <w:t>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75</w:t>
            </w:r>
          </w:p>
        </w:tc>
      </w:tr>
    </w:tbl>
    <w:p w:rsidR="000D4ECA" w:rsidRPr="008B3D04" w:rsidRDefault="000D4ECA" w:rsidP="0063466C">
      <w:pPr>
        <w:ind w:firstLine="720"/>
        <w:rPr>
          <w:lang w:val="de-DE"/>
        </w:rPr>
      </w:pPr>
      <w:r w:rsidRPr="008B3D04">
        <w:rPr>
          <w:rFonts w:cs="Tahoma"/>
          <w:b/>
          <w:i/>
          <w:sz w:val="16"/>
          <w:szCs w:val="18"/>
          <w:lang w:val="de-DE"/>
        </w:rPr>
        <w:t>Anmerkung:</w:t>
      </w:r>
      <w:r w:rsidRPr="008B3D04">
        <w:rPr>
          <w:rFonts w:cs="Tahoma"/>
          <w:i/>
          <w:sz w:val="16"/>
          <w:szCs w:val="18"/>
          <w:lang w:val="de-DE"/>
        </w:rPr>
        <w:t xml:space="preserve"> Weitere Informationen zu CALs finden Sie in der Tabelle zu CAL-Suites in diesem Abschnitt.</w:t>
      </w:r>
    </w:p>
    <w:p w:rsidR="00F56FC9" w:rsidRPr="008B3D04" w:rsidRDefault="00F56FC9" w:rsidP="0063466C">
      <w:pPr>
        <w:rPr>
          <w:rFonts w:cs="Tahoma"/>
          <w:szCs w:val="18"/>
          <w:lang w:val="de-DE" w:eastAsia="ja-JP"/>
        </w:rPr>
      </w:pPr>
    </w:p>
    <w:p w:rsidR="000D4ECA" w:rsidRPr="00C83DF5" w:rsidRDefault="000D4ECA" w:rsidP="00BE1C01">
      <w:pPr>
        <w:rPr>
          <w:lang w:val="de-DE"/>
        </w:rPr>
      </w:pPr>
      <w:r w:rsidRPr="00933FF1">
        <w:rPr>
          <w:rFonts w:cs="Tahoma"/>
          <w:szCs w:val="18"/>
          <w:lang w:val="de-DE"/>
        </w:rPr>
        <w:t>Wenn diese berechtig</w:t>
      </w:r>
      <w:r w:rsidRPr="00C83DF5">
        <w:rPr>
          <w:rFonts w:cs="Tahoma"/>
          <w:szCs w:val="18"/>
          <w:lang w:val="de-DE"/>
        </w:rPr>
        <w:t>ten Produkte über den Beitritt zur Anwendungsplattform (EAP) oder den Beitritt für Core</w:t>
      </w:r>
      <w:r w:rsidR="00933FF1">
        <w:rPr>
          <w:rFonts w:cs="Tahoma"/>
          <w:szCs w:val="18"/>
          <w:lang w:val="de-DE"/>
        </w:rPr>
        <w:t> </w:t>
      </w:r>
      <w:r w:rsidRPr="00C83DF5">
        <w:rPr>
          <w:rFonts w:cs="Tahoma"/>
          <w:szCs w:val="18"/>
          <w:lang w:val="de-DE"/>
        </w:rPr>
        <w:t>Infrastructure (ECI) erworben werden, werden alle unter dem EAP und ECI zugeteilten Punkte mit dem</w:t>
      </w:r>
      <w:r w:rsidR="00BE1C01">
        <w:rPr>
          <w:rFonts w:cs="Tahoma"/>
          <w:szCs w:val="18"/>
          <w:lang w:val="de-DE"/>
        </w:rPr>
        <w:t> </w:t>
      </w:r>
      <w:r w:rsidRPr="00C83DF5">
        <w:rPr>
          <w:rFonts w:cs="Tahoma"/>
          <w:szCs w:val="18"/>
          <w:lang w:val="de-DE"/>
        </w:rPr>
        <w:t>Faktor</w:t>
      </w:r>
      <w:r w:rsidR="00933FF1">
        <w:rPr>
          <w:rFonts w:cs="Tahoma"/>
          <w:szCs w:val="18"/>
          <w:lang w:val="de-DE"/>
        </w:rPr>
        <w:t> </w:t>
      </w:r>
      <w:r w:rsidRPr="00C83DF5">
        <w:rPr>
          <w:rFonts w:cs="Tahoma"/>
          <w:szCs w:val="18"/>
          <w:lang w:val="de-DE"/>
        </w:rPr>
        <w:t xml:space="preserve">zwei (2) multipliziert. </w:t>
      </w:r>
    </w:p>
    <w:p w:rsidR="000D4ECA" w:rsidRPr="00933FF1" w:rsidRDefault="000D4ECA" w:rsidP="0063466C">
      <w:pPr>
        <w:rPr>
          <w:rFonts w:cs="Tahoma"/>
          <w:szCs w:val="18"/>
          <w:lang w:val="de-DE" w:eastAsia="ja-JP"/>
        </w:rPr>
      </w:pPr>
    </w:p>
    <w:p w:rsidR="000D4ECA" w:rsidRPr="00C83DF5" w:rsidRDefault="000D4ECA" w:rsidP="0063466C">
      <w:pPr>
        <w:rPr>
          <w:lang w:val="de-DE"/>
        </w:rPr>
      </w:pPr>
      <w:r w:rsidRPr="00C83DF5">
        <w:rPr>
          <w:rFonts w:cs="Tahoma"/>
          <w:szCs w:val="18"/>
          <w:lang w:val="de-DE"/>
        </w:rPr>
        <w:t>Die Gesamtzahl der Punkte, zu denen der Kunde berechtigt ist, definiert die Ansprüche auf Planning Services-Tage wie unten dargestellt:</w:t>
      </w:r>
    </w:p>
    <w:p w:rsidR="000D4ECA" w:rsidRPr="00C83DF5" w:rsidRDefault="000D4ECA" w:rsidP="0063466C">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C83DF5"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83DF5" w:rsidRDefault="000D4ECA" w:rsidP="000D4ECA">
            <w:pPr>
              <w:spacing w:after="60"/>
              <w:jc w:val="center"/>
              <w:rPr>
                <w:rFonts w:cs="Tahoma"/>
                <w:szCs w:val="18"/>
                <w:lang w:val="de-DE"/>
              </w:rPr>
            </w:pPr>
            <w:r w:rsidRPr="00C83DF5">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b/>
                <w:bCs/>
                <w:szCs w:val="18"/>
              </w:rPr>
              <w:t>Planning Services-Tage</w:t>
            </w:r>
          </w:p>
        </w:tc>
      </w:tr>
      <w:tr w:rsidR="000D4ECA" w:rsidRPr="00C83DF5"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200</w:t>
            </w:r>
            <w:r w:rsidR="009C1970" w:rsidRPr="00C83DF5">
              <w:rPr>
                <w:rFonts w:cs="Tahoma"/>
                <w:szCs w:val="18"/>
              </w:rPr>
              <w:t xml:space="preserve"> – </w:t>
            </w:r>
            <w:r w:rsidRPr="00C83DF5">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1</w:t>
            </w:r>
          </w:p>
        </w:tc>
      </w:tr>
      <w:tr w:rsidR="000D4ECA" w:rsidRPr="00C83D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500</w:t>
            </w:r>
            <w:r w:rsidR="009C1970" w:rsidRPr="00C83DF5">
              <w:rPr>
                <w:rFonts w:cs="Tahoma"/>
                <w:szCs w:val="18"/>
              </w:rPr>
              <w:t xml:space="preserve"> – </w:t>
            </w:r>
            <w:r w:rsidR="003902D8">
              <w:rPr>
                <w:rFonts w:cs="Tahoma"/>
                <w:szCs w:val="18"/>
              </w:rPr>
              <w:t>1.</w:t>
            </w:r>
            <w:r w:rsidRPr="00C83D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3</w:t>
            </w:r>
          </w:p>
        </w:tc>
      </w:tr>
      <w:tr w:rsidR="000D4ECA" w:rsidRPr="00C83D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480412">
            <w:pPr>
              <w:spacing w:after="60"/>
              <w:jc w:val="center"/>
              <w:rPr>
                <w:rFonts w:cs="Tahoma"/>
                <w:szCs w:val="18"/>
              </w:rPr>
            </w:pPr>
            <w:r w:rsidRPr="00C83DF5">
              <w:rPr>
                <w:rFonts w:cs="Tahoma"/>
                <w:szCs w:val="18"/>
              </w:rPr>
              <w:t>2</w:t>
            </w:r>
            <w:r w:rsidR="00480412">
              <w:rPr>
                <w:rFonts w:cs="Tahoma"/>
                <w:szCs w:val="18"/>
              </w:rPr>
              <w:t>.</w:t>
            </w:r>
            <w:r w:rsidRPr="00C83DF5">
              <w:rPr>
                <w:rFonts w:cs="Tahoma"/>
                <w:szCs w:val="18"/>
              </w:rPr>
              <w:t>000</w:t>
            </w:r>
            <w:r w:rsidR="009C1970" w:rsidRPr="00C83DF5">
              <w:rPr>
                <w:rFonts w:cs="Tahoma"/>
                <w:szCs w:val="18"/>
              </w:rPr>
              <w:t xml:space="preserve"> – </w:t>
            </w:r>
            <w:r w:rsidRPr="00C83DF5">
              <w:rPr>
                <w:rFonts w:cs="Tahoma"/>
                <w:szCs w:val="18"/>
              </w:rPr>
              <w:t>3</w:t>
            </w:r>
            <w:r w:rsidR="00480412">
              <w:rPr>
                <w:rFonts w:cs="Tahoma"/>
                <w:szCs w:val="18"/>
              </w:rPr>
              <w:t>.</w:t>
            </w:r>
            <w:r w:rsidRPr="00C83D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5</w:t>
            </w:r>
          </w:p>
        </w:tc>
      </w:tr>
      <w:tr w:rsidR="000D4ECA" w:rsidRPr="00C83D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480412">
            <w:pPr>
              <w:spacing w:after="60"/>
              <w:jc w:val="center"/>
              <w:rPr>
                <w:rFonts w:cs="Tahoma"/>
                <w:szCs w:val="18"/>
              </w:rPr>
            </w:pPr>
            <w:r w:rsidRPr="00C83DF5">
              <w:rPr>
                <w:rFonts w:cs="Tahoma"/>
                <w:szCs w:val="18"/>
              </w:rPr>
              <w:t>4</w:t>
            </w:r>
            <w:r w:rsidR="00480412">
              <w:rPr>
                <w:rFonts w:cs="Tahoma"/>
                <w:szCs w:val="18"/>
              </w:rPr>
              <w:t>.</w:t>
            </w:r>
            <w:r w:rsidRPr="00C83DF5">
              <w:rPr>
                <w:rFonts w:cs="Tahoma"/>
                <w:szCs w:val="18"/>
              </w:rPr>
              <w:t>000 – 29</w:t>
            </w:r>
            <w:r w:rsidR="00480412">
              <w:rPr>
                <w:rFonts w:cs="Tahoma"/>
                <w:szCs w:val="18"/>
              </w:rPr>
              <w:t>.</w:t>
            </w:r>
            <w:r w:rsidRPr="00C83D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10</w:t>
            </w:r>
          </w:p>
        </w:tc>
      </w:tr>
      <w:tr w:rsidR="000D4ECA" w:rsidRPr="00C83D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480412">
            <w:pPr>
              <w:spacing w:after="60"/>
              <w:jc w:val="center"/>
              <w:rPr>
                <w:rFonts w:cs="Tahoma"/>
                <w:szCs w:val="18"/>
              </w:rPr>
            </w:pPr>
            <w:r w:rsidRPr="00C83DF5">
              <w:rPr>
                <w:rFonts w:cs="Tahoma"/>
                <w:szCs w:val="18"/>
              </w:rPr>
              <w:t>30</w:t>
            </w:r>
            <w:r w:rsidR="00480412">
              <w:rPr>
                <w:rFonts w:cs="Tahoma"/>
                <w:szCs w:val="18"/>
              </w:rPr>
              <w:t>.</w:t>
            </w:r>
            <w:r w:rsidRPr="00C83DF5">
              <w:rPr>
                <w:rFonts w:cs="Tahoma"/>
                <w:szCs w:val="18"/>
              </w:rPr>
              <w:t>000 – 49</w:t>
            </w:r>
            <w:r w:rsidR="00480412">
              <w:rPr>
                <w:rFonts w:cs="Tahoma"/>
                <w:szCs w:val="18"/>
              </w:rPr>
              <w:t>.</w:t>
            </w:r>
            <w:r w:rsidRPr="00C83D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15</w:t>
            </w:r>
          </w:p>
        </w:tc>
      </w:tr>
      <w:tr w:rsidR="000D4ECA" w:rsidRPr="00C83D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480412">
            <w:pPr>
              <w:spacing w:after="60"/>
              <w:jc w:val="center"/>
              <w:rPr>
                <w:rFonts w:cs="Tahoma"/>
                <w:szCs w:val="18"/>
              </w:rPr>
            </w:pPr>
            <w:r w:rsidRPr="00C83DF5">
              <w:rPr>
                <w:rFonts w:cs="Tahoma"/>
                <w:szCs w:val="18"/>
              </w:rPr>
              <w:t>50</w:t>
            </w:r>
            <w:r w:rsidR="00480412">
              <w:rPr>
                <w:rFonts w:cs="Tahoma"/>
                <w:szCs w:val="18"/>
              </w:rPr>
              <w:t>.</w:t>
            </w:r>
            <w:r w:rsidRPr="00C83DF5">
              <w:rPr>
                <w:rFonts w:cs="Tahoma"/>
                <w:szCs w:val="18"/>
              </w:rPr>
              <w:t>000 – 99</w:t>
            </w:r>
            <w:r w:rsidR="00480412">
              <w:rPr>
                <w:rFonts w:cs="Tahoma"/>
                <w:szCs w:val="18"/>
              </w:rPr>
              <w:t>.</w:t>
            </w:r>
            <w:r w:rsidRPr="00C83D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20</w:t>
            </w:r>
          </w:p>
        </w:tc>
      </w:tr>
      <w:tr w:rsidR="000D4ECA" w:rsidRPr="0048041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80412" w:rsidRDefault="000D4ECA" w:rsidP="00480412">
            <w:pPr>
              <w:spacing w:after="60"/>
              <w:jc w:val="center"/>
              <w:rPr>
                <w:rFonts w:cs="Tahoma"/>
                <w:szCs w:val="18"/>
                <w:lang w:val="de-DE"/>
              </w:rPr>
            </w:pPr>
            <w:r w:rsidRPr="00480412">
              <w:rPr>
                <w:rFonts w:cs="Tahoma"/>
                <w:szCs w:val="18"/>
                <w:lang w:val="de-DE"/>
              </w:rPr>
              <w:t>100</w:t>
            </w:r>
            <w:r w:rsidR="00480412" w:rsidRPr="00480412">
              <w:rPr>
                <w:rFonts w:cs="Tahoma"/>
                <w:szCs w:val="18"/>
                <w:lang w:val="de-DE"/>
              </w:rPr>
              <w:t>.</w:t>
            </w:r>
            <w:r w:rsidRPr="00480412">
              <w:rPr>
                <w:rFonts w:cs="Tahoma"/>
                <w:szCs w:val="18"/>
                <w:lang w:val="de-DE"/>
              </w:rPr>
              <w:t>000 – 199</w:t>
            </w:r>
            <w:r w:rsidR="00480412" w:rsidRPr="00480412">
              <w:rPr>
                <w:rFonts w:cs="Tahoma"/>
                <w:szCs w:val="18"/>
                <w:lang w:val="de-DE"/>
              </w:rPr>
              <w:t>.</w:t>
            </w:r>
            <w:r w:rsidRPr="00480412">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80412" w:rsidRDefault="000D4ECA" w:rsidP="000D4ECA">
            <w:pPr>
              <w:spacing w:after="60"/>
              <w:jc w:val="center"/>
              <w:rPr>
                <w:rFonts w:cs="Tahoma"/>
                <w:szCs w:val="18"/>
                <w:lang w:val="de-DE"/>
              </w:rPr>
            </w:pPr>
            <w:r w:rsidRPr="00480412">
              <w:rPr>
                <w:rFonts w:cs="Tahoma"/>
                <w:szCs w:val="18"/>
                <w:lang w:val="de-DE"/>
              </w:rPr>
              <w:t>30</w:t>
            </w:r>
          </w:p>
        </w:tc>
      </w:tr>
      <w:tr w:rsidR="000D4ECA" w:rsidRPr="0048041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80412" w:rsidRDefault="000D4ECA" w:rsidP="00480412">
            <w:pPr>
              <w:spacing w:after="60"/>
              <w:jc w:val="center"/>
              <w:rPr>
                <w:rFonts w:cs="Tahoma"/>
                <w:szCs w:val="18"/>
                <w:lang w:val="de-DE"/>
              </w:rPr>
            </w:pPr>
            <w:r w:rsidRPr="00480412">
              <w:rPr>
                <w:rFonts w:cs="Tahoma"/>
                <w:szCs w:val="18"/>
                <w:lang w:val="de-DE"/>
              </w:rPr>
              <w:t>200</w:t>
            </w:r>
            <w:r w:rsidR="00480412" w:rsidRPr="00480412">
              <w:rPr>
                <w:rFonts w:cs="Tahoma"/>
                <w:szCs w:val="18"/>
                <w:lang w:val="de-DE"/>
              </w:rPr>
              <w:t>.</w:t>
            </w:r>
            <w:r w:rsidRPr="00480412">
              <w:rPr>
                <w:rFonts w:cs="Tahoma"/>
                <w:szCs w:val="18"/>
                <w:lang w:val="de-DE"/>
              </w:rPr>
              <w:t>000 – 399</w:t>
            </w:r>
            <w:r w:rsidR="00480412" w:rsidRPr="00480412">
              <w:rPr>
                <w:rFonts w:cs="Tahoma"/>
                <w:szCs w:val="18"/>
                <w:lang w:val="de-DE"/>
              </w:rPr>
              <w:t>.</w:t>
            </w:r>
            <w:r w:rsidRPr="00480412">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80412" w:rsidRDefault="000D4ECA" w:rsidP="000D4ECA">
            <w:pPr>
              <w:spacing w:after="60"/>
              <w:jc w:val="center"/>
              <w:rPr>
                <w:rFonts w:cs="Tahoma"/>
                <w:szCs w:val="18"/>
                <w:lang w:val="de-DE"/>
              </w:rPr>
            </w:pPr>
            <w:r w:rsidRPr="00480412">
              <w:rPr>
                <w:rFonts w:cs="Tahoma"/>
                <w:szCs w:val="18"/>
                <w:lang w:val="de-DE"/>
              </w:rPr>
              <w:t>40</w:t>
            </w:r>
          </w:p>
        </w:tc>
      </w:tr>
      <w:tr w:rsidR="000D4ECA" w:rsidRPr="0048041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80412" w:rsidRDefault="000D4ECA" w:rsidP="00480412">
            <w:pPr>
              <w:spacing w:after="60"/>
              <w:jc w:val="center"/>
              <w:rPr>
                <w:rFonts w:cs="Tahoma"/>
                <w:szCs w:val="18"/>
                <w:lang w:val="de-DE"/>
              </w:rPr>
            </w:pPr>
            <w:r w:rsidRPr="00480412">
              <w:rPr>
                <w:rFonts w:cs="Tahoma"/>
                <w:szCs w:val="18"/>
                <w:lang w:val="de-DE"/>
              </w:rPr>
              <w:t>400</w:t>
            </w:r>
            <w:r w:rsidR="00480412" w:rsidRPr="00480412">
              <w:rPr>
                <w:rFonts w:cs="Tahoma"/>
                <w:szCs w:val="18"/>
                <w:lang w:val="de-DE"/>
              </w:rPr>
              <w:t>.</w:t>
            </w:r>
            <w:r w:rsidRPr="00480412">
              <w:rPr>
                <w:rFonts w:cs="Tahoma"/>
                <w:szCs w:val="18"/>
                <w:lang w:val="de-DE"/>
              </w:rPr>
              <w:t>000 – 599</w:t>
            </w:r>
            <w:r w:rsidR="00480412" w:rsidRPr="00480412">
              <w:rPr>
                <w:rFonts w:cs="Tahoma"/>
                <w:szCs w:val="18"/>
                <w:lang w:val="de-DE"/>
              </w:rPr>
              <w:t>.</w:t>
            </w:r>
            <w:r w:rsidRPr="00480412">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80412" w:rsidRDefault="000D4ECA" w:rsidP="000D4ECA">
            <w:pPr>
              <w:spacing w:after="60"/>
              <w:jc w:val="center"/>
              <w:rPr>
                <w:rFonts w:cs="Tahoma"/>
                <w:szCs w:val="18"/>
                <w:lang w:val="de-DE"/>
              </w:rPr>
            </w:pPr>
            <w:r w:rsidRPr="00480412">
              <w:rPr>
                <w:rFonts w:cs="Tahoma"/>
                <w:szCs w:val="18"/>
                <w:lang w:val="de-DE"/>
              </w:rPr>
              <w:t>50</w:t>
            </w:r>
          </w:p>
        </w:tc>
      </w:tr>
      <w:tr w:rsidR="000D4ECA" w:rsidRPr="0048041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80412" w:rsidRDefault="000D4ECA" w:rsidP="00480412">
            <w:pPr>
              <w:spacing w:after="60"/>
              <w:jc w:val="center"/>
              <w:rPr>
                <w:rFonts w:cs="Tahoma"/>
                <w:szCs w:val="18"/>
                <w:lang w:val="de-DE"/>
              </w:rPr>
            </w:pPr>
            <w:r w:rsidRPr="00480412">
              <w:rPr>
                <w:rFonts w:cs="Tahoma"/>
                <w:szCs w:val="18"/>
                <w:lang w:val="de-DE"/>
              </w:rPr>
              <w:t>600</w:t>
            </w:r>
            <w:r w:rsidR="00480412" w:rsidRPr="00480412">
              <w:rPr>
                <w:rFonts w:cs="Tahoma"/>
                <w:szCs w:val="18"/>
                <w:lang w:val="de-DE"/>
              </w:rPr>
              <w:t>.</w:t>
            </w:r>
            <w:r w:rsidRPr="00480412">
              <w:rPr>
                <w:rFonts w:cs="Tahoma"/>
                <w:szCs w:val="18"/>
                <w:lang w:val="de-DE"/>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80412" w:rsidRDefault="000D4ECA" w:rsidP="000D4ECA">
            <w:pPr>
              <w:spacing w:after="60"/>
              <w:jc w:val="center"/>
              <w:rPr>
                <w:rFonts w:cs="Tahoma"/>
                <w:szCs w:val="18"/>
                <w:lang w:val="de-DE"/>
              </w:rPr>
            </w:pPr>
            <w:r w:rsidRPr="00480412">
              <w:rPr>
                <w:rFonts w:cs="Tahoma"/>
                <w:szCs w:val="18"/>
                <w:lang w:val="de-DE"/>
              </w:rPr>
              <w:t>75</w:t>
            </w:r>
          </w:p>
        </w:tc>
      </w:tr>
    </w:tbl>
    <w:p w:rsidR="000D4ECA" w:rsidRPr="00480412" w:rsidRDefault="000D4ECA" w:rsidP="0063466C">
      <w:pPr>
        <w:rPr>
          <w:lang w:val="de-DE"/>
        </w:rPr>
      </w:pPr>
    </w:p>
    <w:p w:rsidR="000D4ECA" w:rsidRPr="00C83DF5" w:rsidRDefault="000D4ECA" w:rsidP="0063466C">
      <w:pPr>
        <w:rPr>
          <w:lang w:val="de-DE"/>
        </w:rPr>
      </w:pPr>
      <w:r w:rsidRPr="00C83DF5">
        <w:rPr>
          <w:rFonts w:cs="Tahoma"/>
          <w:szCs w:val="18"/>
          <w:lang w:val="de-DE"/>
        </w:rPr>
        <w:t xml:space="preserve">Software Assurance für Core CAL Suites und SQL CAL zählt bei den Schwellenwerten in der ersten Spalte unten jeweils als </w:t>
      </w:r>
      <w:r w:rsidRPr="00C83DF5">
        <w:rPr>
          <w:rFonts w:cs="Tahoma"/>
          <w:szCs w:val="18"/>
          <w:u w:val="single"/>
          <w:lang w:val="de-DE"/>
        </w:rPr>
        <w:t>ein (1) Punkt</w:t>
      </w:r>
      <w:r w:rsidRPr="00225701">
        <w:rPr>
          <w:rFonts w:cs="Tahoma"/>
          <w:szCs w:val="18"/>
          <w:lang w:val="de-DE"/>
        </w:rPr>
        <w:t xml:space="preserve">, </w:t>
      </w:r>
      <w:r w:rsidRPr="00C83DF5">
        <w:rPr>
          <w:rFonts w:cs="Tahoma"/>
          <w:szCs w:val="18"/>
          <w:lang w:val="de-DE"/>
        </w:rPr>
        <w:t xml:space="preserve">Software Assurance für Enterprise CAL Suites zählt bei den Schwellenwerten in der ersten Spalte unten jeweils als </w:t>
      </w:r>
      <w:r w:rsidRPr="00C83DF5">
        <w:rPr>
          <w:rFonts w:cs="Tahoma"/>
          <w:szCs w:val="18"/>
          <w:u w:val="single"/>
          <w:lang w:val="de-DE"/>
        </w:rPr>
        <w:t>zwei (2) Punkte</w:t>
      </w:r>
      <w:r w:rsidRPr="00C83DF5">
        <w:rPr>
          <w:rFonts w:cs="Tahoma"/>
          <w:szCs w:val="18"/>
          <w:lang w:val="de-DE"/>
        </w:rPr>
        <w:t>:</w:t>
      </w:r>
    </w:p>
    <w:p w:rsidR="000D4ECA" w:rsidRPr="00C83DF5" w:rsidRDefault="000D4ECA" w:rsidP="0063466C">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C83DF5"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b/>
                <w:bCs/>
                <w:szCs w:val="18"/>
              </w:rPr>
              <w:lastRenderedPageBreak/>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C83DF5" w:rsidRDefault="000D4ECA" w:rsidP="000D4ECA">
            <w:pPr>
              <w:spacing w:after="60"/>
              <w:rPr>
                <w:rFonts w:cs="Tahoma"/>
                <w:szCs w:val="18"/>
              </w:rPr>
            </w:pPr>
            <w:r w:rsidRPr="00C83DF5">
              <w:rPr>
                <w:rFonts w:cs="Tahoma"/>
                <w:b/>
                <w:bCs/>
                <w:szCs w:val="18"/>
              </w:rPr>
              <w:t xml:space="preserve">Planning Services-Tage </w:t>
            </w:r>
          </w:p>
        </w:tc>
      </w:tr>
      <w:tr w:rsidR="000D4ECA" w:rsidRPr="00C83DF5"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BE1C01">
            <w:pPr>
              <w:spacing w:after="60"/>
              <w:jc w:val="center"/>
              <w:rPr>
                <w:rFonts w:cs="Tahoma"/>
                <w:szCs w:val="18"/>
              </w:rPr>
            </w:pPr>
            <w:r w:rsidRPr="00C83DF5">
              <w:rPr>
                <w:rFonts w:cs="Tahoma"/>
                <w:szCs w:val="18"/>
              </w:rPr>
              <w:t>200</w:t>
            </w:r>
            <w:r w:rsidR="004C7271" w:rsidRPr="00C83DF5">
              <w:rPr>
                <w:rFonts w:cs="Tahoma"/>
                <w:szCs w:val="18"/>
              </w:rPr>
              <w:t xml:space="preserve"> – </w:t>
            </w:r>
            <w:r w:rsidRPr="00C83DF5">
              <w:rPr>
                <w:rFonts w:cs="Tahoma"/>
                <w:szCs w:val="18"/>
              </w:rPr>
              <w:t>3</w:t>
            </w:r>
            <w:r w:rsidR="00BE1C01">
              <w:rPr>
                <w:rFonts w:cs="Tahoma"/>
                <w:szCs w:val="18"/>
              </w:rPr>
              <w:t>.</w:t>
            </w:r>
            <w:r w:rsidRPr="00C83D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1</w:t>
            </w:r>
          </w:p>
        </w:tc>
      </w:tr>
      <w:tr w:rsidR="000D4ECA" w:rsidRPr="00C83DF5"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BE1C01">
            <w:pPr>
              <w:spacing w:after="60"/>
              <w:jc w:val="center"/>
              <w:rPr>
                <w:rFonts w:cs="Tahoma"/>
                <w:szCs w:val="18"/>
              </w:rPr>
            </w:pPr>
            <w:r w:rsidRPr="00C83DF5">
              <w:rPr>
                <w:rFonts w:cs="Tahoma"/>
                <w:szCs w:val="18"/>
              </w:rPr>
              <w:t>4</w:t>
            </w:r>
            <w:r w:rsidR="00BE1C01">
              <w:rPr>
                <w:rFonts w:cs="Tahoma"/>
                <w:szCs w:val="18"/>
              </w:rPr>
              <w:t>.</w:t>
            </w:r>
            <w:r w:rsidRPr="00C83DF5">
              <w:rPr>
                <w:rFonts w:cs="Tahoma"/>
                <w:szCs w:val="18"/>
              </w:rPr>
              <w:t>000 – 9</w:t>
            </w:r>
            <w:r w:rsidR="00BE1C01">
              <w:rPr>
                <w:rFonts w:cs="Tahoma"/>
                <w:szCs w:val="18"/>
              </w:rPr>
              <w:t>.</w:t>
            </w:r>
            <w:r w:rsidRPr="00C83D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83DF5" w:rsidRDefault="000D4ECA" w:rsidP="000D4ECA">
            <w:pPr>
              <w:spacing w:after="60"/>
              <w:jc w:val="center"/>
              <w:rPr>
                <w:rFonts w:cs="Tahoma"/>
                <w:szCs w:val="18"/>
              </w:rPr>
            </w:pPr>
            <w:r w:rsidRPr="00C83DF5">
              <w:rPr>
                <w:rFonts w:cs="Tahoma"/>
                <w:szCs w:val="18"/>
              </w:rPr>
              <w:t>3</w:t>
            </w:r>
          </w:p>
        </w:tc>
      </w:tr>
      <w:tr w:rsidR="000D4ECA" w:rsidRPr="00BE1C0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E1C01" w:rsidRDefault="000D4ECA" w:rsidP="00BE1C01">
            <w:pPr>
              <w:spacing w:after="60"/>
              <w:jc w:val="center"/>
              <w:rPr>
                <w:rFonts w:cs="Tahoma"/>
                <w:szCs w:val="18"/>
                <w:lang w:val="de-DE"/>
              </w:rPr>
            </w:pPr>
            <w:r w:rsidRPr="00BE1C01">
              <w:rPr>
                <w:rFonts w:cs="Tahoma"/>
                <w:szCs w:val="18"/>
                <w:lang w:val="de-DE"/>
              </w:rPr>
              <w:t>10</w:t>
            </w:r>
            <w:r w:rsidR="00BE1C01" w:rsidRPr="00BE1C01">
              <w:rPr>
                <w:rFonts w:cs="Tahoma"/>
                <w:szCs w:val="18"/>
                <w:lang w:val="de-DE"/>
              </w:rPr>
              <w:t>.</w:t>
            </w:r>
            <w:r w:rsidRPr="00BE1C01">
              <w:rPr>
                <w:rFonts w:cs="Tahoma"/>
                <w:szCs w:val="18"/>
                <w:lang w:val="de-DE"/>
              </w:rPr>
              <w:t>000 – 99</w:t>
            </w:r>
            <w:r w:rsidR="00BE1C01" w:rsidRPr="00BE1C01">
              <w:rPr>
                <w:rFonts w:cs="Tahoma"/>
                <w:szCs w:val="18"/>
                <w:lang w:val="de-DE"/>
              </w:rPr>
              <w:t>.</w:t>
            </w:r>
            <w:r w:rsidRPr="00BE1C01">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E1C01" w:rsidRDefault="000D4ECA" w:rsidP="000D4ECA">
            <w:pPr>
              <w:spacing w:after="60"/>
              <w:jc w:val="center"/>
              <w:rPr>
                <w:rFonts w:cs="Tahoma"/>
                <w:szCs w:val="18"/>
                <w:lang w:val="de-DE"/>
              </w:rPr>
            </w:pPr>
            <w:r w:rsidRPr="00BE1C01">
              <w:rPr>
                <w:rFonts w:cs="Tahoma"/>
                <w:szCs w:val="18"/>
                <w:lang w:val="de-DE"/>
              </w:rPr>
              <w:t>5</w:t>
            </w:r>
          </w:p>
        </w:tc>
      </w:tr>
      <w:tr w:rsidR="000D4ECA" w:rsidRPr="00BE1C0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E1C01" w:rsidRDefault="000D4ECA" w:rsidP="00BE1C01">
            <w:pPr>
              <w:spacing w:after="60"/>
              <w:jc w:val="center"/>
              <w:rPr>
                <w:rFonts w:cs="Tahoma"/>
                <w:szCs w:val="18"/>
                <w:lang w:val="de-DE"/>
              </w:rPr>
            </w:pPr>
            <w:r w:rsidRPr="00BE1C01">
              <w:rPr>
                <w:rFonts w:cs="Tahoma"/>
                <w:szCs w:val="18"/>
                <w:lang w:val="de-DE"/>
              </w:rPr>
              <w:t>100</w:t>
            </w:r>
            <w:r w:rsidR="00BE1C01" w:rsidRPr="00BE1C01">
              <w:rPr>
                <w:rFonts w:cs="Tahoma"/>
                <w:szCs w:val="18"/>
                <w:lang w:val="de-DE"/>
              </w:rPr>
              <w:t>.</w:t>
            </w:r>
            <w:r w:rsidRPr="00BE1C01">
              <w:rPr>
                <w:rFonts w:cs="Tahoma"/>
                <w:szCs w:val="18"/>
                <w:lang w:val="de-DE"/>
              </w:rPr>
              <w:t>000 – 299</w:t>
            </w:r>
            <w:r w:rsidR="00BE1C01" w:rsidRPr="00BE1C01">
              <w:rPr>
                <w:rFonts w:cs="Tahoma"/>
                <w:szCs w:val="18"/>
                <w:lang w:val="de-DE"/>
              </w:rPr>
              <w:t>.</w:t>
            </w:r>
            <w:r w:rsidRPr="00BE1C01">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E1C01" w:rsidRDefault="000D4ECA" w:rsidP="000D4ECA">
            <w:pPr>
              <w:spacing w:after="60"/>
              <w:jc w:val="center"/>
              <w:rPr>
                <w:rFonts w:cs="Tahoma"/>
                <w:szCs w:val="18"/>
                <w:lang w:val="de-DE"/>
              </w:rPr>
            </w:pPr>
            <w:r w:rsidRPr="00BE1C01">
              <w:rPr>
                <w:rFonts w:cs="Tahoma"/>
                <w:szCs w:val="18"/>
                <w:lang w:val="de-DE"/>
              </w:rPr>
              <w:t>7</w:t>
            </w:r>
          </w:p>
        </w:tc>
      </w:tr>
      <w:tr w:rsidR="000D4ECA" w:rsidRPr="00BE1C01"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E1C01" w:rsidRDefault="000D4ECA" w:rsidP="00BE1C01">
            <w:pPr>
              <w:spacing w:after="60"/>
              <w:jc w:val="center"/>
              <w:rPr>
                <w:rFonts w:cs="Tahoma"/>
                <w:szCs w:val="18"/>
                <w:lang w:val="de-DE"/>
              </w:rPr>
            </w:pPr>
            <w:r w:rsidRPr="00BE1C01">
              <w:rPr>
                <w:rFonts w:cs="Tahoma"/>
                <w:szCs w:val="18"/>
                <w:lang w:val="de-DE"/>
              </w:rPr>
              <w:t>300</w:t>
            </w:r>
            <w:r w:rsidR="00BE1C01" w:rsidRPr="00BE1C01">
              <w:rPr>
                <w:rFonts w:cs="Tahoma"/>
                <w:szCs w:val="18"/>
                <w:lang w:val="de-DE"/>
              </w:rPr>
              <w:t>.</w:t>
            </w:r>
            <w:r w:rsidRPr="00BE1C01">
              <w:rPr>
                <w:rFonts w:cs="Tahoma"/>
                <w:szCs w:val="18"/>
                <w:lang w:val="de-DE"/>
              </w:rPr>
              <w:t>000 – 599</w:t>
            </w:r>
            <w:r w:rsidR="00BE1C01" w:rsidRPr="00BE1C01">
              <w:rPr>
                <w:rFonts w:cs="Tahoma"/>
                <w:szCs w:val="18"/>
                <w:lang w:val="de-DE"/>
              </w:rPr>
              <w:t>.</w:t>
            </w:r>
            <w:r w:rsidRPr="00BE1C01">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E1C01" w:rsidRDefault="000D4ECA" w:rsidP="000D4ECA">
            <w:pPr>
              <w:spacing w:after="60"/>
              <w:jc w:val="center"/>
              <w:rPr>
                <w:rFonts w:cs="Tahoma"/>
                <w:szCs w:val="18"/>
                <w:lang w:val="de-DE"/>
              </w:rPr>
            </w:pPr>
            <w:r w:rsidRPr="00BE1C01">
              <w:rPr>
                <w:rFonts w:cs="Tahoma"/>
                <w:szCs w:val="18"/>
                <w:lang w:val="de-DE"/>
              </w:rPr>
              <w:t>10</w:t>
            </w:r>
          </w:p>
        </w:tc>
      </w:tr>
      <w:tr w:rsidR="000D4ECA" w:rsidRPr="00BE1C0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E1C01" w:rsidRDefault="000D4ECA" w:rsidP="00BE1C01">
            <w:pPr>
              <w:spacing w:after="60"/>
              <w:jc w:val="center"/>
              <w:rPr>
                <w:rFonts w:cs="Tahoma"/>
                <w:szCs w:val="18"/>
                <w:lang w:val="de-DE"/>
              </w:rPr>
            </w:pPr>
            <w:r w:rsidRPr="00BE1C01">
              <w:rPr>
                <w:rFonts w:cs="Tahoma"/>
                <w:szCs w:val="18"/>
                <w:lang w:val="de-DE"/>
              </w:rPr>
              <w:t>600</w:t>
            </w:r>
            <w:r w:rsidR="00BE1C01" w:rsidRPr="00BE1C01">
              <w:rPr>
                <w:rFonts w:cs="Tahoma"/>
                <w:szCs w:val="18"/>
                <w:lang w:val="de-DE"/>
              </w:rPr>
              <w:t>.</w:t>
            </w:r>
            <w:r w:rsidRPr="00BE1C01">
              <w:rPr>
                <w:rFonts w:cs="Tahoma"/>
                <w:szCs w:val="18"/>
                <w:lang w:val="de-DE"/>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E1C01" w:rsidRDefault="000D4ECA" w:rsidP="000D4ECA">
            <w:pPr>
              <w:spacing w:after="60"/>
              <w:jc w:val="center"/>
              <w:rPr>
                <w:rFonts w:cs="Tahoma"/>
                <w:szCs w:val="18"/>
                <w:lang w:val="de-DE"/>
              </w:rPr>
            </w:pPr>
            <w:r w:rsidRPr="00BE1C01">
              <w:rPr>
                <w:rFonts w:cs="Tahoma"/>
                <w:szCs w:val="18"/>
                <w:lang w:val="de-DE"/>
              </w:rPr>
              <w:t>12</w:t>
            </w:r>
          </w:p>
        </w:tc>
      </w:tr>
    </w:tbl>
    <w:p w:rsidR="001C1727" w:rsidRPr="00BE1C01" w:rsidRDefault="001C1727">
      <w:pPr>
        <w:rPr>
          <w:lang w:val="de-DE"/>
        </w:rPr>
      </w:pPr>
    </w:p>
    <w:p w:rsidR="000D4ECA" w:rsidRPr="00BE1C01" w:rsidRDefault="000D4ECA" w:rsidP="000D4ECA">
      <w:pPr>
        <w:spacing w:after="60"/>
        <w:rPr>
          <w:lang w:val="de-DE"/>
        </w:rPr>
      </w:pPr>
      <w:r w:rsidRPr="00BE1C01">
        <w:rPr>
          <w:rFonts w:cs="Tahoma"/>
          <w:szCs w:val="20"/>
          <w:lang w:val="de-DE"/>
        </w:rPr>
        <w:t>Beispiele</w:t>
      </w:r>
    </w:p>
    <w:p w:rsidR="000D4ECA" w:rsidRPr="00BE1C01" w:rsidRDefault="000D4ECA" w:rsidP="000D4ECA">
      <w:pPr>
        <w:spacing w:after="60"/>
        <w:rPr>
          <w:lang w:val="de-DE"/>
        </w:rPr>
      </w:pPr>
      <w:r w:rsidRPr="00BE1C01">
        <w:rPr>
          <w:rFonts w:cs="Tahoma"/>
          <w:szCs w:val="20"/>
          <w:lang w:val="de-DE"/>
        </w:rPr>
        <w:t>Open Value-Vertrag mit:</w:t>
      </w:r>
    </w:p>
    <w:p w:rsidR="000D4ECA" w:rsidRPr="00C83DF5" w:rsidRDefault="000D4ECA" w:rsidP="000D4ECA">
      <w:pPr>
        <w:spacing w:after="60"/>
      </w:pPr>
      <w:r w:rsidRPr="00BE1C01">
        <w:rPr>
          <w:rFonts w:cs="Tahoma"/>
          <w:szCs w:val="20"/>
          <w:lang w:val="de-DE"/>
        </w:rPr>
        <w:t>150 Office Professional Plus L&amp;S</w:t>
      </w:r>
      <w:r w:rsidRPr="00C83DF5">
        <w:rPr>
          <w:rFonts w:cs="Tahoma"/>
          <w:szCs w:val="20"/>
        </w:rPr>
        <w:t>A</w:t>
      </w:r>
    </w:p>
    <w:p w:rsidR="000D4ECA" w:rsidRPr="00C83DF5" w:rsidRDefault="000D4ECA" w:rsidP="000D4ECA">
      <w:pPr>
        <w:spacing w:after="60"/>
      </w:pPr>
      <w:r w:rsidRPr="00C83DF5">
        <w:rPr>
          <w:rFonts w:cs="Tahoma"/>
          <w:szCs w:val="20"/>
          <w:u w:val="single"/>
        </w:rPr>
        <w:t>+50 Visio Standard SA</w:t>
      </w:r>
      <w:r w:rsidRPr="00C83DF5">
        <w:rPr>
          <w:rFonts w:cs="Tahoma"/>
          <w:szCs w:val="20"/>
          <w:u w:val="single"/>
        </w:rPr>
        <w:tab/>
      </w:r>
    </w:p>
    <w:p w:rsidR="000D4ECA" w:rsidRPr="00C83DF5" w:rsidRDefault="000D4ECA" w:rsidP="000D4ECA">
      <w:pPr>
        <w:spacing w:after="60"/>
        <w:rPr>
          <w:lang w:val="de-DE"/>
        </w:rPr>
      </w:pPr>
      <w:r w:rsidRPr="00C83DF5">
        <w:rPr>
          <w:rFonts w:cs="Tahoma"/>
          <w:szCs w:val="20"/>
          <w:lang w:val="de-DE"/>
        </w:rPr>
        <w:t>200 abgedeckte Office-Anwendungs- und/oder Serverlizenzpunkte = 1 Tag</w:t>
      </w:r>
    </w:p>
    <w:p w:rsidR="000D4ECA" w:rsidRPr="00C83DF5" w:rsidRDefault="000D4ECA" w:rsidP="00077CE5">
      <w:pPr>
        <w:rPr>
          <w:lang w:val="de-DE"/>
        </w:rPr>
      </w:pPr>
    </w:p>
    <w:p w:rsidR="000D4ECA" w:rsidRPr="00C83DF5" w:rsidRDefault="000D4ECA" w:rsidP="000D4ECA">
      <w:pPr>
        <w:spacing w:after="60"/>
        <w:rPr>
          <w:lang w:val="de-DE"/>
        </w:rPr>
      </w:pPr>
      <w:r w:rsidRPr="00C83DF5">
        <w:rPr>
          <w:rFonts w:cs="Tahoma"/>
          <w:szCs w:val="20"/>
          <w:lang w:val="de-DE"/>
        </w:rPr>
        <w:t>Select- oder Select Plus-SAM-Beitritt mit:</w:t>
      </w:r>
    </w:p>
    <w:p w:rsidR="000D4ECA" w:rsidRPr="00C83DF5" w:rsidRDefault="000D4ECA" w:rsidP="000D4ECA">
      <w:pPr>
        <w:spacing w:after="60"/>
        <w:rPr>
          <w:lang w:val="fr-FR"/>
        </w:rPr>
      </w:pPr>
      <w:r w:rsidRPr="00C83DF5">
        <w:rPr>
          <w:rFonts w:cs="Tahoma"/>
          <w:szCs w:val="20"/>
          <w:lang w:val="fr-FR"/>
        </w:rPr>
        <w:t>3.500 Enterprise CAL Suite SA</w:t>
      </w:r>
    </w:p>
    <w:p w:rsidR="000D4ECA" w:rsidRPr="00C83DF5" w:rsidRDefault="000D4ECA" w:rsidP="000D4ECA">
      <w:pPr>
        <w:spacing w:after="60"/>
        <w:rPr>
          <w:lang w:val="fr-FR"/>
        </w:rPr>
      </w:pPr>
      <w:r w:rsidRPr="00C83DF5">
        <w:rPr>
          <w:rFonts w:cs="Tahoma"/>
          <w:szCs w:val="20"/>
          <w:u w:val="single"/>
          <w:lang w:val="fr-FR"/>
        </w:rPr>
        <w:t>x jeweils 2 Punkte</w:t>
      </w:r>
      <w:r w:rsidRPr="00C83DF5">
        <w:rPr>
          <w:rFonts w:cs="Tahoma"/>
          <w:szCs w:val="20"/>
          <w:u w:val="single"/>
          <w:lang w:val="fr-FR"/>
        </w:rPr>
        <w:tab/>
      </w:r>
      <w:r w:rsidRPr="00C83DF5">
        <w:rPr>
          <w:rFonts w:cs="Tahoma"/>
          <w:szCs w:val="20"/>
          <w:u w:val="single"/>
          <w:lang w:val="fr-FR"/>
        </w:rPr>
        <w:tab/>
      </w:r>
      <w:r w:rsidRPr="00C83DF5">
        <w:rPr>
          <w:rFonts w:cs="Tahoma"/>
          <w:szCs w:val="20"/>
          <w:lang w:val="fr-FR"/>
        </w:rPr>
        <w:t xml:space="preserve"> </w:t>
      </w:r>
    </w:p>
    <w:p w:rsidR="000D4ECA" w:rsidRPr="00C83DF5" w:rsidRDefault="000D4ECA" w:rsidP="000D4ECA">
      <w:pPr>
        <w:spacing w:after="60"/>
        <w:rPr>
          <w:lang w:val="de-DE"/>
        </w:rPr>
      </w:pPr>
      <w:r w:rsidRPr="00C83DF5">
        <w:rPr>
          <w:rFonts w:cs="Tahoma"/>
          <w:szCs w:val="20"/>
          <w:lang w:val="de-DE"/>
        </w:rPr>
        <w:t xml:space="preserve">7.000 CAL-Punkte = 3 Tage </w:t>
      </w:r>
    </w:p>
    <w:p w:rsidR="000D4ECA" w:rsidRPr="00C83DF5" w:rsidRDefault="000D4ECA" w:rsidP="00077CE5">
      <w:pPr>
        <w:rPr>
          <w:lang w:val="de-DE"/>
        </w:rPr>
      </w:pPr>
    </w:p>
    <w:p w:rsidR="000D4ECA" w:rsidRPr="00C83DF5" w:rsidRDefault="000D4ECA" w:rsidP="000D4ECA">
      <w:pPr>
        <w:spacing w:after="60"/>
        <w:rPr>
          <w:lang w:val="de-DE"/>
        </w:rPr>
      </w:pPr>
      <w:r w:rsidRPr="00C83DF5">
        <w:rPr>
          <w:rFonts w:cs="Tahoma"/>
          <w:szCs w:val="20"/>
          <w:lang w:val="de-DE"/>
        </w:rPr>
        <w:t>EA-Beitritt mit:</w:t>
      </w:r>
    </w:p>
    <w:p w:rsidR="000D4ECA" w:rsidRPr="00C83DF5" w:rsidRDefault="000D4ECA" w:rsidP="000D4ECA">
      <w:pPr>
        <w:spacing w:after="60"/>
      </w:pPr>
      <w:r w:rsidRPr="00C83DF5">
        <w:rPr>
          <w:rFonts w:cs="Tahoma"/>
          <w:szCs w:val="20"/>
        </w:rPr>
        <w:t>3.500 Enterprise Desktop</w:t>
      </w:r>
    </w:p>
    <w:p w:rsidR="000D4ECA" w:rsidRPr="00C83DF5" w:rsidRDefault="000D4ECA" w:rsidP="00346F4B">
      <w:pPr>
        <w:numPr>
          <w:ilvl w:val="0"/>
          <w:numId w:val="70"/>
        </w:numPr>
        <w:tabs>
          <w:tab w:val="left" w:pos="720"/>
        </w:tabs>
        <w:spacing w:after="60" w:line="276" w:lineRule="auto"/>
      </w:pPr>
      <w:r w:rsidRPr="00C83DF5">
        <w:rPr>
          <w:rFonts w:cs="Tahoma"/>
          <w:szCs w:val="20"/>
        </w:rPr>
        <w:t xml:space="preserve">3.500 Office Professional </w:t>
      </w:r>
      <w:r w:rsidRPr="00C83DF5">
        <w:rPr>
          <w:rFonts w:cs="Tahoma"/>
          <w:color w:val="000000"/>
          <w:szCs w:val="20"/>
        </w:rPr>
        <w:t>Plus</w:t>
      </w:r>
    </w:p>
    <w:p w:rsidR="000D4ECA" w:rsidRPr="00C83DF5" w:rsidRDefault="000D4ECA" w:rsidP="00346F4B">
      <w:pPr>
        <w:numPr>
          <w:ilvl w:val="0"/>
          <w:numId w:val="70"/>
        </w:numPr>
        <w:spacing w:after="60" w:line="276" w:lineRule="auto"/>
      </w:pPr>
      <w:r w:rsidRPr="00C83DF5">
        <w:rPr>
          <w:rFonts w:cs="Tahoma"/>
          <w:color w:val="000000"/>
          <w:szCs w:val="20"/>
        </w:rPr>
        <w:t>3.500 Enterprise CAL Suite</w:t>
      </w:r>
    </w:p>
    <w:p w:rsidR="000D4ECA" w:rsidRPr="00C83DF5" w:rsidRDefault="000D4ECA" w:rsidP="000D4ECA">
      <w:pPr>
        <w:spacing w:after="60"/>
        <w:rPr>
          <w:lang w:val="de-DE"/>
        </w:rPr>
      </w:pPr>
      <w:r w:rsidRPr="00C83DF5">
        <w:rPr>
          <w:rFonts w:cs="Tahoma"/>
          <w:szCs w:val="20"/>
          <w:lang w:val="de-DE"/>
        </w:rPr>
        <w:t>+50 Windows ServerEnterprise Edition (x je 50 Punkte = 2.500 Punkte)</w:t>
      </w:r>
    </w:p>
    <w:p w:rsidR="000D4ECA" w:rsidRPr="00C83DF5" w:rsidRDefault="000D4ECA" w:rsidP="000D4ECA">
      <w:pPr>
        <w:spacing w:after="60"/>
        <w:rPr>
          <w:lang w:val="de-DE"/>
        </w:rPr>
      </w:pPr>
      <w:r w:rsidRPr="00C83DF5">
        <w:rPr>
          <w:rFonts w:cs="Tahoma"/>
          <w:szCs w:val="20"/>
          <w:u w:val="single"/>
          <w:lang w:val="de-DE"/>
        </w:rPr>
        <w:t>+600 Visio Standard SA</w:t>
      </w:r>
      <w:r w:rsidRPr="00C83DF5">
        <w:rPr>
          <w:rFonts w:cs="Tahoma"/>
          <w:szCs w:val="20"/>
          <w:u w:val="single"/>
          <w:lang w:val="de-DE"/>
        </w:rPr>
        <w:tab/>
      </w:r>
    </w:p>
    <w:p w:rsidR="000D4ECA" w:rsidRPr="00C83DF5" w:rsidRDefault="000D4ECA" w:rsidP="000D4ECA">
      <w:pPr>
        <w:spacing w:after="60"/>
        <w:rPr>
          <w:lang w:val="de-DE"/>
        </w:rPr>
      </w:pPr>
      <w:r w:rsidRPr="00C83DF5">
        <w:rPr>
          <w:rFonts w:cs="Tahoma"/>
          <w:szCs w:val="20"/>
          <w:lang w:val="de-DE"/>
        </w:rPr>
        <w:t xml:space="preserve">6.600 Office-Anwendungs- und/oder Serverlizenzpunkte mit SA = 10 Tage </w:t>
      </w:r>
    </w:p>
    <w:p w:rsidR="000D4ECA" w:rsidRPr="00C83DF5" w:rsidRDefault="000D4ECA" w:rsidP="000D4ECA">
      <w:pPr>
        <w:spacing w:after="60"/>
      </w:pPr>
      <w:r w:rsidRPr="00C83DF5">
        <w:rPr>
          <w:rFonts w:cs="Tahoma"/>
          <w:szCs w:val="20"/>
        </w:rPr>
        <w:t>7.000 CAL-Suite-Punkte mit SA = 3 Tage</w:t>
      </w:r>
    </w:p>
    <w:p w:rsidR="000D4ECA" w:rsidRPr="00C83DF5" w:rsidRDefault="000D4ECA" w:rsidP="00346F4B">
      <w:pPr>
        <w:numPr>
          <w:ilvl w:val="0"/>
          <w:numId w:val="71"/>
        </w:numPr>
        <w:spacing w:after="60"/>
        <w:ind w:left="720"/>
      </w:pPr>
      <w:r w:rsidRPr="00C83DF5">
        <w:rPr>
          <w:rFonts w:cs="Tahoma"/>
          <w:szCs w:val="20"/>
        </w:rPr>
        <w:t>Insgesamt 13 Planning Services-Tage</w:t>
      </w:r>
    </w:p>
    <w:p w:rsidR="00697E59" w:rsidRPr="00C83DF5" w:rsidRDefault="00697E59" w:rsidP="00077CE5">
      <w:pPr>
        <w:ind w:firstLine="360"/>
      </w:pPr>
    </w:p>
    <w:p w:rsidR="00023FE7" w:rsidRPr="00C83DF5" w:rsidRDefault="00023FE7" w:rsidP="00CB66B8">
      <w:pPr>
        <w:pStyle w:val="AppendixBodyText"/>
        <w:spacing w:after="0"/>
        <w:rPr>
          <w:lang w:val="de-DE"/>
        </w:rPr>
      </w:pPr>
      <w:r w:rsidRPr="00C83DF5">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BE1C01">
        <w:rPr>
          <w:rFonts w:ascii="Tahoma" w:hAnsi="Tahoma" w:cs="Tahoma"/>
          <w:sz w:val="18"/>
          <w:lang w:val="de-DE"/>
        </w:rPr>
        <w:t> </w:t>
      </w:r>
      <w:r w:rsidRPr="00C83DF5">
        <w:rPr>
          <w:rFonts w:ascii="Tahoma" w:hAnsi="Tahoma" w:cs="Tahoma"/>
          <w:sz w:val="18"/>
          <w:lang w:val="de-DE"/>
        </w:rPr>
        <w:t>Trainingsgutschein-Vergünstigung, die umgewandelt werden können.</w:t>
      </w:r>
      <w:r w:rsidR="00E71F46" w:rsidRPr="00C83DF5">
        <w:rPr>
          <w:rFonts w:ascii="Tahoma" w:hAnsi="Tahoma" w:cs="Tahoma"/>
          <w:sz w:val="18"/>
          <w:lang w:val="de-DE"/>
        </w:rPr>
        <w:t xml:space="preserve"> </w:t>
      </w:r>
      <w:r w:rsidRPr="00C83DF5">
        <w:rPr>
          <w:rFonts w:ascii="Tahoma" w:hAnsi="Tahoma" w:cs="Tahoma"/>
          <w:sz w:val="18"/>
          <w:lang w:val="de-DE"/>
        </w:rPr>
        <w:t xml:space="preserve">Berechtigte Kunden können nicht in Anspruch genommene Trainingsgutschein-Tage im Verhältnis 3:1 in Planning Service-Tage umwandeln (drei Trainingsgutschein-Tage = ein Planning Services-Tag). </w:t>
      </w:r>
      <w:r w:rsidRPr="00C83DF5">
        <w:rPr>
          <w:rFonts w:ascii="Tahoma" w:hAnsi="Tahoma" w:cs="Tahoma"/>
          <w:bCs/>
          <w:sz w:val="18"/>
          <w:lang w:val="de-DE"/>
        </w:rPr>
        <w:t>(HINWEIS: Kunden, die ihre Trainingsgutschein-Tage für Planning Services verwenden möchten, sollten mit diesen Tagen keine Trainingsgutscheine erstellen.) [</w:t>
      </w:r>
      <w:r w:rsidRPr="00C83DF5">
        <w:rPr>
          <w:rFonts w:ascii="Tahoma" w:hAnsi="Tahoma" w:cs="Tahoma"/>
          <w:sz w:val="18"/>
          <w:lang w:val="de-DE"/>
        </w:rPr>
        <w:t>Planning</w:t>
      </w:r>
      <w:r w:rsidRPr="00C83DF5">
        <w:rPr>
          <w:rFonts w:ascii="Tahoma" w:hAnsi="Tahoma" w:cs="Tahoma"/>
          <w:bCs/>
          <w:sz w:val="18"/>
          <w:lang w:val="de-DE"/>
        </w:rPr>
        <w:t xml:space="preserve">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E71F46" w:rsidRPr="00C83DF5">
        <w:rPr>
          <w:rFonts w:ascii="Tahoma" w:hAnsi="Tahoma" w:cs="Tahoma"/>
          <w:bCs/>
          <w:sz w:val="18"/>
          <w:lang w:val="de-DE"/>
        </w:rPr>
        <w:t xml:space="preserve"> </w:t>
      </w:r>
      <w:r w:rsidRPr="00C83DF5">
        <w:rPr>
          <w:rFonts w:ascii="Tahoma" w:hAnsi="Tahoma" w:cs="Tahoma"/>
          <w:bCs/>
          <w:sz w:val="18"/>
          <w:lang w:val="de-DE"/>
        </w:rPr>
        <w:t>Mit diesen Tagen können dann Gutscheine für verfügbare Services (wie DDPS oder SDPS) erstellt werden.</w:t>
      </w:r>
      <w:r w:rsidR="00E71F46" w:rsidRPr="00C83DF5">
        <w:rPr>
          <w:rFonts w:ascii="Tahoma" w:hAnsi="Tahoma" w:cs="Tahoma"/>
          <w:bCs/>
          <w:sz w:val="18"/>
          <w:lang w:val="de-DE"/>
        </w:rPr>
        <w:t xml:space="preserve"> </w:t>
      </w:r>
      <w:r w:rsidRPr="00C83DF5">
        <w:rPr>
          <w:rFonts w:ascii="Tahoma" w:hAnsi="Tahoma" w:cs="Tahoma"/>
          <w:bCs/>
          <w:sz w:val="18"/>
          <w:lang w:val="de-DE"/>
        </w:rPr>
        <w:t>*Die Berechtigung von Kunden, Tage zurück in Trainingsgutschein-Tage umzuwandeln, ist durch die Anzahl von Tagen, die auf der Stufe der Planning Services-Tage verfügbar sind, begrenzt.</w:t>
      </w:r>
      <w:r w:rsidR="00E71F46" w:rsidRPr="00C83DF5">
        <w:rPr>
          <w:rFonts w:ascii="Tahoma" w:hAnsi="Tahoma" w:cs="Tahoma"/>
          <w:bCs/>
          <w:sz w:val="18"/>
          <w:lang w:val="de-DE"/>
        </w:rPr>
        <w:t xml:space="preserve"> </w:t>
      </w:r>
      <w:r w:rsidRPr="00C83DF5">
        <w:rPr>
          <w:rFonts w:ascii="Tahoma" w:hAnsi="Tahoma" w:cs="Tahoma"/>
          <w:bCs/>
          <w:sz w:val="18"/>
          <w:lang w:val="de-DE"/>
        </w:rPr>
        <w:t>Wenn ein Kunde 10 Tage zurückumwandeln möchte, sich</w:t>
      </w:r>
      <w:r w:rsidR="00CB66B8">
        <w:rPr>
          <w:rFonts w:ascii="Tahoma" w:hAnsi="Tahoma" w:cs="Tahoma"/>
          <w:bCs/>
          <w:sz w:val="18"/>
          <w:lang w:val="de-DE"/>
        </w:rPr>
        <w:t> </w:t>
      </w:r>
      <w:r w:rsidRPr="00C83DF5">
        <w:rPr>
          <w:rFonts w:ascii="Tahoma" w:hAnsi="Tahoma" w:cs="Tahoma"/>
          <w:bCs/>
          <w:sz w:val="18"/>
          <w:lang w:val="de-DE"/>
        </w:rPr>
        <w:t>jedoch nur 8 Planning Services-Tage in seinem Pool befinden, kann der Kunde nur 8 Tage zurückumwandeln.</w:t>
      </w:r>
      <w:r w:rsidR="00E71F46" w:rsidRPr="00C83DF5">
        <w:rPr>
          <w:rFonts w:ascii="Tahoma" w:hAnsi="Tahoma" w:cs="Tahoma"/>
          <w:bCs/>
          <w:sz w:val="18"/>
          <w:lang w:val="de-DE"/>
        </w:rPr>
        <w:t xml:space="preserve"> </w:t>
      </w:r>
    </w:p>
    <w:p w:rsidR="00F528E5" w:rsidRPr="00C83DF5" w:rsidRDefault="00F528E5" w:rsidP="00F528E5">
      <w:pPr>
        <w:pStyle w:val="AppendixBodyText"/>
        <w:spacing w:after="0"/>
        <w:rPr>
          <w:lang w:val="de-DE"/>
        </w:rPr>
      </w:pPr>
    </w:p>
    <w:p w:rsidR="00023FE7" w:rsidRPr="00C83DF5" w:rsidRDefault="00023FE7" w:rsidP="00F528E5">
      <w:pPr>
        <w:pStyle w:val="AppendixBodyText"/>
        <w:spacing w:after="0"/>
        <w:rPr>
          <w:lang w:val="de-DE"/>
        </w:rPr>
      </w:pPr>
      <w:r w:rsidRPr="00C83DF5">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023FE7" w:rsidRPr="008B3D04" w:rsidRDefault="00023FE7" w:rsidP="00077CE5">
      <w:pPr>
        <w:pStyle w:val="AppendixBodyText"/>
        <w:spacing w:after="0"/>
        <w:rPr>
          <w:rFonts w:ascii="Tahoma" w:hAnsi="Tahoma" w:cs="Tahoma"/>
          <w:sz w:val="18"/>
          <w:lang w:val="de-DE"/>
        </w:rPr>
      </w:pPr>
    </w:p>
    <w:p w:rsidR="00023FE7" w:rsidRPr="00E849A8" w:rsidRDefault="000D4ECA" w:rsidP="00E849A8">
      <w:pPr>
        <w:pStyle w:val="AppendixBodyText"/>
        <w:rPr>
          <w:lang w:val="de-DE"/>
        </w:rPr>
      </w:pPr>
      <w:r w:rsidRPr="00C83DF5">
        <w:rPr>
          <w:rFonts w:ascii="Tahoma" w:hAnsi="Tahoma" w:cs="Tahoma"/>
          <w:sz w:val="18"/>
          <w:lang w:val="de-DE"/>
        </w:rPr>
        <w:lastRenderedPageBreak/>
        <w:t>Planning Services können dem Kunden durch qualifizierte Microsoft-Partner oder Microsoft Consulting Services bereitgestellt werden.</w:t>
      </w:r>
      <w:r w:rsidR="00E71F46" w:rsidRPr="00C83DF5">
        <w:rPr>
          <w:rFonts w:ascii="Tahoma" w:hAnsi="Tahoma" w:cs="Tahoma"/>
          <w:sz w:val="18"/>
          <w:lang w:val="de-DE"/>
        </w:rPr>
        <w:t xml:space="preserve"> </w:t>
      </w:r>
      <w:r w:rsidRPr="00C83DF5">
        <w:rPr>
          <w:rFonts w:ascii="Tahoma" w:hAnsi="Tahoma" w:cs="Tahoma"/>
          <w:sz w:val="18"/>
          <w:lang w:val="de-DE"/>
        </w:rPr>
        <w:t xml:space="preserve">Kunden können die Liste Qualifizierter Anbieter unter folgender Adresse einsehen: </w:t>
      </w:r>
      <w:r w:rsidR="00E849A8" w:rsidRPr="00E849A8">
        <w:rPr>
          <w:rFonts w:ascii="Tahoma" w:hAnsi="Tahoma" w:cs="Tahoma"/>
          <w:sz w:val="18"/>
          <w:lang w:val="de-DE"/>
        </w:rPr>
        <w:t>http://directory.partners.extranet.microsoft.com/psbproviders</w:t>
      </w:r>
    </w:p>
    <w:p w:rsidR="00EC05F0" w:rsidRPr="008B3D04" w:rsidRDefault="00EC05F0">
      <w:pPr>
        <w:rPr>
          <w:rFonts w:cs="Tahoma"/>
          <w:szCs w:val="20"/>
          <w:lang w:val="de-DE"/>
        </w:rPr>
      </w:pPr>
    </w:p>
    <w:p w:rsidR="00023FE7" w:rsidRPr="00C83DF5" w:rsidRDefault="000D4ECA" w:rsidP="005A141F">
      <w:pPr>
        <w:pStyle w:val="AppendixBodyText"/>
        <w:spacing w:after="0"/>
        <w:rPr>
          <w:lang w:val="de-DE"/>
        </w:rPr>
      </w:pPr>
      <w:r w:rsidRPr="00C83DF5">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023FE7" w:rsidRPr="008B3D04" w:rsidRDefault="00023FE7" w:rsidP="005A141F">
      <w:pPr>
        <w:pStyle w:val="AppendixBodyText"/>
        <w:spacing w:after="0"/>
        <w:rPr>
          <w:rFonts w:ascii="Tahoma" w:hAnsi="Tahoma" w:cs="Tahoma"/>
          <w:sz w:val="18"/>
          <w:lang w:val="de-DE"/>
        </w:rPr>
      </w:pPr>
    </w:p>
    <w:p w:rsidR="00AC1997" w:rsidRPr="00C83DF5" w:rsidRDefault="000D4ECA" w:rsidP="002F529F">
      <w:pPr>
        <w:pStyle w:val="AppendixBodyText"/>
        <w:numPr>
          <w:ilvl w:val="0"/>
          <w:numId w:val="1"/>
        </w:numPr>
        <w:tabs>
          <w:tab w:val="clear" w:pos="720"/>
          <w:tab w:val="num" w:pos="1440"/>
        </w:tabs>
        <w:ind w:left="1440"/>
        <w:rPr>
          <w:lang w:val="de-DE"/>
        </w:rPr>
      </w:pPr>
      <w:r w:rsidRPr="00C83DF5">
        <w:rPr>
          <w:rFonts w:ascii="Tahoma" w:hAnsi="Tahoma" w:cs="Tahoma"/>
          <w:bCs/>
          <w:sz w:val="18"/>
          <w:lang w:val="de-DE"/>
        </w:rPr>
        <w:t>Planning Services sind nicht in allen Sprachen verfügbar.</w:t>
      </w:r>
    </w:p>
    <w:p w:rsidR="00AC1997" w:rsidRPr="00C83DF5" w:rsidRDefault="000D4ECA" w:rsidP="002F529F">
      <w:pPr>
        <w:pStyle w:val="AppendixBodyText"/>
        <w:numPr>
          <w:ilvl w:val="0"/>
          <w:numId w:val="1"/>
        </w:numPr>
        <w:tabs>
          <w:tab w:val="clear" w:pos="720"/>
          <w:tab w:val="num" w:pos="1440"/>
        </w:tabs>
        <w:ind w:left="1440"/>
        <w:rPr>
          <w:lang w:val="de-DE"/>
        </w:rPr>
      </w:pPr>
      <w:r w:rsidRPr="00C83DF5">
        <w:rPr>
          <w:rFonts w:ascii="Tahoma" w:hAnsi="Tahoma" w:cs="Tahoma"/>
          <w:bCs/>
          <w:color w:val="000000"/>
          <w:sz w:val="18"/>
          <w:lang w:val="de-DE"/>
        </w:rPr>
        <w:t>Planning Services-Gutscheine können nur von dem Kunden eingelöst werden, der sich für die Vergünstigung qualifiziert hat.</w:t>
      </w:r>
    </w:p>
    <w:p w:rsidR="00AC1997" w:rsidRPr="00C83DF5" w:rsidRDefault="000D4ECA" w:rsidP="002F529F">
      <w:pPr>
        <w:pStyle w:val="AppendixBodyText"/>
        <w:numPr>
          <w:ilvl w:val="0"/>
          <w:numId w:val="1"/>
        </w:numPr>
        <w:tabs>
          <w:tab w:val="clear" w:pos="720"/>
          <w:tab w:val="num" w:pos="1440"/>
        </w:tabs>
        <w:ind w:left="1440"/>
        <w:rPr>
          <w:lang w:val="de-DE"/>
        </w:rPr>
      </w:pPr>
      <w:r w:rsidRPr="00C83DF5">
        <w:rPr>
          <w:rFonts w:ascii="Tahoma" w:hAnsi="Tahoma" w:cs="Tahoma"/>
          <w:bCs/>
          <w:color w:val="000000"/>
          <w:sz w:val="18"/>
          <w:lang w:val="de-DE"/>
        </w:rPr>
        <w:t>Planning Services-Gutscheine können nicht gegen Bargeld, Zahlungen oder andere entgeltliche Gegenleistungen eingetauscht werden.</w:t>
      </w:r>
    </w:p>
    <w:p w:rsidR="00AC1997" w:rsidRPr="00C83DF5" w:rsidRDefault="00AC1997" w:rsidP="002F529F">
      <w:pPr>
        <w:pStyle w:val="AppendixBodyText"/>
        <w:numPr>
          <w:ilvl w:val="0"/>
          <w:numId w:val="1"/>
        </w:numPr>
        <w:tabs>
          <w:tab w:val="clear" w:pos="720"/>
          <w:tab w:val="num" w:pos="1440"/>
        </w:tabs>
        <w:ind w:left="1440"/>
        <w:rPr>
          <w:lang w:val="de-DE"/>
        </w:rPr>
      </w:pPr>
      <w:r w:rsidRPr="00C83DF5">
        <w:rPr>
          <w:rFonts w:ascii="Tahoma" w:hAnsi="Tahoma" w:cs="Tahoma"/>
          <w:bCs/>
          <w:color w:val="000000"/>
          <w:sz w:val="18"/>
          <w:lang w:val="de-DE"/>
        </w:rPr>
        <w:t xml:space="preserve">Kunden, die daran interessiert sind, zusätzliche Services zu erwerben, die über </w:t>
      </w:r>
      <w:r w:rsidRPr="00C83DF5">
        <w:rPr>
          <w:rFonts w:ascii="Tahoma" w:hAnsi="Tahoma" w:cs="Tahoma"/>
          <w:color w:val="000000"/>
          <w:sz w:val="18"/>
          <w:szCs w:val="18"/>
          <w:lang w:val="de-DE"/>
        </w:rPr>
        <w:t>den Umfang der Arbeit für den zugewiesenen Gutscheineinsatz (wie durch den Gutscheintyp und Servicelevel vorgegeben)</w:t>
      </w:r>
      <w:r w:rsidRPr="00C83DF5">
        <w:rPr>
          <w:rFonts w:ascii="Tahoma" w:hAnsi="Tahoma" w:cs="Tahoma"/>
          <w:bCs/>
          <w:color w:val="000000"/>
          <w:sz w:val="18"/>
          <w:lang w:val="de-DE"/>
        </w:rPr>
        <w:t xml:space="preserve"> hinausgehen, können den Anbieter außerhalb dieses Programms bezahlen.</w:t>
      </w:r>
    </w:p>
    <w:p w:rsidR="00AC1997" w:rsidRPr="00C83DF5" w:rsidRDefault="00AC1997" w:rsidP="002F529F">
      <w:pPr>
        <w:pStyle w:val="AppendixBodyText"/>
        <w:numPr>
          <w:ilvl w:val="0"/>
          <w:numId w:val="1"/>
        </w:numPr>
        <w:tabs>
          <w:tab w:val="clear" w:pos="720"/>
          <w:tab w:val="num" w:pos="1440"/>
        </w:tabs>
        <w:ind w:left="1440"/>
        <w:rPr>
          <w:lang w:val="de-DE"/>
        </w:rPr>
      </w:pPr>
      <w:r w:rsidRPr="00C83DF5">
        <w:rPr>
          <w:rFonts w:ascii="Tahoma" w:hAnsi="Tahoma" w:cs="Tahoma"/>
          <w:color w:val="000000"/>
          <w:sz w:val="18"/>
          <w:lang w:val="de-DE"/>
        </w:rPr>
        <w:t>Durch Verringerung de</w:t>
      </w:r>
      <w:r w:rsidRPr="00C83DF5">
        <w:rPr>
          <w:rFonts w:ascii="Tahoma" w:hAnsi="Tahoma" w:cs="Tahoma"/>
          <w:bCs/>
          <w:color w:val="000000"/>
          <w:sz w:val="18"/>
          <w:lang w:val="de-DE"/>
        </w:rPr>
        <w:t>s</w:t>
      </w:r>
      <w:r w:rsidRPr="00C83DF5">
        <w:rPr>
          <w:rFonts w:ascii="Tahoma" w:hAnsi="Tahoma" w:cs="Tahoma"/>
          <w:color w:val="000000"/>
          <w:sz w:val="18"/>
          <w:lang w:val="de-DE"/>
        </w:rPr>
        <w:t xml:space="preserve"> qualifizierenden SA-Umfangs aufgrund von Rückgaben und anderen Abrechnungsanpassungen,</w:t>
      </w:r>
      <w:r w:rsidRPr="00C83DF5">
        <w:rPr>
          <w:rFonts w:ascii="Tahoma" w:hAnsi="Tahoma" w:cs="Tahoma"/>
          <w:bCs/>
          <w:color w:val="000000"/>
          <w:sz w:val="18"/>
          <w:lang w:val="de-DE"/>
        </w:rPr>
        <w:t>,</w:t>
      </w:r>
      <w:r w:rsidRPr="00C83DF5">
        <w:rPr>
          <w:rFonts w:ascii="Tahoma" w:hAnsi="Tahoma" w:cs="Tahoma"/>
          <w:color w:val="000000"/>
          <w:sz w:val="18"/>
          <w:lang w:val="de-DE"/>
        </w:rPr>
        <w:t xml:space="preserve"> sofern zulässig, </w:t>
      </w:r>
      <w:r w:rsidRPr="00C83DF5">
        <w:rPr>
          <w:rFonts w:ascii="Tahoma" w:hAnsi="Tahoma" w:cs="Tahoma"/>
          <w:bCs/>
          <w:color w:val="000000"/>
          <w:sz w:val="18"/>
          <w:lang w:val="de-DE"/>
        </w:rPr>
        <w:t>kann</w:t>
      </w:r>
      <w:r w:rsidRPr="00C83DF5">
        <w:rPr>
          <w:rFonts w:ascii="Tahoma" w:hAnsi="Tahoma" w:cs="Tahoma"/>
          <w:color w:val="000000"/>
          <w:sz w:val="18"/>
          <w:lang w:val="de-DE"/>
        </w:rPr>
        <w:t xml:space="preserve"> die Anzahl der Tage des Planning Services-Anspruchs des Kunden verringert </w:t>
      </w:r>
      <w:r w:rsidRPr="00C83DF5">
        <w:rPr>
          <w:rFonts w:ascii="Tahoma" w:hAnsi="Tahoma" w:cs="Tahoma"/>
          <w:bCs/>
          <w:color w:val="000000"/>
          <w:sz w:val="18"/>
          <w:lang w:val="de-DE"/>
        </w:rPr>
        <w:t>werden.</w:t>
      </w:r>
    </w:p>
    <w:p w:rsidR="00762183" w:rsidRPr="00C83DF5" w:rsidRDefault="00AC1997" w:rsidP="00346F4B">
      <w:pPr>
        <w:pStyle w:val="AppendixBodyText"/>
        <w:numPr>
          <w:ilvl w:val="0"/>
          <w:numId w:val="22"/>
        </w:numPr>
        <w:tabs>
          <w:tab w:val="num" w:pos="1440"/>
        </w:tabs>
        <w:ind w:left="1440"/>
      </w:pPr>
      <w:r w:rsidRPr="00C83DF5">
        <w:rPr>
          <w:rFonts w:ascii="Tahoma" w:hAnsi="Tahoma" w:cs="Tahoma"/>
          <w:bCs/>
          <w:color w:val="000000"/>
          <w:sz w:val="18"/>
          <w:lang w:val="de-DE"/>
        </w:rPr>
        <w:t xml:space="preserve">Gutscheine sind nur mit </w:t>
      </w:r>
      <w:r w:rsidRPr="00C83DF5">
        <w:rPr>
          <w:rFonts w:ascii="Tahoma" w:hAnsi="Tahoma" w:cs="Tahoma"/>
          <w:color w:val="000000"/>
          <w:sz w:val="18"/>
          <w:lang w:val="de-DE"/>
        </w:rPr>
        <w:t xml:space="preserve">qualifizierten Anbietern </w:t>
      </w:r>
      <w:r w:rsidRPr="00C83DF5">
        <w:rPr>
          <w:rFonts w:ascii="Tahoma" w:hAnsi="Tahoma" w:cs="Tahoma"/>
          <w:bCs/>
          <w:color w:val="000000"/>
          <w:sz w:val="18"/>
          <w:lang w:val="de-DE"/>
        </w:rPr>
        <w:t xml:space="preserve">für den jeweiligen Servicetyp gültig, für den der Gutschein </w:t>
      </w:r>
      <w:r w:rsidRPr="00C83DF5">
        <w:rPr>
          <w:rFonts w:ascii="Tahoma" w:hAnsi="Tahoma" w:cs="Tahoma"/>
          <w:bCs/>
          <w:color w:val="000000"/>
          <w:sz w:val="18"/>
          <w:szCs w:val="18"/>
          <w:lang w:val="de-DE"/>
        </w:rPr>
        <w:t xml:space="preserve">eingelöst wird. </w:t>
      </w:r>
      <w:r w:rsidRPr="00C83DF5">
        <w:rPr>
          <w:rFonts w:ascii="Tahoma" w:hAnsi="Tahoma" w:cs="Tahoma"/>
          <w:color w:val="000000"/>
          <w:sz w:val="18"/>
          <w:szCs w:val="18"/>
          <w:lang w:val="de-DE"/>
        </w:rPr>
        <w:t xml:space="preserve">Der Gutschein kann bei jedem qualifizierten Anbieter weltweit eingesetzt werden. </w:t>
      </w:r>
      <w:r w:rsidRPr="00C83DF5">
        <w:rPr>
          <w:rFonts w:ascii="Tahoma" w:hAnsi="Tahoma" w:cs="Tahoma"/>
          <w:color w:val="000000"/>
          <w:sz w:val="18"/>
          <w:szCs w:val="18"/>
        </w:rPr>
        <w:t>Die Teilnahme kann unterschiedlich sein.</w:t>
      </w:r>
    </w:p>
    <w:p w:rsidR="0083748D" w:rsidRPr="00C83DF5" w:rsidRDefault="0083748D" w:rsidP="002F529F">
      <w:pPr>
        <w:pStyle w:val="AppendixBodyText"/>
        <w:numPr>
          <w:ilvl w:val="0"/>
          <w:numId w:val="1"/>
        </w:numPr>
        <w:tabs>
          <w:tab w:val="clear" w:pos="720"/>
          <w:tab w:val="num" w:pos="1440"/>
        </w:tabs>
        <w:ind w:left="1440"/>
        <w:rPr>
          <w:lang w:val="de-DE"/>
        </w:rPr>
      </w:pPr>
      <w:r w:rsidRPr="00C83DF5">
        <w:rPr>
          <w:rFonts w:ascii="Tahoma" w:hAnsi="Tahoma" w:cs="Tahoma"/>
          <w:color w:val="000000"/>
          <w:sz w:val="18"/>
          <w:szCs w:val="18"/>
          <w:lang w:val="de-DE"/>
        </w:rPr>
        <w:t>Gutscheine müssen während der Software Assurance-Laufzeit zugewiesen werden.</w:t>
      </w:r>
    </w:p>
    <w:p w:rsidR="0083748D" w:rsidRPr="00C83DF5" w:rsidRDefault="0083748D" w:rsidP="002F529F">
      <w:pPr>
        <w:pStyle w:val="AppendixBodyText"/>
        <w:numPr>
          <w:ilvl w:val="0"/>
          <w:numId w:val="1"/>
        </w:numPr>
        <w:tabs>
          <w:tab w:val="clear" w:pos="720"/>
          <w:tab w:val="num" w:pos="1440"/>
        </w:tabs>
        <w:ind w:left="1440"/>
        <w:rPr>
          <w:lang w:val="de-DE"/>
        </w:rPr>
      </w:pPr>
      <w:r w:rsidRPr="00C83DF5">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w:t>
      </w:r>
    </w:p>
    <w:p w:rsidR="00AC1997" w:rsidRPr="00C83DF5" w:rsidRDefault="00AC1997" w:rsidP="002F529F">
      <w:pPr>
        <w:pStyle w:val="AppendixBodyText"/>
        <w:numPr>
          <w:ilvl w:val="0"/>
          <w:numId w:val="21"/>
        </w:numPr>
        <w:tabs>
          <w:tab w:val="num" w:pos="1440"/>
        </w:tabs>
        <w:rPr>
          <w:lang w:val="de-DE"/>
        </w:rPr>
      </w:pPr>
      <w:r w:rsidRPr="00C83DF5">
        <w:rPr>
          <w:rFonts w:ascii="Tahoma" w:hAnsi="Tahoma" w:cs="Tahoma"/>
          <w:bCs/>
          <w:color w:val="000000"/>
          <w:sz w:val="18"/>
          <w:szCs w:val="18"/>
          <w:lang w:val="de-DE"/>
        </w:rPr>
        <w:t>Microsoft ist nicht</w:t>
      </w:r>
      <w:r w:rsidRPr="00C83DF5">
        <w:rPr>
          <w:rFonts w:ascii="Tahoma" w:hAnsi="Tahoma" w:cs="Tahoma"/>
          <w:bCs/>
          <w:color w:val="000000"/>
          <w:sz w:val="18"/>
          <w:lang w:val="de-DE"/>
        </w:rPr>
        <w:t xml:space="preserve"> für verlorene, gestohlene, verlegte oder missbrauchte Gutscheine verantwortlich.</w:t>
      </w:r>
    </w:p>
    <w:p w:rsidR="00AC1997" w:rsidRPr="00C83DF5" w:rsidRDefault="00AC1997" w:rsidP="002F529F">
      <w:pPr>
        <w:pStyle w:val="AppendixBodyText"/>
        <w:numPr>
          <w:ilvl w:val="0"/>
          <w:numId w:val="21"/>
        </w:numPr>
        <w:tabs>
          <w:tab w:val="num" w:pos="1440"/>
        </w:tabs>
        <w:rPr>
          <w:lang w:val="de-DE"/>
        </w:rPr>
      </w:pPr>
      <w:r w:rsidRPr="00C83DF5">
        <w:rPr>
          <w:rFonts w:ascii="Tahoma" w:hAnsi="Tahoma" w:cs="Tahoma"/>
          <w:bCs/>
          <w:color w:val="000000"/>
          <w:sz w:val="18"/>
          <w:lang w:val="de-DE"/>
        </w:rPr>
        <w:t xml:space="preserve">Im Rahmen von Gutscheinen erbrachte Services </w:t>
      </w:r>
      <w:r w:rsidRPr="00C83DF5">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rsidR="00F643B6" w:rsidRPr="00C83DF5" w:rsidRDefault="00AC1997" w:rsidP="00346F4B">
      <w:pPr>
        <w:pStyle w:val="AppendixBodyText"/>
        <w:numPr>
          <w:ilvl w:val="0"/>
          <w:numId w:val="72"/>
        </w:numPr>
        <w:rPr>
          <w:lang w:val="de-DE"/>
        </w:rPr>
      </w:pPr>
      <w:r w:rsidRPr="00C83DF5">
        <w:rPr>
          <w:rFonts w:ascii="Tahoma" w:hAnsi="Tahoma" w:cs="Tahoma"/>
          <w:bCs/>
          <w:color w:val="000000"/>
          <w:sz w:val="18"/>
          <w:lang w:val="de-DE"/>
        </w:rPr>
        <w:t>Durch Annahme eines Planning Services-Einsatzes erkennen Kunden an,</w:t>
      </w:r>
      <w:r w:rsidRPr="00C83DF5">
        <w:rPr>
          <w:rFonts w:ascii="Tahoma" w:hAnsi="Tahoma" w:cs="Tahoma"/>
          <w:bCs/>
          <w:sz w:val="18"/>
          <w:lang w:val="de-DE"/>
        </w:rPr>
        <w:t xml:space="preserve"> dass sie nach Abschluss der Leistung zu Qualitätssicherungszwecken einen Fragebogen erhalten.</w:t>
      </w:r>
    </w:p>
    <w:p w:rsidR="0008036A" w:rsidRPr="00C83DF5" w:rsidRDefault="00F643B6" w:rsidP="00346F4B">
      <w:pPr>
        <w:pStyle w:val="AppendixBodyText"/>
        <w:numPr>
          <w:ilvl w:val="0"/>
          <w:numId w:val="72"/>
        </w:numPr>
        <w:rPr>
          <w:lang w:val="de-DE"/>
        </w:rPr>
      </w:pPr>
      <w:r w:rsidRPr="00C83DF5">
        <w:rPr>
          <w:rFonts w:ascii="Tahoma" w:hAnsi="Tahoma" w:cs="Tahoma"/>
          <w:bCs/>
          <w:color w:val="000000"/>
          <w:sz w:val="18"/>
          <w:szCs w:val="18"/>
          <w:lang w:val="de-DE"/>
        </w:rPr>
        <w:t>In den Tabellen oben sind die verfügbaren Servicetage basierend auf einem Beitritt oder Vertrag für volle 3 Jahre aufgeführt.</w:t>
      </w:r>
      <w:r w:rsidR="00E71F46" w:rsidRPr="00C83DF5">
        <w:rPr>
          <w:rFonts w:ascii="Tahoma" w:hAnsi="Tahoma" w:cs="Tahoma"/>
          <w:bCs/>
          <w:color w:val="000000"/>
          <w:sz w:val="18"/>
          <w:szCs w:val="18"/>
          <w:lang w:val="de-DE"/>
        </w:rPr>
        <w:t xml:space="preserve"> </w:t>
      </w:r>
      <w:r w:rsidRPr="00C83DF5">
        <w:rPr>
          <w:rFonts w:ascii="Tahoma" w:hAnsi="Tahoma" w:cs="Tahoma"/>
          <w:bCs/>
          <w:color w:val="000000"/>
          <w:sz w:val="18"/>
          <w:szCs w:val="18"/>
          <w:lang w:val="de-DE"/>
        </w:rPr>
        <w:t>Kunden, die Software Assurance für ein Jahr erwerben, e</w:t>
      </w:r>
      <w:r w:rsidRPr="00C83DF5">
        <w:rPr>
          <w:rFonts w:ascii="Tahoma" w:hAnsi="Tahoma" w:cs="Tahoma"/>
          <w:color w:val="000000"/>
          <w:sz w:val="18"/>
          <w:szCs w:val="18"/>
          <w:lang w:val="de-DE"/>
        </w:rPr>
        <w:t>rhalten ein Drittel der angegebenen Anzahl von Servicetagen.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Kunden, die Software Assurance für zwei Jahre erwerben, erhalten zwei Drittel der angegebenen Anzahl von Servicetagen.</w:t>
      </w:r>
      <w:r w:rsidR="00E71F46" w:rsidRPr="00C83DF5">
        <w:rPr>
          <w:rFonts w:ascii="Tahoma" w:hAnsi="Tahoma" w:cs="Tahoma"/>
          <w:color w:val="000000"/>
          <w:sz w:val="18"/>
          <w:szCs w:val="18"/>
          <w:lang w:val="de-DE"/>
        </w:rPr>
        <w:t xml:space="preserve"> </w:t>
      </w:r>
    </w:p>
    <w:p w:rsidR="0008036A" w:rsidRPr="008B3D04" w:rsidRDefault="0008036A" w:rsidP="005A141F">
      <w:pPr>
        <w:pStyle w:val="AppendixBodyText"/>
        <w:spacing w:after="0"/>
        <w:rPr>
          <w:rFonts w:ascii="Tahoma" w:hAnsi="Tahoma" w:cs="Tahoma"/>
          <w:bCs/>
          <w:color w:val="000000"/>
          <w:sz w:val="18"/>
          <w:lang w:val="de-DE"/>
        </w:rPr>
      </w:pPr>
    </w:p>
    <w:p w:rsidR="00023FE7" w:rsidRPr="00C83DF5" w:rsidRDefault="00023FE7" w:rsidP="0080556B">
      <w:pPr>
        <w:pStyle w:val="AppendixBodyText"/>
        <w:rPr>
          <w:lang w:val="de-DE"/>
        </w:rPr>
      </w:pPr>
      <w:r w:rsidRPr="00C83DF5">
        <w:rPr>
          <w:rFonts w:ascii="Tahoma" w:hAnsi="Tahoma" w:cs="Tahoma"/>
          <w:bCs/>
          <w:color w:val="000000"/>
          <w:sz w:val="18"/>
          <w:lang w:val="de-DE"/>
        </w:rPr>
        <w:t>Fertiggestellte Arbeitsergebnisse, die vom Qualifizierten Anbieter am Ende des Einsatzes bei Microsoft eingereicht</w:t>
      </w:r>
      <w:r w:rsidR="0080556B">
        <w:rPr>
          <w:rFonts w:ascii="Tahoma" w:hAnsi="Tahoma" w:cs="Tahoma"/>
          <w:bCs/>
          <w:color w:val="000000"/>
          <w:sz w:val="18"/>
          <w:lang w:val="de-DE"/>
        </w:rPr>
        <w:t> </w:t>
      </w:r>
      <w:r w:rsidRPr="00C83DF5">
        <w:rPr>
          <w:rFonts w:ascii="Tahoma" w:hAnsi="Tahoma" w:cs="Tahoma"/>
          <w:bCs/>
          <w:color w:val="000000"/>
          <w:sz w:val="18"/>
          <w:lang w:val="de-DE"/>
        </w:rPr>
        <w:t>werden, können von Microsoft für Qualitätssicherungszwecke ve</w:t>
      </w:r>
      <w:r w:rsidR="0080556B">
        <w:rPr>
          <w:rFonts w:ascii="Tahoma" w:hAnsi="Tahoma" w:cs="Tahoma"/>
          <w:bCs/>
          <w:color w:val="000000"/>
          <w:sz w:val="18"/>
          <w:lang w:val="de-DE"/>
        </w:rPr>
        <w:t>rwendet und für diesen Zweck an </w:t>
      </w:r>
      <w:r w:rsidRPr="00C83DF5">
        <w:rPr>
          <w:rFonts w:ascii="Tahoma" w:hAnsi="Tahoma" w:cs="Tahoma"/>
          <w:bCs/>
          <w:color w:val="000000"/>
          <w:sz w:val="18"/>
          <w:lang w:val="de-DE"/>
        </w:rPr>
        <w:t>das</w:t>
      </w:r>
      <w:r w:rsidR="0080556B">
        <w:rPr>
          <w:rFonts w:ascii="Tahoma" w:hAnsi="Tahoma" w:cs="Tahoma"/>
          <w:bCs/>
          <w:color w:val="000000"/>
          <w:sz w:val="18"/>
          <w:lang w:val="de-DE"/>
        </w:rPr>
        <w:t> </w:t>
      </w:r>
      <w:r w:rsidRPr="00C83DF5">
        <w:rPr>
          <w:rFonts w:ascii="Tahoma" w:hAnsi="Tahoma" w:cs="Tahoma"/>
          <w:bCs/>
          <w:color w:val="000000"/>
          <w:sz w:val="18"/>
          <w:lang w:val="de-DE"/>
        </w:rPr>
        <w:t>Microsoft-Kundenteam weitergegeben werden.</w:t>
      </w:r>
    </w:p>
    <w:p w:rsidR="00023FE7" w:rsidRPr="008B3D04" w:rsidRDefault="00023FE7" w:rsidP="005A141F">
      <w:pPr>
        <w:pStyle w:val="AppendixBodyText"/>
        <w:spacing w:after="0"/>
        <w:rPr>
          <w:rFonts w:ascii="Tahoma" w:hAnsi="Tahoma" w:cs="Tahoma"/>
          <w:sz w:val="18"/>
          <w:lang w:val="de-DE"/>
        </w:rPr>
      </w:pPr>
    </w:p>
    <w:p w:rsidR="00D07386" w:rsidRPr="008B3D04" w:rsidRDefault="00D07386" w:rsidP="005A141F">
      <w:pPr>
        <w:pStyle w:val="AppendixBodyText"/>
        <w:spacing w:after="0"/>
        <w:rPr>
          <w:rFonts w:ascii="Tahoma" w:hAnsi="Tahoma" w:cs="Tahoma"/>
          <w:sz w:val="18"/>
          <w:lang w:val="de-DE"/>
        </w:rPr>
      </w:pPr>
    </w:p>
    <w:p w:rsidR="00D07386" w:rsidRPr="008B3D04" w:rsidRDefault="00D07386" w:rsidP="005A141F">
      <w:pPr>
        <w:pStyle w:val="AppendixBodyText"/>
        <w:spacing w:after="0"/>
        <w:rPr>
          <w:rFonts w:ascii="Tahoma" w:hAnsi="Tahoma" w:cs="Tahoma"/>
          <w:sz w:val="18"/>
          <w:lang w:val="de-DE"/>
        </w:rPr>
      </w:pPr>
    </w:p>
    <w:p w:rsidR="00D07386" w:rsidRPr="008B3D04" w:rsidRDefault="00D07386" w:rsidP="005A141F">
      <w:pPr>
        <w:pStyle w:val="AppendixBodyText"/>
        <w:spacing w:after="0"/>
        <w:rPr>
          <w:rFonts w:ascii="Tahoma" w:hAnsi="Tahoma" w:cs="Tahoma"/>
          <w:sz w:val="18"/>
          <w:lang w:val="de-DE"/>
        </w:rPr>
      </w:pPr>
    </w:p>
    <w:p w:rsidR="00D07386" w:rsidRPr="008B3D04" w:rsidRDefault="00D07386" w:rsidP="005A141F">
      <w:pPr>
        <w:pStyle w:val="AppendixBodyText"/>
        <w:spacing w:after="0"/>
        <w:rPr>
          <w:rFonts w:ascii="Tahoma" w:hAnsi="Tahoma" w:cs="Tahoma"/>
          <w:sz w:val="18"/>
          <w:lang w:val="de-DE"/>
        </w:rPr>
      </w:pPr>
    </w:p>
    <w:p w:rsidR="00D07386" w:rsidRPr="008B3D04" w:rsidRDefault="00D07386" w:rsidP="005A141F">
      <w:pPr>
        <w:pStyle w:val="AppendixBodyText"/>
        <w:spacing w:after="0"/>
        <w:rPr>
          <w:rFonts w:ascii="Tahoma" w:hAnsi="Tahoma" w:cs="Tahoma"/>
          <w:sz w:val="18"/>
          <w:lang w:val="de-DE"/>
        </w:rPr>
      </w:pPr>
    </w:p>
    <w:p w:rsidR="00D07386" w:rsidRPr="008B3D04" w:rsidRDefault="00D07386" w:rsidP="005A141F">
      <w:pPr>
        <w:pStyle w:val="AppendixBodyText"/>
        <w:spacing w:after="0"/>
        <w:rPr>
          <w:rFonts w:ascii="Tahoma" w:hAnsi="Tahoma" w:cs="Tahoma"/>
          <w:sz w:val="18"/>
          <w:lang w:val="de-DE"/>
        </w:rPr>
      </w:pPr>
    </w:p>
    <w:p w:rsidR="00D07386" w:rsidRPr="008B3D04" w:rsidRDefault="00D07386" w:rsidP="005A141F">
      <w:pPr>
        <w:pStyle w:val="AppendixBodyText"/>
        <w:spacing w:after="0"/>
        <w:rPr>
          <w:rFonts w:ascii="Tahoma" w:hAnsi="Tahoma" w:cs="Tahoma"/>
          <w:sz w:val="18"/>
          <w:lang w:val="de-DE"/>
        </w:rPr>
      </w:pPr>
    </w:p>
    <w:p w:rsidR="00D07386" w:rsidRPr="008B3D04" w:rsidRDefault="00D07386" w:rsidP="005A141F">
      <w:pPr>
        <w:pStyle w:val="AppendixBodyText"/>
        <w:spacing w:after="0"/>
        <w:rPr>
          <w:rFonts w:ascii="Tahoma" w:hAnsi="Tahoma" w:cs="Tahoma"/>
          <w:sz w:val="18"/>
          <w:lang w:val="de-DE"/>
        </w:rPr>
      </w:pPr>
    </w:p>
    <w:p w:rsidR="00023FE7" w:rsidRPr="00C83DF5" w:rsidRDefault="00023FE7">
      <w:pPr>
        <w:pStyle w:val="Heading3"/>
        <w:rPr>
          <w:lang w:val="de-DE"/>
        </w:rPr>
      </w:pPr>
      <w:bookmarkStart w:id="713" w:name="_Toc328145999"/>
      <w:bookmarkStart w:id="714" w:name="_Toc336338230"/>
      <w:bookmarkStart w:id="715" w:name="_Toc370983339"/>
      <w:r w:rsidRPr="00C83DF5">
        <w:rPr>
          <w:rFonts w:ascii="Tahoma" w:hAnsi="Tahoma"/>
          <w:sz w:val="24"/>
          <w:lang w:val="de-DE"/>
        </w:rPr>
        <w:t>Windows 8 Enterprise</w:t>
      </w:r>
      <w:bookmarkEnd w:id="713"/>
      <w:bookmarkEnd w:id="714"/>
      <w:bookmarkEnd w:id="715"/>
      <w:r w:rsidRPr="00C83DF5">
        <w:rPr>
          <w:rFonts w:ascii="Tahoma" w:hAnsi="Tahoma"/>
          <w:sz w:val="24"/>
          <w:lang w:val="de-DE"/>
        </w:rPr>
        <w:t xml:space="preserve"> </w:t>
      </w:r>
    </w:p>
    <w:p w:rsidR="00023FE7" w:rsidRPr="008B3D04" w:rsidRDefault="00023FE7" w:rsidP="00077CE5">
      <w:pPr>
        <w:pStyle w:val="AppendixBodyText"/>
        <w:spacing w:after="0"/>
        <w:rPr>
          <w:rFonts w:ascii="Tahoma" w:hAnsi="Tahoma" w:cs="Tahoma"/>
          <w:sz w:val="18"/>
          <w:lang w:val="de-DE"/>
        </w:rPr>
      </w:pPr>
    </w:p>
    <w:p w:rsidR="005A141F" w:rsidRPr="00C83DF5" w:rsidRDefault="00324479" w:rsidP="005A141F">
      <w:pPr>
        <w:spacing w:after="60"/>
        <w:jc w:val="both"/>
        <w:rPr>
          <w:lang w:val="de-DE"/>
        </w:rPr>
      </w:pPr>
      <w:r w:rsidRPr="00C83DF5">
        <w:rPr>
          <w:rFonts w:cs="Tahoma"/>
          <w:b/>
          <w:szCs w:val="18"/>
          <w:lang w:val="de-DE"/>
        </w:rPr>
        <w:t>Berechtigte Software Assurance-Kunden</w:t>
      </w:r>
    </w:p>
    <w:p w:rsidR="00324479" w:rsidRPr="00C83DF5" w:rsidRDefault="00324479" w:rsidP="00324479">
      <w:pPr>
        <w:jc w:val="both"/>
        <w:rPr>
          <w:lang w:val="de-DE"/>
        </w:rPr>
      </w:pPr>
      <w:r w:rsidRPr="00C83DF5">
        <w:rPr>
          <w:rFonts w:cs="Tahoma"/>
          <w:szCs w:val="18"/>
          <w:lang w:val="de-DE"/>
        </w:rPr>
        <w:lastRenderedPageBreak/>
        <w:t>Kunden mit aktiver Software Assurance für das Windows Desktop-Betriebssystem sind zu dieser Vergünstigung berechtigt. Mit Software Assurance für das Windows Desktop-Betriebssystem auf einem lizenzierten Gerät haben Kunden die Möglichkeit, Windows 8 Enterprise anstelle von Windows 8 Pro auf diesem Gerät zu verwenden.</w:t>
      </w:r>
    </w:p>
    <w:p w:rsidR="00324479" w:rsidRPr="008B3D04" w:rsidRDefault="00324479" w:rsidP="00324479">
      <w:pPr>
        <w:jc w:val="both"/>
        <w:rPr>
          <w:rFonts w:cs="Tahoma"/>
          <w:szCs w:val="18"/>
          <w:lang w:val="de-DE"/>
        </w:rPr>
      </w:pPr>
    </w:p>
    <w:p w:rsidR="00324479" w:rsidRPr="00C83DF5" w:rsidRDefault="00324479" w:rsidP="00324479">
      <w:pPr>
        <w:jc w:val="both"/>
        <w:rPr>
          <w:lang w:val="de-DE"/>
        </w:rPr>
      </w:pPr>
      <w:r w:rsidRPr="00C83DF5">
        <w:rPr>
          <w:rFonts w:cs="Tahoma"/>
          <w:szCs w:val="18"/>
          <w:lang w:val="de-DE"/>
        </w:rPr>
        <w:t xml:space="preserve">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Neuzuweisung ihrer Software Assurance. </w:t>
      </w:r>
    </w:p>
    <w:p w:rsidR="00324479" w:rsidRPr="00C83DF5" w:rsidRDefault="00324479" w:rsidP="00324479">
      <w:pPr>
        <w:jc w:val="both"/>
        <w:rPr>
          <w:lang w:val="de-DE"/>
        </w:rPr>
      </w:pPr>
    </w:p>
    <w:p w:rsidR="005A141F" w:rsidRPr="00C83DF5" w:rsidRDefault="00324479" w:rsidP="00862623">
      <w:pPr>
        <w:keepNext/>
        <w:spacing w:after="60"/>
        <w:jc w:val="both"/>
        <w:rPr>
          <w:lang w:val="de-DE"/>
        </w:rPr>
      </w:pPr>
      <w:r w:rsidRPr="00C83DF5">
        <w:rPr>
          <w:rFonts w:cs="Tahoma"/>
          <w:b/>
          <w:szCs w:val="18"/>
          <w:lang w:val="de-DE"/>
        </w:rPr>
        <w:t>Für Onlinedienste-Vergünstigungen berechtigte Kunden</w:t>
      </w:r>
    </w:p>
    <w:p w:rsidR="00324479" w:rsidRPr="00C83DF5" w:rsidRDefault="0071258F" w:rsidP="00324479">
      <w:pPr>
        <w:jc w:val="both"/>
        <w:rPr>
          <w:lang w:val="de-DE"/>
        </w:rPr>
      </w:pPr>
      <w:r w:rsidRPr="00C83DF5">
        <w:rPr>
          <w:rFonts w:cs="Tahoma"/>
          <w:szCs w:val="18"/>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p>
    <w:p w:rsidR="005A141F" w:rsidRPr="008B3D04" w:rsidDel="008900EB" w:rsidRDefault="005A141F" w:rsidP="00324479">
      <w:pPr>
        <w:jc w:val="both"/>
        <w:rPr>
          <w:rFonts w:cs="Tahoma"/>
          <w:szCs w:val="18"/>
          <w:lang w:val="de-DE"/>
        </w:rPr>
      </w:pPr>
    </w:p>
    <w:p w:rsidR="00324479" w:rsidRPr="00C83DF5" w:rsidRDefault="00324479" w:rsidP="00324479">
      <w:pPr>
        <w:spacing w:after="60"/>
        <w:rPr>
          <w:lang w:val="de-DE"/>
        </w:rPr>
      </w:pPr>
      <w:r w:rsidRPr="00C83DF5">
        <w:rPr>
          <w:rFonts w:cs="Tahoma"/>
          <w:szCs w:val="18"/>
          <w:lang w:val="de-DE"/>
        </w:rPr>
        <w:t>Software Assurance- und Windows Intune (Pro Gerät)-Kunden sind berechtigt, die MUI-Edition von früheren Versionen des Windows Desktop-Betriebssystems anstelle von Windows 8 Enterprise zu verwenden.</w:t>
      </w:r>
    </w:p>
    <w:p w:rsidR="00870095" w:rsidRPr="008B3D04" w:rsidRDefault="00870095" w:rsidP="005A141F">
      <w:pPr>
        <w:pStyle w:val="Heading3"/>
        <w:spacing w:after="60"/>
        <w:rPr>
          <w:rFonts w:ascii="Tahoma" w:hAnsi="Tahoma"/>
          <w:b w:val="0"/>
          <w:sz w:val="18"/>
          <w:lang w:val="de-DE"/>
        </w:rPr>
      </w:pPr>
    </w:p>
    <w:p w:rsidR="00870095" w:rsidRPr="00C83DF5" w:rsidRDefault="00870095" w:rsidP="005A141F">
      <w:pPr>
        <w:pStyle w:val="Heading3"/>
        <w:spacing w:after="60"/>
        <w:rPr>
          <w:lang w:val="de-DE"/>
        </w:rPr>
      </w:pPr>
      <w:bookmarkStart w:id="716" w:name="_Toc336338231"/>
      <w:bookmarkStart w:id="717" w:name="_Toc370983340"/>
      <w:r w:rsidRPr="00C83DF5">
        <w:rPr>
          <w:rFonts w:ascii="Tahoma" w:hAnsi="Tahoma"/>
          <w:sz w:val="18"/>
          <w:lang w:val="de-DE"/>
        </w:rPr>
        <w:t>Windows 8 Enterprise Sideloading</w:t>
      </w:r>
      <w:bookmarkEnd w:id="716"/>
      <w:bookmarkEnd w:id="717"/>
    </w:p>
    <w:p w:rsidR="00810479" w:rsidRPr="00C83DF5" w:rsidRDefault="00870095" w:rsidP="00991DD4">
      <w:pPr>
        <w:jc w:val="both"/>
        <w:rPr>
          <w:lang w:val="de-DE"/>
        </w:rPr>
      </w:pPr>
      <w:r w:rsidRPr="00C83DF5">
        <w:rPr>
          <w:rFonts w:cs="Tahoma"/>
          <w:szCs w:val="18"/>
          <w:lang w:val="de-DE"/>
        </w:rPr>
        <w:t>Siehe Produkthinweis zu Windows 8 Enterprise Sideloading im Abschnitt „Produkthinweise“ dieses Dokuments.</w:t>
      </w:r>
    </w:p>
    <w:p w:rsidR="00BD1A6A" w:rsidRPr="00C83DF5" w:rsidRDefault="00BD1A6A">
      <w:pPr>
        <w:rPr>
          <w:lang w:val="de-DE"/>
        </w:rPr>
      </w:pPr>
      <w:bookmarkStart w:id="718" w:name="_Toc336338232"/>
    </w:p>
    <w:p w:rsidR="00EA1BE9" w:rsidRPr="00C83DF5" w:rsidRDefault="00EA1BE9" w:rsidP="005A141F">
      <w:pPr>
        <w:pStyle w:val="Heading3"/>
        <w:spacing w:after="60"/>
        <w:rPr>
          <w:lang w:val="de-DE"/>
        </w:rPr>
      </w:pPr>
      <w:bookmarkStart w:id="719" w:name="_Toc370983341"/>
      <w:r w:rsidRPr="00C83DF5">
        <w:rPr>
          <w:rFonts w:ascii="Tahoma" w:hAnsi="Tahoma"/>
          <w:sz w:val="18"/>
          <w:lang w:val="de-DE"/>
        </w:rPr>
        <w:t>Windows Companion-Abonnementlizenz</w:t>
      </w:r>
      <w:bookmarkEnd w:id="718"/>
      <w:bookmarkEnd w:id="719"/>
    </w:p>
    <w:p w:rsidR="00EA1BE9" w:rsidRPr="00C83DF5" w:rsidRDefault="00EA1BE9" w:rsidP="00870095">
      <w:pPr>
        <w:jc w:val="both"/>
        <w:rPr>
          <w:lang w:val="de-DE"/>
        </w:rPr>
      </w:pPr>
      <w:r w:rsidRPr="00C83DF5">
        <w:rPr>
          <w:rFonts w:cs="Tahoma"/>
          <w:szCs w:val="18"/>
          <w:lang w:val="de-DE"/>
        </w:rPr>
        <w:t>Siehe Produkthinweis zu Windows Companion-Abonnementlizenz im Abschnitt „Produkthinweise“ dieses Dokuments.</w:t>
      </w:r>
    </w:p>
    <w:p w:rsidR="00870095" w:rsidRPr="00C83DF5" w:rsidRDefault="00870095" w:rsidP="003C56F1">
      <w:pPr>
        <w:jc w:val="both"/>
        <w:rPr>
          <w:lang w:val="de-DE"/>
        </w:rPr>
      </w:pPr>
    </w:p>
    <w:p w:rsidR="00023FE7" w:rsidRPr="00C83DF5" w:rsidRDefault="00023FE7">
      <w:pPr>
        <w:pStyle w:val="Heading3"/>
        <w:rPr>
          <w:lang w:val="de-DE"/>
        </w:rPr>
      </w:pPr>
      <w:bookmarkStart w:id="720" w:name="_Toc328146000"/>
      <w:bookmarkStart w:id="721" w:name="_Toc336338233"/>
      <w:bookmarkStart w:id="722" w:name="_Toc370983342"/>
      <w:r w:rsidRPr="00C83DF5">
        <w:rPr>
          <w:rFonts w:ascii="Tahoma" w:hAnsi="Tahoma" w:cs="Tahoma"/>
          <w:sz w:val="24"/>
          <w:lang w:val="de-DE"/>
        </w:rPr>
        <w:t>Trainingsgutscheine</w:t>
      </w:r>
      <w:bookmarkEnd w:id="720"/>
      <w:bookmarkEnd w:id="721"/>
      <w:bookmarkEnd w:id="722"/>
    </w:p>
    <w:p w:rsidR="00023FE7" w:rsidRPr="00C83DF5" w:rsidRDefault="00023FE7" w:rsidP="003C56F1">
      <w:pPr>
        <w:pStyle w:val="AppendixBodyText"/>
        <w:spacing w:after="0"/>
        <w:rPr>
          <w:lang w:val="de-DE"/>
        </w:rPr>
      </w:pPr>
    </w:p>
    <w:p w:rsidR="00023FE7" w:rsidRPr="00C83DF5" w:rsidRDefault="008A15A8" w:rsidP="0003200F">
      <w:pPr>
        <w:pStyle w:val="AppendixBodyText"/>
        <w:spacing w:after="0"/>
        <w:rPr>
          <w:lang w:val="de-DE"/>
        </w:rPr>
      </w:pPr>
      <w:r w:rsidRPr="00C83DF5">
        <w:rPr>
          <w:rFonts w:ascii="Tahoma" w:hAnsi="Tahoma" w:cs="Tahoma"/>
          <w:sz w:val="18"/>
          <w:szCs w:val="18"/>
          <w:lang w:val="de-DE"/>
        </w:rPr>
        <w:t>Kunden (nicht Kunden mit Select-Lizenz für Forschung &amp; Lehre, Select Plus für Forschung &amp; Lehre, Open Value Subscription – Bildungslösungen, Campus- und School-Vertrag) mit Mitgliedschaft bei Software Assurance in den Anwendungs- oder System-Produktpools sind zu Microsoft-Trainingsgutscheinen berechtigt.</w:t>
      </w:r>
      <w:r w:rsidR="00E71F46" w:rsidRPr="00C83DF5">
        <w:rPr>
          <w:rFonts w:ascii="Tahoma" w:hAnsi="Tahoma" w:cs="Tahoma"/>
          <w:sz w:val="18"/>
          <w:szCs w:val="18"/>
          <w:lang w:val="de-DE"/>
        </w:rPr>
        <w:t xml:space="preserve"> </w:t>
      </w:r>
      <w:r w:rsidRPr="00C83DF5">
        <w:rPr>
          <w:rFonts w:ascii="Tahoma" w:hAnsi="Tahoma" w:cs="Tahoma"/>
          <w:sz w:val="18"/>
          <w:szCs w:val="18"/>
          <w:lang w:val="de-DE"/>
        </w:rPr>
        <w:t>Diese Gutscheine berechtigen Kunden zum Erhalt von Kursen von einem Microsoft-Partner mit einer Learning-Kompetenz (Microsoft</w:t>
      </w:r>
      <w:r w:rsidR="0003200F">
        <w:rPr>
          <w:rFonts w:ascii="Tahoma" w:hAnsi="Tahoma" w:cs="Tahoma"/>
          <w:sz w:val="18"/>
          <w:szCs w:val="18"/>
          <w:lang w:val="de-DE"/>
        </w:rPr>
        <w:t> </w:t>
      </w:r>
      <w:r w:rsidRPr="00C83DF5">
        <w:rPr>
          <w:rFonts w:ascii="Tahoma" w:hAnsi="Tahoma" w:cs="Tahoma"/>
          <w:sz w:val="18"/>
          <w:szCs w:val="18"/>
          <w:lang w:val="de-DE"/>
        </w:rPr>
        <w:t>Learning Partner) für eine bestimmte Anzahl von Schulungstagen.</w:t>
      </w:r>
      <w:r w:rsidR="00E71F46" w:rsidRPr="00C83DF5">
        <w:rPr>
          <w:rFonts w:ascii="Tahoma" w:hAnsi="Tahoma" w:cs="Tahoma"/>
          <w:sz w:val="18"/>
          <w:szCs w:val="18"/>
          <w:lang w:val="de-DE"/>
        </w:rPr>
        <w:t xml:space="preserve"> </w:t>
      </w:r>
      <w:r w:rsidRPr="00C83DF5">
        <w:rPr>
          <w:rFonts w:ascii="Tahoma" w:hAnsi="Tahoma" w:cs="Tahoma"/>
          <w:sz w:val="18"/>
          <w:szCs w:val="18"/>
          <w:lang w:val="de-DE"/>
        </w:rPr>
        <w:t>Die Anzahl der bewilligten Tage hängt vom Programm und der Anzahl qualifizierender Lizenzen ab, für die Software Assurance erworben wird.</w:t>
      </w:r>
      <w:r w:rsidR="00E71F46" w:rsidRPr="00C83DF5">
        <w:rPr>
          <w:rFonts w:ascii="Tahoma" w:hAnsi="Tahoma" w:cs="Tahoma"/>
          <w:sz w:val="18"/>
          <w:szCs w:val="18"/>
          <w:lang w:val="de-DE"/>
        </w:rPr>
        <w:t xml:space="preserve"> </w:t>
      </w:r>
      <w:r w:rsidRPr="00C83DF5">
        <w:rPr>
          <w:rFonts w:ascii="Tahoma" w:hAnsi="Tahoma" w:cs="Tahoma"/>
          <w:sz w:val="18"/>
          <w:szCs w:val="18"/>
          <w:lang w:val="de-DE"/>
        </w:rPr>
        <w:t>Nachdem der</w:t>
      </w:r>
      <w:r w:rsidR="0003200F">
        <w:rPr>
          <w:rFonts w:ascii="Tahoma" w:hAnsi="Tahoma" w:cs="Tahoma"/>
          <w:sz w:val="18"/>
          <w:szCs w:val="18"/>
          <w:lang w:val="de-DE"/>
        </w:rPr>
        <w:t> </w:t>
      </w:r>
      <w:r w:rsidRPr="00C83DF5">
        <w:rPr>
          <w:rFonts w:ascii="Tahoma" w:hAnsi="Tahoma" w:cs="Tahoma"/>
          <w:sz w:val="18"/>
          <w:szCs w:val="18"/>
          <w:lang w:val="de-DE"/>
        </w:rPr>
        <w:t>Verwalter der Trainingsgutschein-Vergünstigung die Trainingsgutschein-Vergünstigung über das Center für Volumenlizenz-Services (VLSC) aktiviert hat, kann der Verwalter der Trainingsgutschein-Vergünstigung des Kunden bestimmten Personen Trainingsgutscheine zuweisen.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C83DF5" w:rsidTr="00D07386">
        <w:trPr>
          <w:cantSplit/>
          <w:trHeight w:val="531"/>
          <w:tblHeader/>
        </w:trPr>
        <w:tc>
          <w:tcPr>
            <w:tcW w:w="3002" w:type="dxa"/>
            <w:shd w:val="clear" w:color="auto" w:fill="FFCC99"/>
            <w:vAlign w:val="center"/>
          </w:tcPr>
          <w:p w:rsidR="00F76ED4" w:rsidRPr="00C83DF5" w:rsidRDefault="00F76ED4" w:rsidP="00F76ED4">
            <w:pPr>
              <w:pStyle w:val="AppendixTableHeadings"/>
              <w:keepNext/>
              <w:rPr>
                <w:rFonts w:ascii="Tahoma" w:hAnsi="Tahoma" w:cs="Tahoma"/>
                <w:sz w:val="20"/>
                <w:szCs w:val="20"/>
              </w:rPr>
            </w:pPr>
            <w:r w:rsidRPr="00C83DF5">
              <w:rPr>
                <w:rFonts w:ascii="Tahoma" w:hAnsi="Tahoma" w:cs="Tahoma"/>
                <w:sz w:val="20"/>
                <w:szCs w:val="20"/>
              </w:rPr>
              <w:t>Programm</w:t>
            </w:r>
          </w:p>
        </w:tc>
        <w:tc>
          <w:tcPr>
            <w:tcW w:w="3150" w:type="dxa"/>
            <w:shd w:val="clear" w:color="auto" w:fill="FFCC99"/>
            <w:vAlign w:val="center"/>
          </w:tcPr>
          <w:p w:rsidR="00F76ED4" w:rsidRPr="00C83DF5" w:rsidRDefault="00F76ED4" w:rsidP="00F76ED4">
            <w:pPr>
              <w:pStyle w:val="AppendixTableHeadings"/>
              <w:keepNext/>
              <w:rPr>
                <w:rFonts w:ascii="Tahoma" w:hAnsi="Tahoma" w:cs="Tahoma"/>
                <w:sz w:val="20"/>
                <w:szCs w:val="20"/>
                <w:lang w:val="de-DE"/>
              </w:rPr>
            </w:pPr>
            <w:r w:rsidRPr="00C83DF5">
              <w:rPr>
                <w:rFonts w:ascii="Tahoma" w:hAnsi="Tahoma" w:cs="Tahoma"/>
                <w:sz w:val="20"/>
                <w:szCs w:val="20"/>
                <w:lang w:val="de-DE"/>
              </w:rPr>
              <w:t>Produkte aus dem Office System-Anwendungs-Pool</w:t>
            </w:r>
            <w:r w:rsidRPr="00C83DF5">
              <w:rPr>
                <w:rFonts w:ascii="Tahoma" w:hAnsi="Tahoma" w:cs="Tahoma"/>
                <w:b w:val="0"/>
                <w:i/>
                <w:sz w:val="20"/>
                <w:szCs w:val="20"/>
                <w:lang w:val="de-DE"/>
              </w:rPr>
              <w:t xml:space="preserve"> </w:t>
            </w:r>
          </w:p>
        </w:tc>
        <w:tc>
          <w:tcPr>
            <w:tcW w:w="3240" w:type="dxa"/>
            <w:shd w:val="clear" w:color="auto" w:fill="FFCC99"/>
            <w:vAlign w:val="center"/>
          </w:tcPr>
          <w:p w:rsidR="00F76ED4" w:rsidRPr="00C83DF5" w:rsidRDefault="00F76ED4" w:rsidP="00F76ED4">
            <w:pPr>
              <w:pStyle w:val="AppendixTableHeadings"/>
              <w:keepNext/>
              <w:rPr>
                <w:rFonts w:ascii="Tahoma" w:hAnsi="Tahoma" w:cs="Tahoma"/>
                <w:sz w:val="20"/>
                <w:szCs w:val="20"/>
              </w:rPr>
            </w:pPr>
            <w:r w:rsidRPr="00C83DF5">
              <w:rPr>
                <w:rFonts w:ascii="Tahoma" w:hAnsi="Tahoma" w:cs="Tahoma"/>
                <w:sz w:val="20"/>
                <w:szCs w:val="20"/>
              </w:rPr>
              <w:t>System-Pool</w:t>
            </w:r>
          </w:p>
        </w:tc>
      </w:tr>
      <w:tr w:rsidR="00F76ED4" w:rsidRPr="004D388E" w:rsidTr="00D07386">
        <w:trPr>
          <w:cantSplit/>
          <w:trHeight w:val="236"/>
          <w:tblHeader/>
        </w:trPr>
        <w:tc>
          <w:tcPr>
            <w:tcW w:w="3002" w:type="dxa"/>
            <w:vAlign w:val="center"/>
          </w:tcPr>
          <w:p w:rsidR="00F76ED4" w:rsidRPr="00C83DF5" w:rsidRDefault="00F76ED4" w:rsidP="00F76ED4">
            <w:pPr>
              <w:pStyle w:val="AppendixTableText"/>
              <w:keepNext/>
              <w:rPr>
                <w:rFonts w:ascii="Tahoma" w:hAnsi="Tahoma" w:cs="Tahoma"/>
              </w:rPr>
            </w:pPr>
            <w:r w:rsidRPr="00C83DF5">
              <w:rPr>
                <w:rFonts w:ascii="Tahoma" w:hAnsi="Tahoma" w:cs="Tahoma"/>
              </w:rPr>
              <w:t>Open Value</w:t>
            </w:r>
          </w:p>
        </w:tc>
        <w:tc>
          <w:tcPr>
            <w:tcW w:w="3150" w:type="dxa"/>
            <w:vAlign w:val="center"/>
          </w:tcPr>
          <w:p w:rsidR="00F76ED4" w:rsidRPr="00C83DF5" w:rsidRDefault="00F76ED4" w:rsidP="00F76ED4">
            <w:pPr>
              <w:pStyle w:val="AppendixTableText"/>
              <w:keepNext/>
              <w:rPr>
                <w:rFonts w:ascii="Tahoma" w:hAnsi="Tahoma" w:cs="Tahoma"/>
              </w:rPr>
            </w:pPr>
            <w:r w:rsidRPr="00C83DF5">
              <w:rPr>
                <w:rFonts w:ascii="Tahoma" w:hAnsi="Tahoma" w:cs="Tahoma"/>
              </w:rPr>
              <w:t xml:space="preserve">2 Tage pro 50 Lizenzen </w:t>
            </w:r>
            <w:r w:rsidR="008E5B3B">
              <w:rPr>
                <w:rFonts w:ascii="Tahoma" w:hAnsi="Tahoma" w:cs="Tahoma"/>
              </w:rPr>
              <w:br/>
            </w:r>
            <w:r w:rsidRPr="00C83DF5">
              <w:rPr>
                <w:rFonts w:ascii="Tahoma" w:hAnsi="Tahoma" w:cs="Tahoma"/>
              </w:rPr>
              <w:t>(maximal 20 Tage)</w:t>
            </w:r>
          </w:p>
        </w:tc>
        <w:tc>
          <w:tcPr>
            <w:tcW w:w="3240" w:type="dxa"/>
            <w:vAlign w:val="center"/>
          </w:tcPr>
          <w:p w:rsidR="00F76ED4" w:rsidRPr="008B3D04" w:rsidRDefault="00F76ED4" w:rsidP="00F76ED4">
            <w:pPr>
              <w:pStyle w:val="AppendixTableText"/>
              <w:keepNext/>
              <w:rPr>
                <w:lang w:val="de-DE"/>
              </w:rPr>
            </w:pPr>
            <w:r w:rsidRPr="008B3D04">
              <w:rPr>
                <w:rFonts w:ascii="Tahoma" w:hAnsi="Tahoma" w:cs="Tahoma"/>
                <w:lang w:val="de-DE"/>
              </w:rPr>
              <w:t>1 Tag pro 50 Lizenzen</w:t>
            </w:r>
          </w:p>
          <w:p w:rsidR="00F76ED4" w:rsidRPr="008B3D04" w:rsidRDefault="00F76ED4" w:rsidP="00F76ED4">
            <w:pPr>
              <w:pStyle w:val="AppendixTableText"/>
              <w:keepNext/>
              <w:rPr>
                <w:rFonts w:ascii="Tahoma" w:hAnsi="Tahoma" w:cs="Tahoma"/>
                <w:lang w:val="de-DE"/>
              </w:rPr>
            </w:pPr>
            <w:r w:rsidRPr="008B3D04">
              <w:rPr>
                <w:rFonts w:ascii="Tahoma" w:hAnsi="Tahoma" w:cs="Tahoma"/>
                <w:lang w:val="de-DE"/>
              </w:rPr>
              <w:t>(maximal 10 Tage)</w:t>
            </w: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F76ED4">
            <w:pPr>
              <w:pStyle w:val="AppendixTableHeadings"/>
              <w:keepNext/>
              <w:rPr>
                <w:rFonts w:ascii="Tahoma" w:hAnsi="Tahoma" w:cs="Tahoma"/>
                <w:b w:val="0"/>
              </w:rPr>
            </w:pPr>
            <w:r w:rsidRPr="00C83DF5">
              <w:rPr>
                <w:rFonts w:ascii="Tahoma" w:hAnsi="Tahoma" w:cs="Tahoma"/>
                <w:b w:val="0"/>
              </w:rPr>
              <w:t>1</w:t>
            </w:r>
            <w:r w:rsidR="00A01EB3" w:rsidRPr="00C83DF5">
              <w:rPr>
                <w:rFonts w:ascii="Tahoma" w:hAnsi="Tahoma" w:cs="Tahoma"/>
              </w:rPr>
              <w:t xml:space="preserve"> – </w:t>
            </w:r>
            <w:r w:rsidRPr="00C83DF5">
              <w:rPr>
                <w:rFonts w:ascii="Tahoma" w:hAnsi="Tahoma" w:cs="Tahoma"/>
                <w:b w:val="0"/>
              </w:rPr>
              <w:t>249</w:t>
            </w:r>
          </w:p>
        </w:tc>
        <w:tc>
          <w:tcPr>
            <w:tcW w:w="3150" w:type="dxa"/>
            <w:vAlign w:val="center"/>
          </w:tcPr>
          <w:p w:rsidR="00F76ED4" w:rsidRPr="00C83DF5" w:rsidRDefault="00F76ED4" w:rsidP="00F76ED4">
            <w:pPr>
              <w:pStyle w:val="AppendixTableText"/>
              <w:keepNext/>
              <w:rPr>
                <w:rFonts w:ascii="Tahoma" w:hAnsi="Tahoma" w:cs="Tahoma"/>
              </w:rPr>
            </w:pPr>
            <w:r w:rsidRPr="00C83DF5">
              <w:rPr>
                <w:rFonts w:ascii="Tahoma" w:hAnsi="Tahoma" w:cs="Tahoma"/>
              </w:rPr>
              <w:t>2 Tage pro 50 Lizenzen</w:t>
            </w:r>
          </w:p>
        </w:tc>
        <w:tc>
          <w:tcPr>
            <w:tcW w:w="3240" w:type="dxa"/>
            <w:vAlign w:val="center"/>
          </w:tcPr>
          <w:p w:rsidR="00F76ED4" w:rsidRPr="00C83DF5" w:rsidRDefault="00F76ED4" w:rsidP="00F76ED4">
            <w:pPr>
              <w:pStyle w:val="AppendixTableText"/>
              <w:keepNext/>
            </w:pPr>
            <w:r w:rsidRPr="00C83DF5">
              <w:rPr>
                <w:rFonts w:ascii="Tahoma" w:hAnsi="Tahoma" w:cs="Tahoma"/>
              </w:rPr>
              <w:t>1 Tag pro 50 Lizenzen</w:t>
            </w:r>
          </w:p>
          <w:p w:rsidR="00F76ED4" w:rsidRPr="00C83DF5" w:rsidRDefault="00F76ED4" w:rsidP="00F76ED4">
            <w:pPr>
              <w:pStyle w:val="AppendixTableText"/>
              <w:keepNext/>
              <w:rPr>
                <w:rFonts w:ascii="Tahoma" w:hAnsi="Tahoma" w:cs="Tahoma"/>
              </w:rPr>
            </w:pP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E83155">
            <w:pPr>
              <w:pStyle w:val="AppendixTableText"/>
              <w:keepNext/>
              <w:rPr>
                <w:rFonts w:ascii="Tahoma" w:hAnsi="Tahoma" w:cs="Tahoma"/>
              </w:rPr>
            </w:pPr>
            <w:r w:rsidRPr="00C83DF5">
              <w:rPr>
                <w:rFonts w:ascii="Tahoma" w:hAnsi="Tahoma" w:cs="Tahoma"/>
              </w:rPr>
              <w:t>250</w:t>
            </w:r>
            <w:r w:rsidR="00A01EB3" w:rsidRPr="00C83DF5">
              <w:rPr>
                <w:rFonts w:ascii="Tahoma" w:hAnsi="Tahoma" w:cs="Tahoma"/>
              </w:rPr>
              <w:t xml:space="preserve"> – </w:t>
            </w:r>
            <w:r w:rsidRPr="00C83DF5">
              <w:rPr>
                <w:rFonts w:ascii="Tahoma" w:hAnsi="Tahoma" w:cs="Tahoma"/>
              </w:rPr>
              <w:t>2</w:t>
            </w:r>
            <w:r w:rsidR="00E83155">
              <w:rPr>
                <w:rFonts w:ascii="Tahoma" w:hAnsi="Tahoma" w:cs="Tahoma"/>
              </w:rPr>
              <w:t>.</w:t>
            </w:r>
            <w:r w:rsidRPr="00C83DF5">
              <w:rPr>
                <w:rFonts w:ascii="Tahoma" w:hAnsi="Tahoma" w:cs="Tahoma"/>
              </w:rPr>
              <w:t xml:space="preserve">399 </w:t>
            </w:r>
          </w:p>
        </w:tc>
        <w:tc>
          <w:tcPr>
            <w:tcW w:w="3150" w:type="dxa"/>
            <w:vAlign w:val="center"/>
          </w:tcPr>
          <w:p w:rsidR="00F76ED4" w:rsidRPr="00C83DF5" w:rsidRDefault="00F76ED4" w:rsidP="00F76ED4">
            <w:pPr>
              <w:pStyle w:val="AppendixTableText"/>
              <w:keepNext/>
            </w:pPr>
            <w:r w:rsidRPr="00C83DF5">
              <w:rPr>
                <w:rFonts w:ascii="Tahoma" w:hAnsi="Tahoma" w:cs="Tahoma"/>
              </w:rPr>
              <w:t>20 Tage pro</w:t>
            </w:r>
          </w:p>
          <w:p w:rsidR="00F76ED4" w:rsidRPr="00C83DF5" w:rsidRDefault="00F76ED4" w:rsidP="00F76ED4">
            <w:pPr>
              <w:pStyle w:val="AppendixTableText"/>
              <w:keepNext/>
              <w:rPr>
                <w:rFonts w:ascii="Tahoma" w:hAnsi="Tahoma" w:cs="Tahoma"/>
              </w:rPr>
            </w:pPr>
            <w:r w:rsidRPr="00C83DF5">
              <w:rPr>
                <w:rFonts w:ascii="Tahoma" w:hAnsi="Tahoma" w:cs="Tahoma"/>
              </w:rPr>
              <w:t>berechtigtem Beitritt</w:t>
            </w:r>
          </w:p>
        </w:tc>
        <w:tc>
          <w:tcPr>
            <w:tcW w:w="3240" w:type="dxa"/>
            <w:vAlign w:val="center"/>
          </w:tcPr>
          <w:p w:rsidR="00F76ED4" w:rsidRPr="00C83DF5" w:rsidRDefault="00F76ED4" w:rsidP="00F76ED4">
            <w:pPr>
              <w:pStyle w:val="AppendixTableText"/>
              <w:keepNext/>
            </w:pPr>
            <w:r w:rsidRPr="00C83DF5">
              <w:rPr>
                <w:rFonts w:ascii="Tahoma" w:hAnsi="Tahoma" w:cs="Tahoma"/>
              </w:rPr>
              <w:t>10 Tage pro</w:t>
            </w:r>
          </w:p>
          <w:p w:rsidR="00F76ED4" w:rsidRPr="00C83DF5" w:rsidRDefault="00F76ED4" w:rsidP="00F76ED4">
            <w:pPr>
              <w:pStyle w:val="AppendixTableText"/>
              <w:keepNext/>
              <w:rPr>
                <w:rFonts w:ascii="Tahoma" w:hAnsi="Tahoma" w:cs="Tahoma"/>
              </w:rPr>
            </w:pPr>
            <w:r w:rsidRPr="00C83DF5">
              <w:rPr>
                <w:rFonts w:ascii="Tahoma" w:hAnsi="Tahoma" w:cs="Tahoma"/>
              </w:rPr>
              <w:t>berechtigtem Beitritt</w:t>
            </w: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E83155">
            <w:pPr>
              <w:pStyle w:val="AppendixTableText"/>
              <w:keepNext/>
              <w:rPr>
                <w:rFonts w:ascii="Tahoma" w:hAnsi="Tahoma" w:cs="Tahoma"/>
                <w:i/>
              </w:rPr>
            </w:pPr>
            <w:r w:rsidRPr="00C83DF5">
              <w:rPr>
                <w:rFonts w:ascii="Tahoma" w:hAnsi="Tahoma" w:cs="Tahoma"/>
              </w:rPr>
              <w:t>2</w:t>
            </w:r>
            <w:r w:rsidR="00E83155">
              <w:rPr>
                <w:rFonts w:ascii="Tahoma" w:hAnsi="Tahoma" w:cs="Tahoma"/>
              </w:rPr>
              <w:t>.</w:t>
            </w:r>
            <w:r w:rsidRPr="00C83DF5">
              <w:rPr>
                <w:rFonts w:ascii="Tahoma" w:hAnsi="Tahoma" w:cs="Tahoma"/>
              </w:rPr>
              <w:t>400</w:t>
            </w:r>
            <w:r w:rsidR="00A01EB3" w:rsidRPr="00C83DF5">
              <w:rPr>
                <w:rFonts w:ascii="Tahoma" w:hAnsi="Tahoma" w:cs="Tahoma"/>
              </w:rPr>
              <w:t xml:space="preserve"> – </w:t>
            </w:r>
            <w:r w:rsidRPr="00C83DF5">
              <w:rPr>
                <w:rFonts w:ascii="Tahoma" w:hAnsi="Tahoma" w:cs="Tahoma"/>
              </w:rPr>
              <w:t>5</w:t>
            </w:r>
            <w:r w:rsidR="00E83155">
              <w:rPr>
                <w:rFonts w:ascii="Tahoma" w:hAnsi="Tahoma" w:cs="Tahoma"/>
              </w:rPr>
              <w:t>.</w:t>
            </w:r>
            <w:r w:rsidRPr="00C83DF5">
              <w:rPr>
                <w:rFonts w:ascii="Tahoma" w:hAnsi="Tahoma" w:cs="Tahoma"/>
              </w:rPr>
              <w:t>999</w:t>
            </w:r>
          </w:p>
        </w:tc>
        <w:tc>
          <w:tcPr>
            <w:tcW w:w="3150" w:type="dxa"/>
            <w:vAlign w:val="center"/>
          </w:tcPr>
          <w:p w:rsidR="00F76ED4" w:rsidRPr="00C83DF5" w:rsidRDefault="00F76ED4" w:rsidP="00F76ED4">
            <w:pPr>
              <w:pStyle w:val="AppendixTableText"/>
              <w:keepNext/>
            </w:pPr>
            <w:r w:rsidRPr="00C83DF5">
              <w:rPr>
                <w:rFonts w:ascii="Tahoma" w:hAnsi="Tahoma" w:cs="Tahoma"/>
              </w:rPr>
              <w:t xml:space="preserve">30 Tage* </w:t>
            </w:r>
          </w:p>
          <w:p w:rsidR="00F76ED4" w:rsidRPr="00C83DF5" w:rsidRDefault="00F76ED4" w:rsidP="00F76ED4">
            <w:pPr>
              <w:pStyle w:val="AppendixTableText"/>
              <w:keepNext/>
              <w:rPr>
                <w:rFonts w:ascii="Tahoma" w:hAnsi="Tahoma" w:cs="Tahoma"/>
              </w:rPr>
            </w:pPr>
          </w:p>
        </w:tc>
        <w:tc>
          <w:tcPr>
            <w:tcW w:w="3240" w:type="dxa"/>
            <w:vAlign w:val="center"/>
          </w:tcPr>
          <w:p w:rsidR="00F76ED4" w:rsidRPr="00C83DF5" w:rsidRDefault="00F76ED4" w:rsidP="00F76ED4">
            <w:pPr>
              <w:pStyle w:val="AppendixTableText"/>
              <w:keepNext/>
            </w:pPr>
            <w:r w:rsidRPr="00C83DF5">
              <w:rPr>
                <w:rFonts w:ascii="Tahoma" w:hAnsi="Tahoma" w:cs="Tahoma"/>
              </w:rPr>
              <w:t xml:space="preserve">15 Tage* </w:t>
            </w:r>
          </w:p>
          <w:p w:rsidR="00F76ED4" w:rsidRPr="00C83DF5" w:rsidRDefault="00F76ED4" w:rsidP="00F76ED4">
            <w:pPr>
              <w:pStyle w:val="AppendixTableText"/>
              <w:keepNext/>
              <w:rPr>
                <w:rFonts w:ascii="Tahoma" w:hAnsi="Tahoma" w:cs="Tahoma"/>
              </w:rPr>
            </w:pP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E83155">
            <w:pPr>
              <w:pStyle w:val="AppendixTableText"/>
              <w:keepNext/>
              <w:rPr>
                <w:rFonts w:ascii="Tahoma" w:hAnsi="Tahoma" w:cs="Tahoma"/>
                <w:i/>
              </w:rPr>
            </w:pPr>
            <w:r w:rsidRPr="00C83DF5">
              <w:rPr>
                <w:rFonts w:ascii="Tahoma" w:hAnsi="Tahoma" w:cs="Tahoma"/>
              </w:rPr>
              <w:t>6</w:t>
            </w:r>
            <w:r w:rsidR="00E83155">
              <w:rPr>
                <w:rFonts w:ascii="Tahoma" w:hAnsi="Tahoma" w:cs="Tahoma"/>
              </w:rPr>
              <w:t>.</w:t>
            </w:r>
            <w:r w:rsidRPr="00C83DF5">
              <w:rPr>
                <w:rFonts w:ascii="Tahoma" w:hAnsi="Tahoma" w:cs="Tahoma"/>
              </w:rPr>
              <w:t>000</w:t>
            </w:r>
            <w:r w:rsidR="00A01EB3" w:rsidRPr="00C83DF5">
              <w:rPr>
                <w:rFonts w:ascii="Tahoma" w:hAnsi="Tahoma" w:cs="Tahoma"/>
              </w:rPr>
              <w:t xml:space="preserve"> – </w:t>
            </w:r>
            <w:r w:rsidRPr="00C83DF5">
              <w:rPr>
                <w:rFonts w:ascii="Tahoma" w:hAnsi="Tahoma" w:cs="Tahoma"/>
              </w:rPr>
              <w:t>14</w:t>
            </w:r>
            <w:r w:rsidR="00E83155">
              <w:rPr>
                <w:rFonts w:ascii="Tahoma" w:hAnsi="Tahoma" w:cs="Tahoma"/>
              </w:rPr>
              <w:t>.</w:t>
            </w:r>
            <w:r w:rsidRPr="00C83DF5">
              <w:rPr>
                <w:rFonts w:ascii="Tahoma" w:hAnsi="Tahoma" w:cs="Tahoma"/>
              </w:rPr>
              <w:t>999</w:t>
            </w:r>
          </w:p>
        </w:tc>
        <w:tc>
          <w:tcPr>
            <w:tcW w:w="3150" w:type="dxa"/>
            <w:vAlign w:val="center"/>
          </w:tcPr>
          <w:p w:rsidR="00F76ED4" w:rsidRPr="00C83DF5" w:rsidRDefault="00F76ED4" w:rsidP="00F76ED4">
            <w:pPr>
              <w:pStyle w:val="AppendixTableText"/>
              <w:keepNext/>
            </w:pPr>
            <w:r w:rsidRPr="00C83DF5">
              <w:rPr>
                <w:rFonts w:ascii="Tahoma" w:hAnsi="Tahoma" w:cs="Tahoma"/>
              </w:rPr>
              <w:t xml:space="preserve">50 Tage* </w:t>
            </w:r>
          </w:p>
          <w:p w:rsidR="00F76ED4" w:rsidRPr="00C83DF5" w:rsidRDefault="00F76ED4" w:rsidP="00F76ED4">
            <w:pPr>
              <w:pStyle w:val="AppendixTableText"/>
              <w:keepNext/>
              <w:rPr>
                <w:rFonts w:ascii="Tahoma" w:hAnsi="Tahoma" w:cs="Tahoma"/>
              </w:rPr>
            </w:pPr>
          </w:p>
        </w:tc>
        <w:tc>
          <w:tcPr>
            <w:tcW w:w="3240" w:type="dxa"/>
            <w:vAlign w:val="center"/>
          </w:tcPr>
          <w:p w:rsidR="00F76ED4" w:rsidRPr="00C83DF5" w:rsidRDefault="00F76ED4" w:rsidP="00F76ED4">
            <w:pPr>
              <w:pStyle w:val="AppendixTableText"/>
              <w:keepNext/>
            </w:pPr>
            <w:r w:rsidRPr="00C83DF5">
              <w:rPr>
                <w:rFonts w:ascii="Tahoma" w:hAnsi="Tahoma" w:cs="Tahoma"/>
              </w:rPr>
              <w:t xml:space="preserve">25 Tage* </w:t>
            </w:r>
          </w:p>
          <w:p w:rsidR="00F76ED4" w:rsidRPr="00C83DF5" w:rsidRDefault="00F76ED4" w:rsidP="00F76ED4">
            <w:pPr>
              <w:pStyle w:val="AppendixTableText"/>
              <w:keepNext/>
              <w:rPr>
                <w:rFonts w:ascii="Tahoma" w:hAnsi="Tahoma" w:cs="Tahoma"/>
              </w:rPr>
            </w:pPr>
          </w:p>
        </w:tc>
      </w:tr>
      <w:tr w:rsidR="00F76ED4" w:rsidRPr="00C83DF5" w:rsidTr="00D07386">
        <w:trPr>
          <w:cantSplit/>
          <w:trHeight w:val="236"/>
          <w:tblHeader/>
        </w:trPr>
        <w:tc>
          <w:tcPr>
            <w:tcW w:w="3002" w:type="dxa"/>
            <w:tcBorders>
              <w:bottom w:val="single" w:sz="8" w:space="0" w:color="auto"/>
            </w:tcBorders>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E83155">
            <w:pPr>
              <w:pStyle w:val="AppendixTableText"/>
              <w:keepNext/>
              <w:rPr>
                <w:rFonts w:ascii="Tahoma" w:hAnsi="Tahoma" w:cs="Tahoma"/>
                <w:i/>
              </w:rPr>
            </w:pPr>
            <w:r w:rsidRPr="00C83DF5">
              <w:rPr>
                <w:rFonts w:ascii="Tahoma" w:hAnsi="Tahoma" w:cs="Tahoma"/>
              </w:rPr>
              <w:t>15</w:t>
            </w:r>
            <w:r w:rsidR="00E83155">
              <w:rPr>
                <w:rFonts w:ascii="Tahoma" w:hAnsi="Tahoma" w:cs="Tahoma"/>
              </w:rPr>
              <w:t>.</w:t>
            </w:r>
            <w:r w:rsidRPr="00C83DF5">
              <w:rPr>
                <w:rFonts w:ascii="Tahoma" w:hAnsi="Tahoma" w:cs="Tahoma"/>
              </w:rPr>
              <w:t>000 – 29</w:t>
            </w:r>
            <w:r w:rsidR="00E83155">
              <w:rPr>
                <w:rFonts w:ascii="Tahoma" w:hAnsi="Tahoma" w:cs="Tahoma"/>
              </w:rPr>
              <w:t>.</w:t>
            </w:r>
            <w:r w:rsidRPr="00C83DF5">
              <w:rPr>
                <w:rFonts w:ascii="Tahoma" w:hAnsi="Tahoma" w:cs="Tahoma"/>
              </w:rPr>
              <w:t>999</w:t>
            </w:r>
          </w:p>
        </w:tc>
        <w:tc>
          <w:tcPr>
            <w:tcW w:w="3150" w:type="dxa"/>
            <w:tcBorders>
              <w:bottom w:val="single" w:sz="8" w:space="0" w:color="auto"/>
            </w:tcBorders>
            <w:vAlign w:val="center"/>
          </w:tcPr>
          <w:p w:rsidR="00F76ED4" w:rsidRPr="00C83DF5" w:rsidRDefault="00F76ED4" w:rsidP="00F76ED4">
            <w:pPr>
              <w:pStyle w:val="AppendixTableText"/>
              <w:keepNext/>
            </w:pPr>
            <w:r w:rsidRPr="00C83DF5">
              <w:rPr>
                <w:rFonts w:ascii="Tahoma" w:hAnsi="Tahoma" w:cs="Tahoma"/>
              </w:rPr>
              <w:t xml:space="preserve">110 Tage* </w:t>
            </w:r>
          </w:p>
          <w:p w:rsidR="00F76ED4" w:rsidRPr="00C83DF5" w:rsidRDefault="00F76ED4" w:rsidP="00F76ED4">
            <w:pPr>
              <w:pStyle w:val="AppendixTableText"/>
              <w:keepNext/>
              <w:rPr>
                <w:rFonts w:ascii="Tahoma" w:hAnsi="Tahoma" w:cs="Tahoma"/>
              </w:rPr>
            </w:pPr>
          </w:p>
        </w:tc>
        <w:tc>
          <w:tcPr>
            <w:tcW w:w="3240" w:type="dxa"/>
            <w:tcBorders>
              <w:bottom w:val="single" w:sz="8" w:space="0" w:color="auto"/>
            </w:tcBorders>
            <w:vAlign w:val="center"/>
          </w:tcPr>
          <w:p w:rsidR="00F76ED4" w:rsidRPr="00C83DF5" w:rsidRDefault="00F76ED4" w:rsidP="00F76ED4">
            <w:pPr>
              <w:pStyle w:val="AppendixTableText"/>
              <w:keepNext/>
            </w:pPr>
            <w:r w:rsidRPr="00C83DF5">
              <w:rPr>
                <w:rFonts w:ascii="Tahoma" w:hAnsi="Tahoma" w:cs="Tahoma"/>
              </w:rPr>
              <w:t xml:space="preserve">55 Tage* </w:t>
            </w:r>
          </w:p>
          <w:p w:rsidR="00F76ED4" w:rsidRPr="00C83DF5" w:rsidRDefault="00F76ED4" w:rsidP="00F76ED4">
            <w:pPr>
              <w:pStyle w:val="AppendixTableText"/>
              <w:keepNext/>
              <w:rPr>
                <w:rFonts w:ascii="Tahoma" w:hAnsi="Tahoma" w:cs="Tahoma"/>
              </w:rPr>
            </w:pPr>
          </w:p>
        </w:tc>
      </w:tr>
      <w:tr w:rsidR="00D07386" w:rsidRPr="00C83DF5" w:rsidTr="00D07386">
        <w:trPr>
          <w:cantSplit/>
          <w:trHeight w:val="236"/>
          <w:tblHeader/>
        </w:trPr>
        <w:tc>
          <w:tcPr>
            <w:tcW w:w="3002" w:type="dxa"/>
            <w:shd w:val="clear" w:color="auto" w:fill="FFCC99"/>
            <w:vAlign w:val="center"/>
          </w:tcPr>
          <w:p w:rsidR="00D07386" w:rsidRPr="00C83DF5" w:rsidRDefault="00D07386" w:rsidP="00D07386">
            <w:pPr>
              <w:pStyle w:val="AppendixTableHeadings"/>
              <w:keepNext/>
              <w:rPr>
                <w:rFonts w:ascii="Tahoma" w:hAnsi="Tahoma" w:cs="Tahoma"/>
                <w:sz w:val="20"/>
                <w:szCs w:val="20"/>
              </w:rPr>
            </w:pPr>
            <w:r w:rsidRPr="00C83DF5">
              <w:rPr>
                <w:rFonts w:ascii="Tahoma" w:hAnsi="Tahoma" w:cs="Tahoma"/>
                <w:sz w:val="20"/>
                <w:szCs w:val="20"/>
              </w:rPr>
              <w:lastRenderedPageBreak/>
              <w:t>Programm</w:t>
            </w:r>
          </w:p>
        </w:tc>
        <w:tc>
          <w:tcPr>
            <w:tcW w:w="3150" w:type="dxa"/>
            <w:shd w:val="clear" w:color="auto" w:fill="FFCC99"/>
            <w:vAlign w:val="center"/>
          </w:tcPr>
          <w:p w:rsidR="00D07386" w:rsidRPr="00C83DF5" w:rsidRDefault="00D07386" w:rsidP="00D07386">
            <w:pPr>
              <w:pStyle w:val="AppendixTableHeadings"/>
              <w:keepNext/>
              <w:rPr>
                <w:rFonts w:ascii="Tahoma" w:hAnsi="Tahoma" w:cs="Tahoma"/>
                <w:sz w:val="20"/>
                <w:szCs w:val="20"/>
                <w:lang w:val="de-DE"/>
              </w:rPr>
            </w:pPr>
            <w:r w:rsidRPr="00C83DF5">
              <w:rPr>
                <w:rFonts w:ascii="Tahoma" w:hAnsi="Tahoma" w:cs="Tahoma"/>
                <w:sz w:val="20"/>
                <w:szCs w:val="20"/>
                <w:lang w:val="de-DE"/>
              </w:rPr>
              <w:t>Produkte aus dem Office System-Anwendungs-Pool</w:t>
            </w:r>
            <w:r w:rsidRPr="00C83DF5">
              <w:rPr>
                <w:rFonts w:ascii="Tahoma" w:hAnsi="Tahoma" w:cs="Tahoma"/>
                <w:b w:val="0"/>
                <w:i/>
                <w:sz w:val="20"/>
                <w:szCs w:val="20"/>
                <w:lang w:val="de-DE"/>
              </w:rPr>
              <w:t xml:space="preserve"> </w:t>
            </w:r>
          </w:p>
        </w:tc>
        <w:tc>
          <w:tcPr>
            <w:tcW w:w="3240" w:type="dxa"/>
            <w:shd w:val="clear" w:color="auto" w:fill="FFCC99"/>
            <w:vAlign w:val="center"/>
          </w:tcPr>
          <w:p w:rsidR="00D07386" w:rsidRPr="00C83DF5" w:rsidRDefault="00D07386" w:rsidP="00D07386">
            <w:pPr>
              <w:pStyle w:val="AppendixTableHeadings"/>
              <w:keepNext/>
              <w:rPr>
                <w:rFonts w:ascii="Tahoma" w:hAnsi="Tahoma" w:cs="Tahoma"/>
                <w:sz w:val="20"/>
                <w:szCs w:val="20"/>
              </w:rPr>
            </w:pPr>
            <w:r w:rsidRPr="00C83DF5">
              <w:rPr>
                <w:rFonts w:ascii="Tahoma" w:hAnsi="Tahoma" w:cs="Tahoma"/>
                <w:sz w:val="20"/>
                <w:szCs w:val="20"/>
              </w:rPr>
              <w:t>System-Pool</w:t>
            </w: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E83155">
            <w:pPr>
              <w:pStyle w:val="AppendixTableText"/>
              <w:keepNext/>
              <w:rPr>
                <w:rFonts w:ascii="Tahoma" w:hAnsi="Tahoma" w:cs="Tahoma"/>
                <w:i/>
              </w:rPr>
            </w:pPr>
            <w:r w:rsidRPr="00C83DF5">
              <w:rPr>
                <w:rFonts w:ascii="Tahoma" w:hAnsi="Tahoma" w:cs="Tahoma"/>
              </w:rPr>
              <w:t>30</w:t>
            </w:r>
            <w:r w:rsidR="00E83155">
              <w:rPr>
                <w:rFonts w:ascii="Tahoma" w:hAnsi="Tahoma" w:cs="Tahoma"/>
              </w:rPr>
              <w:t>.</w:t>
            </w:r>
            <w:r w:rsidRPr="00C83DF5">
              <w:rPr>
                <w:rFonts w:ascii="Tahoma" w:hAnsi="Tahoma" w:cs="Tahoma"/>
              </w:rPr>
              <w:t>000 – 49</w:t>
            </w:r>
            <w:r w:rsidR="00E83155">
              <w:rPr>
                <w:rFonts w:ascii="Tahoma" w:hAnsi="Tahoma" w:cs="Tahoma"/>
              </w:rPr>
              <w:t>.</w:t>
            </w:r>
            <w:r w:rsidRPr="00C83DF5">
              <w:rPr>
                <w:rFonts w:ascii="Tahoma" w:hAnsi="Tahoma" w:cs="Tahoma"/>
              </w:rPr>
              <w:t>999</w:t>
            </w:r>
          </w:p>
        </w:tc>
        <w:tc>
          <w:tcPr>
            <w:tcW w:w="3150" w:type="dxa"/>
            <w:vAlign w:val="center"/>
          </w:tcPr>
          <w:p w:rsidR="00F76ED4" w:rsidRPr="00C83DF5" w:rsidRDefault="00F76ED4" w:rsidP="00F76ED4">
            <w:pPr>
              <w:pStyle w:val="AppendixTableText"/>
              <w:keepNext/>
            </w:pPr>
            <w:r w:rsidRPr="00C83DF5">
              <w:rPr>
                <w:rFonts w:ascii="Tahoma" w:hAnsi="Tahoma" w:cs="Tahoma"/>
              </w:rPr>
              <w:t xml:space="preserve">160 Tage* </w:t>
            </w:r>
          </w:p>
          <w:p w:rsidR="00F76ED4" w:rsidRPr="00C83DF5" w:rsidRDefault="00F76ED4" w:rsidP="00F76ED4">
            <w:pPr>
              <w:pStyle w:val="AppendixTableText"/>
              <w:keepNext/>
              <w:rPr>
                <w:rFonts w:ascii="Tahoma" w:hAnsi="Tahoma" w:cs="Tahoma"/>
              </w:rPr>
            </w:pPr>
          </w:p>
        </w:tc>
        <w:tc>
          <w:tcPr>
            <w:tcW w:w="3240" w:type="dxa"/>
            <w:vAlign w:val="center"/>
          </w:tcPr>
          <w:p w:rsidR="00F76ED4" w:rsidRPr="00C83DF5" w:rsidRDefault="00F76ED4" w:rsidP="00F76ED4">
            <w:pPr>
              <w:pStyle w:val="AppendixTableText"/>
              <w:keepNext/>
            </w:pPr>
            <w:r w:rsidRPr="00C83DF5">
              <w:rPr>
                <w:rFonts w:ascii="Tahoma" w:hAnsi="Tahoma" w:cs="Tahoma"/>
              </w:rPr>
              <w:t>80 Tage*</w:t>
            </w:r>
          </w:p>
          <w:p w:rsidR="00F76ED4" w:rsidRPr="00C83DF5" w:rsidRDefault="00F76ED4" w:rsidP="00F76ED4">
            <w:pPr>
              <w:pStyle w:val="AppendixTableText"/>
              <w:keepNext/>
              <w:rPr>
                <w:rFonts w:ascii="Tahoma" w:hAnsi="Tahoma" w:cs="Tahoma"/>
              </w:rPr>
            </w:pP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E83155">
            <w:pPr>
              <w:pStyle w:val="AppendixTableText"/>
              <w:keepNext/>
              <w:rPr>
                <w:rFonts w:ascii="Tahoma" w:hAnsi="Tahoma" w:cs="Tahoma"/>
                <w:i/>
              </w:rPr>
            </w:pPr>
            <w:r w:rsidRPr="00C83DF5">
              <w:rPr>
                <w:rFonts w:ascii="Tahoma" w:hAnsi="Tahoma" w:cs="Tahoma"/>
              </w:rPr>
              <w:t>50</w:t>
            </w:r>
            <w:r w:rsidR="00E83155">
              <w:rPr>
                <w:rFonts w:ascii="Tahoma" w:hAnsi="Tahoma" w:cs="Tahoma"/>
              </w:rPr>
              <w:t>.</w:t>
            </w:r>
            <w:r w:rsidRPr="00C83DF5">
              <w:rPr>
                <w:rFonts w:ascii="Tahoma" w:hAnsi="Tahoma" w:cs="Tahoma"/>
              </w:rPr>
              <w:t>000 – 99</w:t>
            </w:r>
            <w:r w:rsidR="00E83155">
              <w:rPr>
                <w:rFonts w:ascii="Tahoma" w:hAnsi="Tahoma" w:cs="Tahoma"/>
              </w:rPr>
              <w:t>.</w:t>
            </w:r>
            <w:r w:rsidRPr="00C83DF5">
              <w:rPr>
                <w:rFonts w:ascii="Tahoma" w:hAnsi="Tahoma" w:cs="Tahoma"/>
              </w:rPr>
              <w:t>999</w:t>
            </w:r>
          </w:p>
        </w:tc>
        <w:tc>
          <w:tcPr>
            <w:tcW w:w="3150" w:type="dxa"/>
            <w:vAlign w:val="center"/>
          </w:tcPr>
          <w:p w:rsidR="00F76ED4" w:rsidRPr="00C83DF5" w:rsidRDefault="00F76ED4" w:rsidP="00F76ED4">
            <w:pPr>
              <w:pStyle w:val="AppendixTableText"/>
              <w:keepNext/>
            </w:pPr>
            <w:r w:rsidRPr="00C83DF5">
              <w:rPr>
                <w:rFonts w:ascii="Tahoma" w:hAnsi="Tahoma" w:cs="Tahoma"/>
              </w:rPr>
              <w:t>250 Tage*</w:t>
            </w:r>
          </w:p>
          <w:p w:rsidR="00F76ED4" w:rsidRPr="00C83DF5" w:rsidRDefault="00F76ED4" w:rsidP="00F76ED4">
            <w:pPr>
              <w:pStyle w:val="AppendixTableText"/>
              <w:keepNext/>
              <w:rPr>
                <w:rFonts w:ascii="Tahoma" w:hAnsi="Tahoma" w:cs="Tahoma"/>
              </w:rPr>
            </w:pPr>
          </w:p>
        </w:tc>
        <w:tc>
          <w:tcPr>
            <w:tcW w:w="3240" w:type="dxa"/>
            <w:vAlign w:val="center"/>
          </w:tcPr>
          <w:p w:rsidR="00F76ED4" w:rsidRPr="00C83DF5" w:rsidRDefault="00F76ED4" w:rsidP="00F76ED4">
            <w:pPr>
              <w:pStyle w:val="AppendixTableText"/>
              <w:keepNext/>
            </w:pPr>
            <w:r w:rsidRPr="00C83DF5">
              <w:rPr>
                <w:rFonts w:ascii="Tahoma" w:hAnsi="Tahoma" w:cs="Tahoma"/>
              </w:rPr>
              <w:t xml:space="preserve">125 Tage* </w:t>
            </w:r>
          </w:p>
          <w:p w:rsidR="00F76ED4" w:rsidRPr="00C83DF5" w:rsidRDefault="00F76ED4" w:rsidP="00F76ED4">
            <w:pPr>
              <w:pStyle w:val="AppendixTableText"/>
              <w:keepNext/>
              <w:rPr>
                <w:rFonts w:ascii="Tahoma" w:hAnsi="Tahoma" w:cs="Tahoma"/>
              </w:rPr>
            </w:pP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E83155">
            <w:pPr>
              <w:pStyle w:val="AppendixTableHeadings"/>
              <w:keepNext/>
              <w:rPr>
                <w:rFonts w:ascii="Tahoma" w:hAnsi="Tahoma" w:cs="Tahoma"/>
                <w:b w:val="0"/>
              </w:rPr>
            </w:pPr>
            <w:r w:rsidRPr="00C83DF5">
              <w:rPr>
                <w:rFonts w:ascii="Tahoma" w:hAnsi="Tahoma" w:cs="Tahoma"/>
                <w:b w:val="0"/>
              </w:rPr>
              <w:t>100</w:t>
            </w:r>
            <w:r w:rsidR="00E83155">
              <w:rPr>
                <w:rFonts w:ascii="Tahoma" w:hAnsi="Tahoma" w:cs="Tahoma"/>
                <w:b w:val="0"/>
              </w:rPr>
              <w:t>.</w:t>
            </w:r>
            <w:r w:rsidRPr="00C83DF5">
              <w:rPr>
                <w:rFonts w:ascii="Tahoma" w:hAnsi="Tahoma" w:cs="Tahoma"/>
                <w:b w:val="0"/>
              </w:rPr>
              <w:t>000 – 199</w:t>
            </w:r>
            <w:r w:rsidR="00E83155">
              <w:rPr>
                <w:rFonts w:ascii="Tahoma" w:hAnsi="Tahoma" w:cs="Tahoma"/>
                <w:b w:val="0"/>
              </w:rPr>
              <w:t>.</w:t>
            </w:r>
            <w:r w:rsidRPr="00C83DF5">
              <w:rPr>
                <w:rFonts w:ascii="Tahoma" w:hAnsi="Tahoma" w:cs="Tahoma"/>
                <w:b w:val="0"/>
              </w:rPr>
              <w:t>999</w:t>
            </w:r>
          </w:p>
        </w:tc>
        <w:tc>
          <w:tcPr>
            <w:tcW w:w="3150" w:type="dxa"/>
            <w:vAlign w:val="center"/>
          </w:tcPr>
          <w:p w:rsidR="00F76ED4" w:rsidRPr="00C83DF5" w:rsidRDefault="00F76ED4" w:rsidP="00F76ED4">
            <w:pPr>
              <w:pStyle w:val="AppendixTableText"/>
              <w:keepNext/>
            </w:pPr>
            <w:r w:rsidRPr="00C83DF5">
              <w:rPr>
                <w:rFonts w:ascii="Tahoma" w:hAnsi="Tahoma" w:cs="Tahoma"/>
              </w:rPr>
              <w:t>400 Tage*</w:t>
            </w:r>
          </w:p>
          <w:p w:rsidR="00F76ED4" w:rsidRPr="00C83DF5" w:rsidRDefault="00F76ED4" w:rsidP="00F76ED4">
            <w:pPr>
              <w:pStyle w:val="AppendixTableText"/>
              <w:keepNext/>
              <w:rPr>
                <w:rFonts w:ascii="Tahoma" w:hAnsi="Tahoma" w:cs="Tahoma"/>
              </w:rPr>
            </w:pPr>
          </w:p>
        </w:tc>
        <w:tc>
          <w:tcPr>
            <w:tcW w:w="3240" w:type="dxa"/>
            <w:vAlign w:val="center"/>
          </w:tcPr>
          <w:p w:rsidR="00F76ED4" w:rsidRPr="00C83DF5" w:rsidRDefault="00F76ED4" w:rsidP="00F76ED4">
            <w:pPr>
              <w:pStyle w:val="AppendixTableText"/>
              <w:keepNext/>
            </w:pPr>
            <w:r w:rsidRPr="00C83DF5">
              <w:rPr>
                <w:rFonts w:ascii="Tahoma" w:hAnsi="Tahoma" w:cs="Tahoma"/>
              </w:rPr>
              <w:t>200 Tage*</w:t>
            </w:r>
          </w:p>
          <w:p w:rsidR="00F76ED4" w:rsidRPr="00C83DF5" w:rsidRDefault="00F76ED4" w:rsidP="00F76ED4">
            <w:pPr>
              <w:pStyle w:val="AppendixTableText"/>
              <w:keepNext/>
              <w:rPr>
                <w:rFonts w:ascii="Tahoma" w:hAnsi="Tahoma" w:cs="Tahoma"/>
              </w:rPr>
            </w:pP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E83155">
            <w:pPr>
              <w:pStyle w:val="AppendixTableHeadings"/>
              <w:keepNext/>
              <w:rPr>
                <w:rFonts w:ascii="Tahoma" w:hAnsi="Tahoma" w:cs="Tahoma"/>
                <w:b w:val="0"/>
              </w:rPr>
            </w:pPr>
            <w:r w:rsidRPr="00C83DF5">
              <w:rPr>
                <w:rFonts w:ascii="Tahoma" w:hAnsi="Tahoma" w:cs="Tahoma"/>
                <w:b w:val="0"/>
              </w:rPr>
              <w:t>200</w:t>
            </w:r>
            <w:r w:rsidR="00E83155">
              <w:rPr>
                <w:rFonts w:ascii="Tahoma" w:hAnsi="Tahoma" w:cs="Tahoma"/>
                <w:b w:val="0"/>
              </w:rPr>
              <w:t>.</w:t>
            </w:r>
            <w:r w:rsidRPr="00C83DF5">
              <w:rPr>
                <w:rFonts w:ascii="Tahoma" w:hAnsi="Tahoma" w:cs="Tahoma"/>
                <w:b w:val="0"/>
              </w:rPr>
              <w:t>000 – 399</w:t>
            </w:r>
            <w:r w:rsidR="00E83155">
              <w:rPr>
                <w:rFonts w:ascii="Tahoma" w:hAnsi="Tahoma" w:cs="Tahoma"/>
                <w:b w:val="0"/>
              </w:rPr>
              <w:t>.</w:t>
            </w:r>
            <w:r w:rsidRPr="00C83DF5">
              <w:rPr>
                <w:rFonts w:ascii="Tahoma" w:hAnsi="Tahoma" w:cs="Tahoma"/>
                <w:b w:val="0"/>
              </w:rPr>
              <w:t>999</w:t>
            </w:r>
          </w:p>
        </w:tc>
        <w:tc>
          <w:tcPr>
            <w:tcW w:w="3150" w:type="dxa"/>
            <w:vAlign w:val="center"/>
          </w:tcPr>
          <w:p w:rsidR="00F76ED4" w:rsidRPr="00C83DF5" w:rsidRDefault="00F76ED4" w:rsidP="00F76ED4">
            <w:pPr>
              <w:pStyle w:val="AppendixTableText"/>
              <w:keepNext/>
            </w:pPr>
            <w:r w:rsidRPr="00C83DF5">
              <w:rPr>
                <w:rFonts w:ascii="Tahoma" w:hAnsi="Tahoma" w:cs="Tahoma"/>
              </w:rPr>
              <w:t>600 Tage*</w:t>
            </w:r>
          </w:p>
          <w:p w:rsidR="00F76ED4" w:rsidRPr="00C83DF5" w:rsidRDefault="00F76ED4" w:rsidP="00F76ED4">
            <w:pPr>
              <w:pStyle w:val="AppendixTableText"/>
              <w:keepNext/>
              <w:rPr>
                <w:rFonts w:ascii="Tahoma" w:hAnsi="Tahoma" w:cs="Tahoma"/>
              </w:rPr>
            </w:pPr>
          </w:p>
        </w:tc>
        <w:tc>
          <w:tcPr>
            <w:tcW w:w="3240" w:type="dxa"/>
            <w:vAlign w:val="center"/>
          </w:tcPr>
          <w:p w:rsidR="00F76ED4" w:rsidRPr="00C83DF5" w:rsidRDefault="00F76ED4" w:rsidP="00F76ED4">
            <w:pPr>
              <w:pStyle w:val="AppendixTableText"/>
              <w:keepNext/>
            </w:pPr>
            <w:r w:rsidRPr="00C83DF5">
              <w:rPr>
                <w:rFonts w:ascii="Tahoma" w:hAnsi="Tahoma" w:cs="Tahoma"/>
              </w:rPr>
              <w:t>300 Tage*</w:t>
            </w:r>
          </w:p>
          <w:p w:rsidR="00F76ED4" w:rsidRPr="00C83DF5" w:rsidRDefault="00F76ED4" w:rsidP="00F76ED4">
            <w:pPr>
              <w:pStyle w:val="AppendixTableText"/>
              <w:keepNext/>
              <w:rPr>
                <w:rFonts w:ascii="Tahoma" w:hAnsi="Tahoma" w:cs="Tahoma"/>
              </w:rPr>
            </w:pP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F942E5">
            <w:pPr>
              <w:pStyle w:val="AppendixTableHeadings"/>
              <w:keepNext/>
              <w:rPr>
                <w:rFonts w:ascii="Tahoma" w:hAnsi="Tahoma" w:cs="Tahoma"/>
                <w:b w:val="0"/>
              </w:rPr>
            </w:pPr>
            <w:r w:rsidRPr="00C83DF5">
              <w:rPr>
                <w:rFonts w:ascii="Tahoma" w:hAnsi="Tahoma" w:cs="Tahoma"/>
                <w:b w:val="0"/>
              </w:rPr>
              <w:t>400</w:t>
            </w:r>
            <w:r w:rsidR="00F942E5">
              <w:rPr>
                <w:rFonts w:ascii="Tahoma" w:hAnsi="Tahoma" w:cs="Tahoma"/>
                <w:b w:val="0"/>
              </w:rPr>
              <w:t>.</w:t>
            </w:r>
            <w:r w:rsidRPr="00C83DF5">
              <w:rPr>
                <w:rFonts w:ascii="Tahoma" w:hAnsi="Tahoma" w:cs="Tahoma"/>
                <w:b w:val="0"/>
              </w:rPr>
              <w:t>000 – 599</w:t>
            </w:r>
            <w:r w:rsidR="00F942E5">
              <w:rPr>
                <w:rFonts w:ascii="Tahoma" w:hAnsi="Tahoma" w:cs="Tahoma"/>
                <w:b w:val="0"/>
              </w:rPr>
              <w:t>.</w:t>
            </w:r>
            <w:r w:rsidRPr="00C83DF5">
              <w:rPr>
                <w:rFonts w:ascii="Tahoma" w:hAnsi="Tahoma" w:cs="Tahoma"/>
                <w:b w:val="0"/>
              </w:rPr>
              <w:t>999</w:t>
            </w:r>
          </w:p>
        </w:tc>
        <w:tc>
          <w:tcPr>
            <w:tcW w:w="3150" w:type="dxa"/>
            <w:vAlign w:val="center"/>
          </w:tcPr>
          <w:p w:rsidR="00F76ED4" w:rsidRPr="00C83DF5" w:rsidRDefault="00F76ED4" w:rsidP="00F76ED4">
            <w:pPr>
              <w:pStyle w:val="AppendixTableText"/>
              <w:keepNext/>
            </w:pPr>
            <w:r w:rsidRPr="00C83DF5">
              <w:rPr>
                <w:rFonts w:ascii="Tahoma" w:hAnsi="Tahoma" w:cs="Tahoma"/>
              </w:rPr>
              <w:t>800 Tage*</w:t>
            </w:r>
          </w:p>
          <w:p w:rsidR="00F76ED4" w:rsidRPr="00C83DF5" w:rsidRDefault="00F76ED4" w:rsidP="00F76ED4">
            <w:pPr>
              <w:pStyle w:val="AppendixTableText"/>
              <w:keepNext/>
              <w:rPr>
                <w:rFonts w:ascii="Tahoma" w:hAnsi="Tahoma" w:cs="Tahoma"/>
              </w:rPr>
            </w:pPr>
          </w:p>
        </w:tc>
        <w:tc>
          <w:tcPr>
            <w:tcW w:w="3240" w:type="dxa"/>
            <w:vAlign w:val="center"/>
          </w:tcPr>
          <w:p w:rsidR="00F76ED4" w:rsidRPr="00C83DF5" w:rsidRDefault="00F76ED4" w:rsidP="00F76ED4">
            <w:pPr>
              <w:pStyle w:val="AppendixTableText"/>
              <w:keepNext/>
            </w:pPr>
            <w:r w:rsidRPr="00C83DF5">
              <w:rPr>
                <w:rFonts w:ascii="Tahoma" w:hAnsi="Tahoma" w:cs="Tahoma"/>
              </w:rPr>
              <w:t>400 Tage*</w:t>
            </w:r>
          </w:p>
          <w:p w:rsidR="00F76ED4" w:rsidRPr="00C83DF5" w:rsidRDefault="00F76ED4" w:rsidP="00F76ED4">
            <w:pPr>
              <w:pStyle w:val="AppendixTableText"/>
              <w:keepNext/>
              <w:rPr>
                <w:rFonts w:ascii="Tahoma" w:hAnsi="Tahoma" w:cs="Tahoma"/>
              </w:rPr>
            </w:pPr>
          </w:p>
        </w:tc>
      </w:tr>
      <w:tr w:rsidR="00F76ED4" w:rsidRPr="00C83DF5" w:rsidTr="00D07386">
        <w:trPr>
          <w:cantSplit/>
          <w:trHeight w:val="236"/>
          <w:tblHeader/>
        </w:trPr>
        <w:tc>
          <w:tcPr>
            <w:tcW w:w="3002" w:type="dxa"/>
            <w:vAlign w:val="center"/>
          </w:tcPr>
          <w:p w:rsidR="00F76ED4" w:rsidRPr="00C83DF5" w:rsidRDefault="00F76ED4" w:rsidP="00F76ED4">
            <w:pPr>
              <w:pStyle w:val="AppendixTableHeadings"/>
              <w:keepNext/>
            </w:pPr>
            <w:r w:rsidRPr="00C83DF5">
              <w:rPr>
                <w:rFonts w:ascii="Tahoma" w:hAnsi="Tahoma" w:cs="Tahoma"/>
                <w:b w:val="0"/>
              </w:rPr>
              <w:t>SAM</w:t>
            </w:r>
          </w:p>
          <w:p w:rsidR="00F76ED4" w:rsidRPr="00C83DF5" w:rsidRDefault="00F76ED4" w:rsidP="00F942E5">
            <w:pPr>
              <w:pStyle w:val="AppendixTableHeadings"/>
              <w:keepNext/>
              <w:rPr>
                <w:rFonts w:ascii="Tahoma" w:hAnsi="Tahoma" w:cs="Tahoma"/>
                <w:b w:val="0"/>
              </w:rPr>
            </w:pPr>
            <w:r w:rsidRPr="00C83DF5">
              <w:rPr>
                <w:rFonts w:ascii="Tahoma" w:hAnsi="Tahoma" w:cs="Tahoma"/>
                <w:b w:val="0"/>
              </w:rPr>
              <w:t>600</w:t>
            </w:r>
            <w:r w:rsidR="00F942E5">
              <w:rPr>
                <w:rFonts w:ascii="Tahoma" w:hAnsi="Tahoma" w:cs="Tahoma"/>
                <w:b w:val="0"/>
              </w:rPr>
              <w:t>.</w:t>
            </w:r>
            <w:r w:rsidRPr="00C83DF5">
              <w:rPr>
                <w:rFonts w:ascii="Tahoma" w:hAnsi="Tahoma" w:cs="Tahoma"/>
                <w:b w:val="0"/>
              </w:rPr>
              <w:t>000 +</w:t>
            </w:r>
          </w:p>
        </w:tc>
        <w:tc>
          <w:tcPr>
            <w:tcW w:w="3150" w:type="dxa"/>
            <w:vAlign w:val="center"/>
          </w:tcPr>
          <w:p w:rsidR="00F76ED4" w:rsidRPr="00C83DF5" w:rsidRDefault="00F76ED4" w:rsidP="00F76ED4">
            <w:pPr>
              <w:pStyle w:val="AppendixTableText"/>
              <w:keepNext/>
            </w:pPr>
            <w:r w:rsidRPr="00C83DF5">
              <w:rPr>
                <w:rFonts w:ascii="Tahoma" w:hAnsi="Tahoma" w:cs="Tahoma"/>
              </w:rPr>
              <w:t xml:space="preserve">1.400 Tage* </w:t>
            </w:r>
          </w:p>
          <w:p w:rsidR="00F76ED4" w:rsidRPr="00C83DF5" w:rsidRDefault="00F76ED4" w:rsidP="00F76ED4">
            <w:pPr>
              <w:pStyle w:val="AppendixTableText"/>
              <w:keepNext/>
              <w:rPr>
                <w:rFonts w:ascii="Tahoma" w:hAnsi="Tahoma" w:cs="Tahoma"/>
              </w:rPr>
            </w:pPr>
          </w:p>
        </w:tc>
        <w:tc>
          <w:tcPr>
            <w:tcW w:w="3240" w:type="dxa"/>
            <w:vAlign w:val="center"/>
          </w:tcPr>
          <w:p w:rsidR="00F76ED4" w:rsidRPr="00C83DF5" w:rsidRDefault="00F76ED4" w:rsidP="00F76ED4">
            <w:pPr>
              <w:pStyle w:val="AppendixTableText"/>
              <w:keepNext/>
            </w:pPr>
            <w:r w:rsidRPr="00C83DF5">
              <w:rPr>
                <w:rFonts w:ascii="Tahoma" w:hAnsi="Tahoma" w:cs="Tahoma"/>
              </w:rPr>
              <w:t>700 Tage*</w:t>
            </w:r>
          </w:p>
          <w:p w:rsidR="00F76ED4" w:rsidRPr="00C83DF5" w:rsidRDefault="00F76ED4" w:rsidP="00F76ED4">
            <w:pPr>
              <w:pStyle w:val="AppendixTableText"/>
              <w:keepNext/>
              <w:rPr>
                <w:rFonts w:ascii="Tahoma" w:hAnsi="Tahoma" w:cs="Tahoma"/>
              </w:rPr>
            </w:pPr>
          </w:p>
        </w:tc>
      </w:tr>
    </w:tbl>
    <w:p w:rsidR="00E762F8" w:rsidRPr="00C83DF5" w:rsidRDefault="00023FE7">
      <w:pPr>
        <w:pStyle w:val="AppendixFlushBulletedList"/>
        <w:tabs>
          <w:tab w:val="clear" w:pos="360"/>
          <w:tab w:val="num" w:pos="0"/>
        </w:tabs>
        <w:ind w:left="0" w:firstLine="0"/>
        <w:rPr>
          <w:lang w:val="de-DE"/>
        </w:rPr>
      </w:pPr>
      <w:r w:rsidRPr="00C83DF5">
        <w:rPr>
          <w:rFonts w:ascii="Tahoma" w:hAnsi="Tahoma" w:cs="Tahoma"/>
          <w:sz w:val="18"/>
          <w:szCs w:val="18"/>
          <w:lang w:val="de-DE"/>
        </w:rPr>
        <w:t>Die für die Trainingsgutschein-Berechtigung erforderliche Mindestanzahl von Lizenzen, für die Software Assurance erworben wird, hängt vom Programm ab.</w:t>
      </w:r>
    </w:p>
    <w:p w:rsidR="00C65D66" w:rsidRPr="00C83DF5" w:rsidRDefault="00C65D66" w:rsidP="00C65D66">
      <w:pPr>
        <w:tabs>
          <w:tab w:val="left" w:pos="10440"/>
        </w:tabs>
        <w:spacing w:before="120"/>
        <w:ind w:right="306"/>
        <w:rPr>
          <w:lang w:val="de-DE"/>
        </w:rPr>
      </w:pPr>
      <w:r w:rsidRPr="00C83DF5">
        <w:rPr>
          <w:rFonts w:eastAsia="Calibri" w:cs="Tahoma"/>
          <w:b/>
          <w:i/>
          <w:color w:val="000000"/>
          <w:sz w:val="16"/>
          <w:szCs w:val="16"/>
          <w:lang w:val="de-DE"/>
        </w:rPr>
        <w:t>Anmerkung:</w:t>
      </w:r>
      <w:r w:rsidRPr="00C83DF5">
        <w:rPr>
          <w:rFonts w:eastAsia="Calibri" w:cs="Tahoma"/>
          <w:i/>
          <w:color w:val="000000"/>
          <w:sz w:val="16"/>
          <w:szCs w:val="16"/>
          <w:lang w:val="de-DE"/>
        </w:rPr>
        <w:t xml:space="preserve"> Die verfügbaren Schulungstage basieren auf einem Beitritt oder Vertrag für volle 3 Jahre (weitere Informationen siehe unten).</w:t>
      </w:r>
      <w:r w:rsidR="00E71F46" w:rsidRPr="00C83DF5">
        <w:rPr>
          <w:rFonts w:eastAsia="Calibri" w:cs="Tahoma"/>
          <w:i/>
          <w:color w:val="000000"/>
          <w:sz w:val="16"/>
          <w:szCs w:val="16"/>
          <w:lang w:val="de-DE"/>
        </w:rPr>
        <w:t xml:space="preserve"> </w:t>
      </w:r>
    </w:p>
    <w:p w:rsidR="00C65D66" w:rsidRPr="00C83DF5" w:rsidRDefault="00C65D66" w:rsidP="00C65D66">
      <w:pPr>
        <w:spacing w:after="60"/>
        <w:rPr>
          <w:lang w:val="de-DE"/>
        </w:rPr>
      </w:pPr>
      <w:r w:rsidRPr="00C83DF5">
        <w:rPr>
          <w:rFonts w:eastAsia="Calibri" w:cs="Tahoma"/>
          <w:i/>
          <w:color w:val="000000"/>
          <w:sz w:val="16"/>
          <w:szCs w:val="16"/>
          <w:lang w:val="de-DE"/>
        </w:rPr>
        <w:t>Weitere Informationen finden Sie in der Tabelle mit der Office System-Anwendung</w:t>
      </w:r>
    </w:p>
    <w:p w:rsidR="00EC05F0" w:rsidRPr="00C83DF5" w:rsidRDefault="00C65D66" w:rsidP="00F76ED4">
      <w:pPr>
        <w:tabs>
          <w:tab w:val="left" w:pos="10440"/>
        </w:tabs>
        <w:ind w:right="302"/>
        <w:rPr>
          <w:lang w:val="de-DE"/>
        </w:rPr>
      </w:pPr>
      <w:r w:rsidRPr="00C83DF5">
        <w:rPr>
          <w:rFonts w:eastAsia="Calibri" w:cs="Tahoma"/>
          <w:i/>
          <w:color w:val="000000"/>
          <w:sz w:val="16"/>
          <w:szCs w:val="16"/>
          <w:lang w:val="de-DE"/>
        </w:rPr>
        <w:t>*Anzahl von Tagen pro berechtigten Beitritt oder Vertrag</w:t>
      </w:r>
    </w:p>
    <w:p w:rsidR="009D26EE" w:rsidRPr="00C83DF5" w:rsidRDefault="009D26EE" w:rsidP="003C56F1">
      <w:pPr>
        <w:pStyle w:val="AppendixBodyText"/>
        <w:spacing w:after="0"/>
        <w:rPr>
          <w:lang w:val="de-DE"/>
        </w:rPr>
      </w:pP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Nicht alle Kurse sind in allen Sprachen verfügbar.</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Es gelten die vom Microsoft Learning Partner festgelegten lokalen Richtlinien.</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rsidR="009D26EE" w:rsidRPr="00C83DF5" w:rsidRDefault="009D26EE" w:rsidP="00326050">
      <w:pPr>
        <w:pStyle w:val="AppendixBodyText"/>
        <w:numPr>
          <w:ilvl w:val="0"/>
          <w:numId w:val="29"/>
        </w:numPr>
        <w:spacing w:afterLines="60" w:after="144"/>
        <w:rPr>
          <w:lang w:val="de-DE"/>
        </w:rPr>
      </w:pPr>
      <w:r w:rsidRPr="00C83DF5">
        <w:rPr>
          <w:rFonts w:ascii="Tahoma" w:hAnsi="Tahoma" w:cs="Tahoma"/>
          <w:bCs/>
          <w:sz w:val="18"/>
          <w:szCs w:val="18"/>
          <w:lang w:val="de-DE"/>
        </w:rPr>
        <w:t>Kurstage, die vom Gutschein nicht abgedeckt werden, müssen von der Person bezahlt werden, die</w:t>
      </w:r>
      <w:r w:rsidR="00326050">
        <w:rPr>
          <w:rFonts w:ascii="Tahoma" w:hAnsi="Tahoma" w:cs="Tahoma"/>
          <w:bCs/>
          <w:sz w:val="18"/>
          <w:szCs w:val="18"/>
          <w:lang w:val="de-DE"/>
        </w:rPr>
        <w:t> </w:t>
      </w:r>
      <w:r w:rsidRPr="00C83DF5">
        <w:rPr>
          <w:rFonts w:ascii="Tahoma" w:hAnsi="Tahoma" w:cs="Tahoma"/>
          <w:bCs/>
          <w:sz w:val="18"/>
          <w:szCs w:val="18"/>
          <w:lang w:val="de-DE"/>
        </w:rPr>
        <w:t>die Schulung erhält.</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rsidR="009D26EE" w:rsidRPr="00C83DF5" w:rsidRDefault="009D26EE" w:rsidP="00555E1D">
      <w:pPr>
        <w:pStyle w:val="AppendixBodyText"/>
        <w:numPr>
          <w:ilvl w:val="0"/>
          <w:numId w:val="29"/>
        </w:numPr>
        <w:spacing w:afterLines="60" w:after="144"/>
        <w:rPr>
          <w:lang w:val="de-DE"/>
        </w:rPr>
      </w:pPr>
      <w:r w:rsidRPr="00C83DF5">
        <w:rPr>
          <w:rFonts w:ascii="Tahoma" w:hAnsi="Tahoma" w:cs="Tahoma"/>
          <w:bCs/>
          <w:sz w:val="18"/>
          <w:szCs w:val="18"/>
          <w:lang w:val="de-DE"/>
        </w:rPr>
        <w:t>Der Gutschein ist nur für Tage mit von Kursleitern durchgeführten Schulungen bei qualifizierten Microsoft Microsoft Learning Partnern für genehmigte Kurse einlösbar.</w:t>
      </w:r>
      <w:r w:rsidR="00E71F46" w:rsidRPr="00C83DF5">
        <w:rPr>
          <w:rFonts w:ascii="Tahoma" w:hAnsi="Tahoma" w:cs="Tahoma"/>
          <w:bCs/>
          <w:sz w:val="18"/>
          <w:szCs w:val="18"/>
          <w:lang w:val="de-DE"/>
        </w:rPr>
        <w:t xml:space="preserve"> </w:t>
      </w:r>
      <w:r w:rsidRPr="00C83DF5">
        <w:rPr>
          <w:rFonts w:ascii="Tahoma" w:hAnsi="Tahoma" w:cs="Tahoma"/>
          <w:bCs/>
          <w:sz w:val="18"/>
          <w:szCs w:val="18"/>
          <w:lang w:val="de-DE"/>
        </w:rPr>
        <w:t>Angepasste Kurse (abgesehen von genehmigten Kursen mit beschleunigter Bereitstellung) werden durch diese Gutscheine nicht abgedeckt.</w:t>
      </w:r>
      <w:r w:rsidR="00E71F46" w:rsidRPr="00C83DF5">
        <w:rPr>
          <w:rFonts w:ascii="Tahoma" w:hAnsi="Tahoma" w:cs="Tahoma"/>
          <w:bCs/>
          <w:sz w:val="18"/>
          <w:szCs w:val="18"/>
          <w:lang w:val="de-DE"/>
        </w:rPr>
        <w:t xml:space="preserve"> </w:t>
      </w:r>
      <w:r w:rsidRPr="00C83DF5">
        <w:rPr>
          <w:rFonts w:ascii="Tahoma" w:hAnsi="Tahoma" w:cs="Tahoma"/>
          <w:bCs/>
          <w:sz w:val="18"/>
          <w:szCs w:val="18"/>
          <w:lang w:val="de-DE"/>
        </w:rPr>
        <w:t xml:space="preserve">Informationen zu genehmigten Kursen finden Sie unter </w:t>
      </w:r>
      <w:r w:rsidR="00555E1D" w:rsidRPr="00555E1D">
        <w:rPr>
          <w:rFonts w:ascii="Tahoma" w:hAnsi="Tahoma" w:cs="Tahoma"/>
          <w:bCs/>
          <w:sz w:val="18"/>
          <w:szCs w:val="18"/>
          <w:lang w:val="de-DE"/>
        </w:rPr>
        <w:t>http://www.microsoft.com/learning/sa/training.mspx</w:t>
      </w:r>
      <w:r w:rsidRPr="00C83DF5">
        <w:rPr>
          <w:rFonts w:ascii="Tahoma" w:hAnsi="Tahoma" w:cs="Tahoma"/>
          <w:bCs/>
          <w:sz w:val="18"/>
          <w:szCs w:val="18"/>
          <w:lang w:val="de-DE"/>
        </w:rPr>
        <w:t>.</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Gutscheine können nicht für Gebühren im Zusammenhang mit einem reservierten Kurs verwendet werden, zu dem ein Kunde nicht erschienen ist.</w:t>
      </w:r>
      <w:r w:rsidR="00E71F46" w:rsidRPr="00C83DF5">
        <w:rPr>
          <w:rFonts w:ascii="Tahoma" w:hAnsi="Tahoma" w:cs="Tahoma"/>
          <w:bCs/>
          <w:sz w:val="18"/>
          <w:szCs w:val="18"/>
          <w:lang w:val="de-DE"/>
        </w:rPr>
        <w:t xml:space="preserve"> </w:t>
      </w:r>
      <w:r w:rsidRPr="00C83DF5">
        <w:rPr>
          <w:rFonts w:ascii="Tahoma" w:hAnsi="Tahoma" w:cs="Tahoma"/>
          <w:bCs/>
          <w:sz w:val="18"/>
          <w:szCs w:val="18"/>
          <w:lang w:val="de-DE"/>
        </w:rPr>
        <w:t xml:space="preserve">Für alle Gebühren im Zusammenhang mit „Nichterscheinen“ ist der Kunde verantwortlich. </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 xml:space="preserve">Gutscheine können nur von der Person eingelöst werden, die vom Kunden zur Nutzung des Gutscheins genehmigt wurde. </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Gutscheine können nicht gegen Bargeld, Zahlungen oder andere entgeltliche Gegenleistungen eingetauscht werden.</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Gutscheine müssen während der Software Assurance-Laufzeit zugewiesen werden.</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lastRenderedPageBreak/>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982A40" w:rsidRPr="00C83DF5" w:rsidRDefault="00982A40" w:rsidP="00DE02E2">
      <w:pPr>
        <w:numPr>
          <w:ilvl w:val="0"/>
          <w:numId w:val="29"/>
        </w:numPr>
        <w:spacing w:afterLines="60" w:after="144"/>
      </w:pPr>
      <w:r w:rsidRPr="00C83DF5">
        <w:rPr>
          <w:rFonts w:cs="Tahoma"/>
          <w:bCs/>
          <w:szCs w:val="18"/>
          <w:lang w:val="de-DE"/>
        </w:rPr>
        <w:t>Mit Ausnahme von Demonstrationssitzungen entspricht ein Trainingsgutschein-Tag einem Schulungssitzungstag.</w:t>
      </w:r>
      <w:r w:rsidR="00E71F46" w:rsidRPr="00C83DF5">
        <w:rPr>
          <w:rFonts w:cs="Tahoma"/>
          <w:bCs/>
          <w:szCs w:val="18"/>
          <w:lang w:val="de-DE"/>
        </w:rPr>
        <w:t xml:space="preserve"> </w:t>
      </w:r>
      <w:r w:rsidRPr="00C83DF5">
        <w:rPr>
          <w:rFonts w:cs="Tahoma"/>
          <w:bCs/>
          <w:szCs w:val="18"/>
        </w:rPr>
        <w:t>Bei Demonstrationssitzungen entspricht ein Trainingsgutschein-Tag einer Demonstrationssitzung.</w:t>
      </w:r>
    </w:p>
    <w:p w:rsidR="00982A40" w:rsidRPr="00C83DF5" w:rsidRDefault="00982A40" w:rsidP="00DE02E2">
      <w:pPr>
        <w:numPr>
          <w:ilvl w:val="0"/>
          <w:numId w:val="29"/>
        </w:numPr>
        <w:spacing w:afterLines="60" w:after="144"/>
        <w:rPr>
          <w:lang w:val="de-DE"/>
        </w:rPr>
      </w:pPr>
      <w:r w:rsidRPr="00C83DF5">
        <w:rPr>
          <w:rFonts w:cs="Tahoma"/>
          <w:bCs/>
          <w:szCs w:val="18"/>
          <w:lang w:val="de-DE"/>
        </w:rPr>
        <w:t>Kunden müssen Trainingsgutscheine für Pakete aus mindestens vier Demonstrationssitzungen einlösen.</w:t>
      </w:r>
    </w:p>
    <w:p w:rsidR="00982A40" w:rsidRPr="00C83DF5" w:rsidRDefault="00982A40" w:rsidP="00DE02E2">
      <w:pPr>
        <w:numPr>
          <w:ilvl w:val="0"/>
          <w:numId w:val="29"/>
        </w:numPr>
        <w:spacing w:afterLines="60" w:after="144"/>
        <w:rPr>
          <w:lang w:val="de-DE"/>
        </w:rPr>
      </w:pPr>
      <w:r w:rsidRPr="00C83DF5">
        <w:rPr>
          <w:rFonts w:cs="Tahoma"/>
          <w:bCs/>
          <w:szCs w:val="18"/>
          <w:lang w:val="de-DE"/>
        </w:rPr>
        <w:t>Für Demonstrationssitzungen eingelöste Trainingsgutscheine sind im Gegensatz zu für andere Schulungssitzungen eingelöste Trainingsgutscheine nicht auf eine Person beschränkt.</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 xml:space="preserve">Gutscheine können jeweils nur bei einem qualifizierten Microsoft Learning Partner zum Reservieren von Schulungen verwendet werden. </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Der Microsoft Learning Partner behält sich das Recht vor, einen Kurs in Übereinstimmung mit der örtlichen Stornierungsrichtlinie zu stornieren.</w:t>
      </w:r>
    </w:p>
    <w:p w:rsidR="009D26EE" w:rsidRPr="00C83DF5" w:rsidRDefault="009D26EE" w:rsidP="00DE02E2">
      <w:pPr>
        <w:pStyle w:val="AppendixBodyText"/>
        <w:numPr>
          <w:ilvl w:val="0"/>
          <w:numId w:val="29"/>
        </w:numPr>
        <w:spacing w:afterLines="60" w:after="144"/>
      </w:pPr>
      <w:r w:rsidRPr="00C83DF5">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sidRPr="00C83DF5">
        <w:rPr>
          <w:rFonts w:ascii="Tahoma" w:hAnsi="Tahoma" w:cs="Tahoma"/>
          <w:bCs/>
          <w:sz w:val="18"/>
          <w:szCs w:val="18"/>
        </w:rPr>
        <w:t>Die Teilnahme kann unterschiedlich sein.</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r w:rsidR="00E71F46" w:rsidRPr="00C83DF5">
        <w:rPr>
          <w:rFonts w:ascii="Tahoma" w:hAnsi="Tahoma" w:cs="Tahoma"/>
          <w:bCs/>
          <w:sz w:val="18"/>
          <w:szCs w:val="18"/>
          <w:lang w:val="de-DE"/>
        </w:rPr>
        <w:t xml:space="preserve"> </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Microsoft ist nicht für verlorene, gestohlene, verlegte oder missbrauchte Gutscheine verantwortlich.</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9D26EE" w:rsidRPr="00C83DF5" w:rsidRDefault="009D26EE" w:rsidP="00784C3E">
      <w:pPr>
        <w:pStyle w:val="AppendixBodyText"/>
        <w:numPr>
          <w:ilvl w:val="0"/>
          <w:numId w:val="29"/>
        </w:numPr>
        <w:spacing w:afterLines="60" w:after="144"/>
        <w:rPr>
          <w:lang w:val="de-DE"/>
        </w:rPr>
      </w:pPr>
      <w:r w:rsidRPr="00C83DF5">
        <w:rPr>
          <w:rFonts w:ascii="Tahoma" w:hAnsi="Tahoma" w:cs="Tahoma"/>
          <w:bCs/>
          <w:sz w:val="18"/>
          <w:szCs w:val="18"/>
          <w:lang w:val="de-DE"/>
        </w:rPr>
        <w:t>Gutscheine können nur von dem Kunden eingelöst werden, der für die Vergünstigung qualifiziert</w:t>
      </w:r>
      <w:r w:rsidR="00784C3E">
        <w:rPr>
          <w:rFonts w:ascii="Tahoma" w:hAnsi="Tahoma" w:cs="Tahoma"/>
          <w:bCs/>
          <w:sz w:val="18"/>
          <w:szCs w:val="18"/>
          <w:lang w:val="de-DE"/>
        </w:rPr>
        <w:t> </w:t>
      </w:r>
      <w:r w:rsidRPr="00C83DF5">
        <w:rPr>
          <w:rFonts w:ascii="Tahoma" w:hAnsi="Tahoma" w:cs="Tahoma"/>
          <w:bCs/>
          <w:sz w:val="18"/>
          <w:szCs w:val="18"/>
          <w:lang w:val="de-DE"/>
        </w:rPr>
        <w:t>ist.</w:t>
      </w:r>
    </w:p>
    <w:p w:rsidR="009D26EE" w:rsidRPr="00C83DF5" w:rsidRDefault="009D26EE" w:rsidP="00DE02E2">
      <w:pPr>
        <w:pStyle w:val="AppendixBodyText"/>
        <w:numPr>
          <w:ilvl w:val="0"/>
          <w:numId w:val="29"/>
        </w:numPr>
        <w:spacing w:afterLines="60" w:after="144"/>
        <w:rPr>
          <w:lang w:val="de-DE"/>
        </w:rPr>
      </w:pPr>
      <w:r w:rsidRPr="00C83DF5">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973A93" w:rsidRPr="00C83DF5" w:rsidRDefault="009D26EE" w:rsidP="00346F4B">
      <w:pPr>
        <w:pStyle w:val="AppendixBodyText"/>
        <w:numPr>
          <w:ilvl w:val="0"/>
          <w:numId w:val="29"/>
        </w:numPr>
        <w:spacing w:after="0"/>
        <w:rPr>
          <w:lang w:val="de-DE"/>
        </w:rPr>
      </w:pPr>
      <w:r w:rsidRPr="00C83DF5">
        <w:rPr>
          <w:rFonts w:ascii="Tahoma" w:hAnsi="Tahoma" w:cs="Tahoma"/>
          <w:bCs/>
          <w:sz w:val="18"/>
          <w:szCs w:val="18"/>
          <w:lang w:val="de-DE"/>
        </w:rPr>
        <w:t>In der Tabelle oben sind die verfügbaren Schulungstage basierend auf einem Beitritt oder Vertrag für volle 3 Jahre aufgeführt.</w:t>
      </w:r>
      <w:r w:rsidR="00E71F46" w:rsidRPr="00C83DF5">
        <w:rPr>
          <w:rFonts w:ascii="Tahoma" w:hAnsi="Tahoma" w:cs="Tahoma"/>
          <w:bCs/>
          <w:sz w:val="18"/>
          <w:szCs w:val="18"/>
          <w:lang w:val="de-DE"/>
        </w:rPr>
        <w:t xml:space="preserve"> </w:t>
      </w:r>
      <w:r w:rsidRPr="00C83DF5">
        <w:rPr>
          <w:rFonts w:ascii="Tahoma" w:hAnsi="Tahoma" w:cs="Tahoma"/>
          <w:bCs/>
          <w:sz w:val="18"/>
          <w:szCs w:val="18"/>
          <w:lang w:val="de-DE"/>
        </w:rPr>
        <w:t>Kunden, die Software Assurance für ein Jahr erwerben, erhalten ein Drittel der angegebenen Anzahl von Schulungstagen.</w:t>
      </w:r>
      <w:r w:rsidR="00E71F46" w:rsidRPr="00C83DF5">
        <w:rPr>
          <w:rFonts w:ascii="Tahoma" w:hAnsi="Tahoma" w:cs="Tahoma"/>
          <w:bCs/>
          <w:sz w:val="18"/>
          <w:szCs w:val="18"/>
          <w:lang w:val="de-DE"/>
        </w:rPr>
        <w:t xml:space="preserve"> </w:t>
      </w:r>
      <w:r w:rsidRPr="00C83DF5">
        <w:rPr>
          <w:rFonts w:ascii="Tahoma" w:hAnsi="Tahoma" w:cs="Tahoma"/>
          <w:bCs/>
          <w:sz w:val="18"/>
          <w:szCs w:val="18"/>
          <w:lang w:val="de-DE"/>
        </w:rPr>
        <w:t>Kunden, die Software Assurance für zwei Jahre erwerben, erhalten zwei Drittel der angegebenen Anzahl von Schulungstagen.</w:t>
      </w:r>
      <w:bookmarkStart w:id="723" w:name="_Toc336338234"/>
    </w:p>
    <w:p w:rsidR="005A141F" w:rsidRPr="008B3D04" w:rsidRDefault="005A141F" w:rsidP="00927A67">
      <w:pPr>
        <w:pStyle w:val="AppendixBodyText"/>
        <w:spacing w:after="0"/>
        <w:rPr>
          <w:rFonts w:ascii="Tahoma" w:hAnsi="Tahoma" w:cs="Tahoma"/>
          <w:bCs/>
          <w:sz w:val="18"/>
          <w:szCs w:val="18"/>
          <w:lang w:val="de-DE"/>
        </w:rPr>
      </w:pPr>
    </w:p>
    <w:p w:rsidR="00023FE7" w:rsidRPr="00C83DF5" w:rsidRDefault="00023FE7">
      <w:pPr>
        <w:pStyle w:val="Heading3"/>
        <w:rPr>
          <w:lang w:val="de-DE"/>
        </w:rPr>
      </w:pPr>
      <w:bookmarkStart w:id="724" w:name="_Toc370983343"/>
      <w:r w:rsidRPr="00C83DF5">
        <w:rPr>
          <w:rFonts w:ascii="Tahoma" w:hAnsi="Tahoma" w:cs="Tahoma"/>
          <w:sz w:val="24"/>
          <w:lang w:val="de-DE"/>
        </w:rPr>
        <w:t>E-Learning</w:t>
      </w:r>
      <w:bookmarkEnd w:id="723"/>
      <w:bookmarkEnd w:id="724"/>
    </w:p>
    <w:p w:rsidR="00023FE7" w:rsidRPr="00C83DF5" w:rsidRDefault="00023FE7" w:rsidP="002D25C8">
      <w:pPr>
        <w:rPr>
          <w:lang w:val="de-DE"/>
        </w:rPr>
      </w:pPr>
    </w:p>
    <w:p w:rsidR="003C56F1" w:rsidRPr="00C83DF5" w:rsidRDefault="00324479" w:rsidP="008A7860">
      <w:pPr>
        <w:tabs>
          <w:tab w:val="num" w:pos="360"/>
        </w:tabs>
        <w:spacing w:after="60"/>
        <w:rPr>
          <w:lang w:val="de-DE"/>
        </w:rPr>
      </w:pPr>
      <w:r w:rsidRPr="00C83DF5">
        <w:rPr>
          <w:rFonts w:cs="Tahoma"/>
          <w:b/>
          <w:szCs w:val="18"/>
          <w:lang w:val="de-DE"/>
        </w:rPr>
        <w:t>Berechtigte Software Assurance-Kunden</w:t>
      </w:r>
    </w:p>
    <w:p w:rsidR="00324479" w:rsidRPr="00C83DF5" w:rsidRDefault="00324479" w:rsidP="002D25C8">
      <w:pPr>
        <w:tabs>
          <w:tab w:val="num" w:pos="360"/>
        </w:tabs>
        <w:rPr>
          <w:lang w:val="de-DE"/>
        </w:rPr>
      </w:pPr>
      <w:r w:rsidRPr="00C83DF5">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rsidR="00324479" w:rsidRPr="008B3D04" w:rsidRDefault="00324479" w:rsidP="002D25C8">
      <w:pPr>
        <w:tabs>
          <w:tab w:val="num" w:pos="360"/>
        </w:tabs>
        <w:rPr>
          <w:rFonts w:cs="Tahoma"/>
          <w:szCs w:val="18"/>
          <w:lang w:val="de-DE"/>
        </w:rPr>
      </w:pPr>
    </w:p>
    <w:p w:rsidR="008A7860" w:rsidRPr="00C83DF5" w:rsidRDefault="00324479" w:rsidP="008A7860">
      <w:pPr>
        <w:tabs>
          <w:tab w:val="num" w:pos="360"/>
        </w:tabs>
        <w:spacing w:after="60"/>
        <w:rPr>
          <w:lang w:val="de-DE"/>
        </w:rPr>
      </w:pPr>
      <w:r w:rsidRPr="00C83DF5">
        <w:rPr>
          <w:rFonts w:cs="Tahoma"/>
          <w:b/>
          <w:szCs w:val="18"/>
          <w:lang w:val="de-DE"/>
        </w:rPr>
        <w:t>Für Onlinedienste-Vergünstigungen berechtigte Kunden</w:t>
      </w:r>
    </w:p>
    <w:p w:rsidR="00324479" w:rsidRPr="00C83DF5" w:rsidRDefault="00324479" w:rsidP="002D25C8">
      <w:pPr>
        <w:tabs>
          <w:tab w:val="num" w:pos="360"/>
        </w:tabs>
        <w:rPr>
          <w:lang w:val="de-DE"/>
        </w:rPr>
      </w:pPr>
      <w:r w:rsidRPr="00C83DF5">
        <w:rPr>
          <w:rFonts w:cs="Tahoma"/>
          <w:szCs w:val="18"/>
          <w:lang w:val="de-DE"/>
        </w:rPr>
        <w:t>Kunden mit Windows Intune (Pro Gerät) sind berechtigt, während der Laufzeit ihres Beitritts die E-Learning-Vergünstigung für Systeme zu verwenden.</w:t>
      </w:r>
      <w:r w:rsidR="00E71F46" w:rsidRPr="00C83DF5">
        <w:rPr>
          <w:rFonts w:cs="Tahoma"/>
          <w:szCs w:val="18"/>
          <w:lang w:val="de-DE"/>
        </w:rPr>
        <w:t xml:space="preserve"> </w:t>
      </w:r>
      <w:r w:rsidRPr="00C83DF5">
        <w:rPr>
          <w:rFonts w:cs="Tahoma"/>
          <w:szCs w:val="18"/>
          <w:lang w:val="de-DE"/>
        </w:rPr>
        <w:t xml:space="preserve">Dementsprechend sind Office 365-Kunden berechtigt, während der Laufzeit ihres Beitritts die E-Learning-Vergünstigung für Anwendungen zu verwenden. </w:t>
      </w:r>
    </w:p>
    <w:p w:rsidR="00324479" w:rsidRPr="008B3D04" w:rsidRDefault="00324479" w:rsidP="002D25C8">
      <w:pPr>
        <w:tabs>
          <w:tab w:val="num" w:pos="360"/>
        </w:tabs>
        <w:rPr>
          <w:rFonts w:cs="Tahoma"/>
          <w:szCs w:val="18"/>
          <w:lang w:val="de-DE"/>
        </w:rPr>
      </w:pPr>
    </w:p>
    <w:p w:rsidR="00927A67" w:rsidRPr="008B3D04" w:rsidRDefault="00927A67" w:rsidP="002D25C8">
      <w:pPr>
        <w:tabs>
          <w:tab w:val="num" w:pos="360"/>
        </w:tabs>
        <w:rPr>
          <w:rFonts w:cs="Tahoma"/>
          <w:szCs w:val="18"/>
          <w:lang w:val="de-DE"/>
        </w:rPr>
      </w:pPr>
    </w:p>
    <w:p w:rsidR="00324479" w:rsidRPr="00C83DF5" w:rsidRDefault="00324479" w:rsidP="00927A67">
      <w:pPr>
        <w:rPr>
          <w:lang w:val="de-DE"/>
        </w:rPr>
      </w:pPr>
      <w:r w:rsidRPr="00C83DF5">
        <w:rPr>
          <w:rFonts w:cs="Tahoma"/>
          <w:szCs w:val="18"/>
          <w:lang w:val="de-DE"/>
        </w:rPr>
        <w:lastRenderedPageBreak/>
        <w:t>Berechtigte Kunden erhalten pro qualifizierendem Beitritt/Vertrag einen Zugriffscode (für Anwendungen, Systeme, Server, Windows Intune (Pro Gerät) und Office 365).</w:t>
      </w:r>
      <w:r w:rsidR="00E71F46" w:rsidRPr="00C83DF5">
        <w:rPr>
          <w:rFonts w:cs="Tahoma"/>
          <w:szCs w:val="18"/>
          <w:lang w:val="de-DE"/>
        </w:rPr>
        <w:t xml:space="preserve"> </w:t>
      </w:r>
      <w:r w:rsidRPr="00C83DF5">
        <w:rPr>
          <w:rFonts w:cs="Tahoma"/>
          <w:szCs w:val="18"/>
          <w:lang w:val="de-DE"/>
        </w:rPr>
        <w:t>Kunden können außerdem SCORM-kompatible, nur aus Inhalt bestehende E-Learning-Dateien (für Anwendungen und Systeme) von VLSC herunterladen, um sie in ihr Learning Management System (LMS) zu importieren.</w:t>
      </w:r>
      <w:r w:rsidR="00E71F46" w:rsidRPr="00C83DF5">
        <w:rPr>
          <w:rFonts w:cs="Tahoma"/>
          <w:szCs w:val="18"/>
          <w:lang w:val="de-DE"/>
        </w:rPr>
        <w:t xml:space="preserve"> </w:t>
      </w:r>
      <w:r w:rsidRPr="00C83DF5">
        <w:rPr>
          <w:rFonts w:cs="Tahoma"/>
          <w:szCs w:val="18"/>
          <w:lang w:val="de-DE"/>
        </w:rPr>
        <w:t>Zum Herunterladen der Dateien von VLSC ist kein Zugriffscode erforderlich. Konzernvertrags- und Select-Kunden sind berechtigt, SCORM-kompatible Inhalte (für Anwendungen und</w:t>
      </w:r>
      <w:r w:rsidR="00927A67">
        <w:rPr>
          <w:rFonts w:cs="Tahoma"/>
          <w:szCs w:val="18"/>
          <w:lang w:val="de-DE"/>
        </w:rPr>
        <w:t> </w:t>
      </w:r>
      <w:r w:rsidRPr="00C83DF5">
        <w:rPr>
          <w:rFonts w:cs="Tahoma"/>
          <w:szCs w:val="18"/>
          <w:lang w:val="de-DE"/>
        </w:rPr>
        <w:t>Systeme) per Download oder DVD zu erwerben, während Open- und Open Value-Kunden SCORM-kompatible Inhalte (für Anwendungen und Systeme) nur per DVD erwerben dürfen.</w:t>
      </w:r>
    </w:p>
    <w:p w:rsidR="00324479" w:rsidRPr="00C83DF5" w:rsidRDefault="00324479" w:rsidP="002D25C8">
      <w:pPr>
        <w:rPr>
          <w:lang w:val="de-DE"/>
        </w:rPr>
      </w:pPr>
    </w:p>
    <w:p w:rsidR="00324479" w:rsidRPr="00C83DF5" w:rsidRDefault="00324479" w:rsidP="002D25C8">
      <w:pPr>
        <w:rPr>
          <w:lang w:val="de-DE"/>
        </w:rPr>
      </w:pPr>
      <w:r w:rsidRPr="00C83DF5">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w:t>
      </w:r>
      <w:r w:rsidR="00E71F46" w:rsidRPr="00C83DF5">
        <w:rPr>
          <w:rFonts w:cs="Tahoma"/>
          <w:szCs w:val="18"/>
          <w:lang w:val="de-DE"/>
        </w:rPr>
        <w:t xml:space="preserve"> </w:t>
      </w:r>
      <w:r w:rsidRPr="00C83DF5">
        <w:rPr>
          <w:rFonts w:cs="Tahoma"/>
          <w:szCs w:val="18"/>
          <w:lang w:val="de-DE"/>
        </w:rPr>
        <w:t>Der Zugriff kann nicht von einem Nutzer auf einen anderen übertragen werden.</w:t>
      </w:r>
      <w:r w:rsidR="00E71F46" w:rsidRPr="00C83DF5">
        <w:rPr>
          <w:rFonts w:cs="Tahoma"/>
          <w:szCs w:val="18"/>
          <w:lang w:val="de-DE"/>
        </w:rPr>
        <w:t xml:space="preserve"> </w:t>
      </w:r>
      <w:r w:rsidRPr="00C83DF5">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p>
    <w:p w:rsidR="00324479" w:rsidRPr="00C83DF5" w:rsidRDefault="00324479" w:rsidP="002D25C8">
      <w:pPr>
        <w:tabs>
          <w:tab w:val="num" w:pos="360"/>
        </w:tabs>
        <w:rPr>
          <w:lang w:val="de-DE"/>
        </w:rPr>
      </w:pPr>
    </w:p>
    <w:p w:rsidR="00324479" w:rsidRPr="00C83DF5" w:rsidRDefault="00324479" w:rsidP="00927A67">
      <w:pPr>
        <w:tabs>
          <w:tab w:val="num" w:pos="0"/>
        </w:tabs>
        <w:rPr>
          <w:lang w:val="de-DE"/>
        </w:rPr>
      </w:pPr>
      <w:r w:rsidRPr="00C83DF5">
        <w:rPr>
          <w:rFonts w:cs="Tahoma"/>
          <w:szCs w:val="18"/>
          <w:lang w:val="de-DE"/>
        </w:rPr>
        <w:t xml:space="preserve">Berechtigte Kunden können E-Learning-Kits bei einem regionalen Fulfillment-Center erwerben, wenn die </w:t>
      </w:r>
      <w:r w:rsidR="00927A67">
        <w:rPr>
          <w:rFonts w:cs="Tahoma"/>
          <w:szCs w:val="18"/>
          <w:lang w:val="de-DE"/>
        </w:rPr>
        <w:br/>
      </w:r>
      <w:r w:rsidRPr="00C83DF5">
        <w:rPr>
          <w:rFonts w:cs="Tahoma"/>
          <w:szCs w:val="18"/>
          <w:lang w:val="de-DE"/>
        </w:rPr>
        <w:t>Online-Option nicht ausreicht. Die Bereitstellung und Nutzung der E-Learning-Kurse durch Kunden unterliegt den</w:t>
      </w:r>
      <w:r w:rsidR="00927A67">
        <w:rPr>
          <w:rFonts w:cs="Tahoma"/>
          <w:szCs w:val="18"/>
          <w:lang w:val="de-DE"/>
        </w:rPr>
        <w:t> </w:t>
      </w:r>
      <w:r w:rsidRPr="00C83DF5">
        <w:rPr>
          <w:rFonts w:cs="Tahoma"/>
          <w:szCs w:val="18"/>
          <w:lang w:val="de-DE"/>
        </w:rPr>
        <w:t>Bestimmungen ihres Lizenzvertrages.</w:t>
      </w:r>
      <w:r w:rsidR="00E71F46" w:rsidRPr="00C83DF5">
        <w:rPr>
          <w:rFonts w:cs="Tahoma"/>
          <w:szCs w:val="18"/>
          <w:lang w:val="de-DE"/>
        </w:rPr>
        <w:t xml:space="preserve"> </w:t>
      </w:r>
    </w:p>
    <w:p w:rsidR="00324479" w:rsidRPr="00927A67" w:rsidRDefault="00324479" w:rsidP="002D25C8">
      <w:pPr>
        <w:tabs>
          <w:tab w:val="num" w:pos="0"/>
        </w:tabs>
        <w:rPr>
          <w:rFonts w:cs="Tahoma"/>
          <w:szCs w:val="18"/>
          <w:lang w:val="de-DE"/>
        </w:rPr>
      </w:pPr>
    </w:p>
    <w:p w:rsidR="008A7860" w:rsidRPr="00C83DF5" w:rsidRDefault="008A7860" w:rsidP="008A7860">
      <w:pPr>
        <w:spacing w:after="60"/>
        <w:rPr>
          <w:lang w:val="de-DE"/>
        </w:rPr>
      </w:pPr>
      <w:r w:rsidRPr="00C83DF5">
        <w:rPr>
          <w:rFonts w:cs="Tahoma"/>
          <w:b/>
          <w:szCs w:val="18"/>
          <w:lang w:val="de-DE"/>
        </w:rPr>
        <w:t>E-Learning-Anwendungen</w:t>
      </w:r>
    </w:p>
    <w:p w:rsidR="00324479" w:rsidRPr="00C83DF5" w:rsidRDefault="00324479" w:rsidP="002D25C8">
      <w:pPr>
        <w:rPr>
          <w:lang w:val="de-DE"/>
        </w:rPr>
      </w:pPr>
      <w:r w:rsidRPr="00C83DF5">
        <w:rPr>
          <w:rFonts w:cs="Tahoma"/>
          <w:szCs w:val="18"/>
          <w:lang w:val="de-DE"/>
        </w:rPr>
        <w:t xml:space="preserve">Kunden </w:t>
      </w:r>
      <w:r w:rsidRPr="00C83DF5">
        <w:rPr>
          <w:rFonts w:cs="Tahoma"/>
          <w:color w:val="000000"/>
          <w:szCs w:val="18"/>
          <w:lang w:val="de-DE"/>
        </w:rPr>
        <w:t>mit Office 365 ProPlus,</w:t>
      </w:r>
      <w:r w:rsidRPr="00C83DF5">
        <w:rPr>
          <w:rFonts w:cs="Tahoma"/>
          <w:szCs w:val="18"/>
          <w:lang w:val="de-DE"/>
        </w:rPr>
        <w:t xml:space="preserve"> Office 365-Suites und Software Assurance für qualifizierende Anwendungsprodukte sind berechtigt, gehostete E-Learning-Kurse und SCORM-kompatible Inhalte zu verwenden.</w:t>
      </w:r>
      <w:r w:rsidR="00E71F46" w:rsidRPr="00C83DF5">
        <w:rPr>
          <w:rFonts w:cs="Tahoma"/>
          <w:szCs w:val="18"/>
          <w:lang w:val="de-DE"/>
        </w:rPr>
        <w:t xml:space="preserve"> </w:t>
      </w:r>
    </w:p>
    <w:p w:rsidR="00324479" w:rsidRPr="008B3D04" w:rsidRDefault="00324479" w:rsidP="002D25C8">
      <w:pPr>
        <w:rPr>
          <w:rFonts w:cs="Tahoma"/>
          <w:szCs w:val="18"/>
          <w:lang w:val="de-DE"/>
        </w:rPr>
      </w:pPr>
    </w:p>
    <w:p w:rsidR="008A7860" w:rsidRPr="00C83DF5" w:rsidRDefault="008A7860" w:rsidP="008A7860">
      <w:pPr>
        <w:spacing w:after="60"/>
        <w:rPr>
          <w:lang w:val="de-DE"/>
        </w:rPr>
      </w:pPr>
      <w:r w:rsidRPr="00C83DF5">
        <w:rPr>
          <w:rFonts w:cs="Tahoma"/>
          <w:b/>
          <w:szCs w:val="18"/>
          <w:lang w:val="de-DE"/>
        </w:rPr>
        <w:t>E-Learning-Systeme</w:t>
      </w:r>
    </w:p>
    <w:p w:rsidR="00324479" w:rsidRPr="00C83DF5" w:rsidRDefault="00324479" w:rsidP="002D25C8">
      <w:pPr>
        <w:rPr>
          <w:lang w:val="de-DE"/>
        </w:rPr>
      </w:pPr>
      <w:r w:rsidRPr="00C83DF5">
        <w:rPr>
          <w:rFonts w:cs="Tahoma"/>
          <w:szCs w:val="18"/>
          <w:lang w:val="de-DE"/>
        </w:rPr>
        <w:t>Kunden mit Windows Intune (Pro Gerät) und Software Assurance für qualifizierende Systemprodukte sind berechtigt, die gehosteten E-Learning-Client-Kurse und SCORM-kompatible Inhalte zu verwenden.</w:t>
      </w:r>
      <w:r w:rsidR="00E71F46" w:rsidRPr="00C83DF5">
        <w:rPr>
          <w:rFonts w:cs="Tahoma"/>
          <w:szCs w:val="18"/>
          <w:lang w:val="de-DE"/>
        </w:rPr>
        <w:t xml:space="preserve"> </w:t>
      </w:r>
    </w:p>
    <w:p w:rsidR="00F76ED4" w:rsidRPr="008B3D04" w:rsidRDefault="00F76ED4">
      <w:pPr>
        <w:rPr>
          <w:rFonts w:cs="Tahoma"/>
          <w:b/>
          <w:szCs w:val="18"/>
          <w:lang w:val="de-DE"/>
        </w:rPr>
      </w:pPr>
    </w:p>
    <w:p w:rsidR="008A7860" w:rsidRPr="00C83DF5" w:rsidRDefault="008A7860" w:rsidP="008A7860">
      <w:pPr>
        <w:spacing w:after="60"/>
        <w:rPr>
          <w:lang w:val="de-DE"/>
        </w:rPr>
      </w:pPr>
      <w:r w:rsidRPr="00C83DF5">
        <w:rPr>
          <w:rFonts w:cs="Tahoma"/>
          <w:b/>
          <w:szCs w:val="18"/>
          <w:lang w:val="de-DE"/>
        </w:rPr>
        <w:t>E-Learning-Server</w:t>
      </w:r>
    </w:p>
    <w:p w:rsidR="00324479" w:rsidRPr="00C83DF5" w:rsidRDefault="00324479" w:rsidP="002D25C8">
      <w:pPr>
        <w:rPr>
          <w:lang w:val="de-DE"/>
        </w:rPr>
      </w:pPr>
      <w:r w:rsidRPr="00C83DF5">
        <w:rPr>
          <w:rFonts w:cs="Tahoma"/>
          <w:szCs w:val="18"/>
          <w:lang w:val="de-DE"/>
        </w:rPr>
        <w:t>Kunden mit Software Assurance für qualifizierende Serverprodukte sind berechtigt, die gehosteten E-Learning-Server-Kurse zu verwenden.</w:t>
      </w:r>
      <w:r w:rsidR="00E71F46" w:rsidRPr="00C83DF5">
        <w:rPr>
          <w:rFonts w:cs="Tahoma"/>
          <w:szCs w:val="18"/>
          <w:lang w:val="de-DE"/>
        </w:rPr>
        <w:t xml:space="preserve"> </w:t>
      </w:r>
    </w:p>
    <w:p w:rsidR="00023FE7" w:rsidRPr="00C83DF5" w:rsidRDefault="00023FE7" w:rsidP="002D25C8">
      <w:pPr>
        <w:rPr>
          <w:lang w:val="de-DE"/>
        </w:rPr>
      </w:pPr>
    </w:p>
    <w:p w:rsidR="00023FE7" w:rsidRPr="00C83DF5" w:rsidRDefault="00023FE7" w:rsidP="002D25C8">
      <w:pPr>
        <w:pStyle w:val="Heading3"/>
        <w:rPr>
          <w:lang w:val="de-DE"/>
        </w:rPr>
      </w:pPr>
      <w:bookmarkStart w:id="725" w:name="_Toc336338235"/>
      <w:bookmarkStart w:id="726" w:name="_Toc370983344"/>
      <w:r w:rsidRPr="00C83DF5">
        <w:rPr>
          <w:rFonts w:ascii="Tahoma" w:hAnsi="Tahoma" w:cs="Tahoma"/>
          <w:sz w:val="24"/>
          <w:lang w:val="de-DE"/>
        </w:rPr>
        <w:t>Home Use Program</w:t>
      </w:r>
      <w:bookmarkEnd w:id="725"/>
      <w:bookmarkEnd w:id="726"/>
    </w:p>
    <w:p w:rsidR="00023FE7" w:rsidRPr="00C83DF5" w:rsidRDefault="00023FE7" w:rsidP="002D25C8">
      <w:pPr>
        <w:rPr>
          <w:lang w:val="de-DE"/>
        </w:rPr>
      </w:pPr>
    </w:p>
    <w:p w:rsidR="00023FE7" w:rsidRPr="00C83DF5" w:rsidRDefault="00023FE7" w:rsidP="00772877">
      <w:pPr>
        <w:pStyle w:val="AppendixBodyText"/>
        <w:spacing w:after="0"/>
        <w:rPr>
          <w:lang w:val="de-DE"/>
        </w:rPr>
      </w:pPr>
      <w:r w:rsidRPr="00C83DF5">
        <w:rPr>
          <w:rFonts w:ascii="Tahoma" w:hAnsi="Tahoma" w:cs="Tahoma"/>
          <w:sz w:val="18"/>
          <w:szCs w:val="18"/>
          <w:lang w:val="de-DE"/>
        </w:rPr>
        <w:t xml:space="preserve">Kunden mit aktiver Software Assurance für qualifizierende Desktop-Anwendungsprodukte sind berechtigt, </w:t>
      </w:r>
      <w:r w:rsidRPr="00C83DF5">
        <w:rPr>
          <w:rFonts w:ascii="Tahoma" w:hAnsi="Tahoma" w:cs="Tahoma"/>
          <w:color w:val="000000"/>
          <w:sz w:val="18"/>
          <w:szCs w:val="18"/>
          <w:lang w:val="de-DE"/>
        </w:rPr>
        <w:t>am Home</w:t>
      </w:r>
      <w:r w:rsidR="00772877">
        <w:rPr>
          <w:rFonts w:ascii="Tahoma" w:hAnsi="Tahoma" w:cs="Tahoma"/>
          <w:color w:val="000000"/>
          <w:sz w:val="18"/>
          <w:szCs w:val="18"/>
          <w:lang w:val="de-DE"/>
        </w:rPr>
        <w:t> </w:t>
      </w:r>
      <w:r w:rsidRPr="00C83DF5">
        <w:rPr>
          <w:rFonts w:ascii="Tahoma" w:hAnsi="Tahoma" w:cs="Tahoma"/>
          <w:color w:val="000000"/>
          <w:sz w:val="18"/>
          <w:szCs w:val="18"/>
          <w:lang w:val="de-DE"/>
        </w:rPr>
        <w:t>Use Program teilzunehmen**.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Im Rahmen des Home Use Program können Mitarbeiter des Kunden, die Nutzer</w:t>
      </w:r>
      <w:r w:rsidR="00772877">
        <w:rPr>
          <w:rFonts w:ascii="Tahoma" w:hAnsi="Tahoma" w:cs="Tahoma"/>
          <w:color w:val="000000"/>
          <w:sz w:val="18"/>
          <w:szCs w:val="18"/>
          <w:lang w:val="de-DE"/>
        </w:rPr>
        <w:t> </w:t>
      </w:r>
      <w:r w:rsidRPr="00C83DF5">
        <w:rPr>
          <w:rFonts w:ascii="Tahoma" w:hAnsi="Tahoma" w:cs="Tahoma"/>
          <w:color w:val="000000"/>
          <w:sz w:val="18"/>
          <w:szCs w:val="18"/>
          <w:lang w:val="de-DE"/>
        </w:rPr>
        <w:t>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w:t>
      </w:r>
      <w:r w:rsidR="00772877">
        <w:rPr>
          <w:rFonts w:ascii="Tahoma" w:hAnsi="Tahoma" w:cs="Tahoma"/>
          <w:color w:val="000000"/>
          <w:sz w:val="18"/>
          <w:szCs w:val="18"/>
          <w:lang w:val="de-DE"/>
        </w:rPr>
        <w:t> </w:t>
      </w:r>
      <w:r w:rsidRPr="00C83DF5">
        <w:rPr>
          <w:rFonts w:ascii="Tahoma" w:hAnsi="Tahoma" w:cs="Tahoma"/>
          <w:color w:val="000000"/>
          <w:sz w:val="18"/>
          <w:szCs w:val="18"/>
          <w:lang w:val="de-DE"/>
        </w:rPr>
        <w:t>zu verwenden.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Die Desktop-Anwendungen, die über das Home Use Program verfügbar sind, sind ebenfalls in der Tabelle unten aufgeführt*.</w:t>
      </w:r>
    </w:p>
    <w:p w:rsidR="00023FE7" w:rsidRPr="00C83DF5" w:rsidRDefault="00023FE7" w:rsidP="002D25C8">
      <w:pPr>
        <w:pStyle w:val="AppendixBodyText"/>
        <w:spacing w:after="0"/>
        <w:rPr>
          <w:lang w:val="de-DE"/>
        </w:rPr>
      </w:pPr>
    </w:p>
    <w:p w:rsidR="00023FE7" w:rsidRPr="00C83DF5" w:rsidRDefault="00023FE7" w:rsidP="00991CC1">
      <w:pPr>
        <w:pStyle w:val="AppendixFlushBulletedList"/>
        <w:tabs>
          <w:tab w:val="clear" w:pos="360"/>
        </w:tabs>
        <w:ind w:left="0" w:firstLine="0"/>
        <w:rPr>
          <w:lang w:val="de-DE"/>
        </w:rPr>
      </w:pPr>
      <w:r w:rsidRPr="00C83DF5">
        <w:rPr>
          <w:rFonts w:ascii="Tahoma" w:hAnsi="Tahoma" w:cs="Tahoma"/>
          <w:sz w:val="18"/>
          <w:szCs w:val="18"/>
          <w:lang w:val="de-DE"/>
        </w:rPr>
        <w:t>Die Berechtigung von Kunden zur Teilnahme am Home Use Program endet mit Ablauf oder Kündigung von Software</w:t>
      </w:r>
      <w:r w:rsidR="00991CC1">
        <w:rPr>
          <w:rFonts w:ascii="Tahoma" w:hAnsi="Tahoma" w:cs="Tahoma"/>
          <w:sz w:val="18"/>
          <w:szCs w:val="18"/>
          <w:lang w:val="de-DE"/>
        </w:rPr>
        <w:t> </w:t>
      </w:r>
      <w:r w:rsidRPr="00C83DF5">
        <w:rPr>
          <w:rFonts w:ascii="Tahoma" w:hAnsi="Tahoma" w:cs="Tahoma"/>
          <w:sz w:val="18"/>
          <w:szCs w:val="18"/>
          <w:lang w:val="de-DE"/>
        </w:rPr>
        <w:t>Assurance für qualifizierende Desktop-Anwendungen.</w:t>
      </w:r>
      <w:r w:rsidR="00E71F46" w:rsidRPr="00C83DF5">
        <w:rPr>
          <w:rFonts w:ascii="Tahoma" w:hAnsi="Tahoma" w:cs="Tahoma"/>
          <w:sz w:val="18"/>
          <w:szCs w:val="18"/>
          <w:lang w:val="de-DE"/>
        </w:rPr>
        <w:t xml:space="preserve"> </w:t>
      </w:r>
      <w:r w:rsidRPr="00C83DF5">
        <w:rPr>
          <w:rFonts w:ascii="Tahoma" w:hAnsi="Tahoma" w:cs="Tahoma"/>
          <w:sz w:val="18"/>
          <w:szCs w:val="18"/>
          <w:lang w:val="de-DE"/>
        </w:rPr>
        <w:t>Microsoft ist berechtigt, die Teilnahme eines Kunden</w:t>
      </w:r>
      <w:r w:rsidR="00991CC1">
        <w:rPr>
          <w:rFonts w:ascii="Tahoma" w:hAnsi="Tahoma" w:cs="Tahoma"/>
          <w:sz w:val="18"/>
          <w:szCs w:val="18"/>
          <w:lang w:val="de-DE"/>
        </w:rPr>
        <w:t> </w:t>
      </w:r>
      <w:r w:rsidRPr="00C83DF5">
        <w:rPr>
          <w:rFonts w:ascii="Tahoma" w:hAnsi="Tahoma" w:cs="Tahoma"/>
          <w:sz w:val="18"/>
          <w:szCs w:val="18"/>
          <w:lang w:val="de-DE"/>
        </w:rPr>
        <w:t>am Home Use Program unverzüglich und ohne Ankündigung in Verbindung mit dem unbefugten Zugriff auf</w:t>
      </w:r>
      <w:r w:rsidR="00991CC1">
        <w:rPr>
          <w:rFonts w:ascii="Tahoma" w:hAnsi="Tahoma" w:cs="Tahoma"/>
          <w:sz w:val="18"/>
          <w:szCs w:val="18"/>
          <w:lang w:val="de-DE"/>
        </w:rPr>
        <w:t> </w:t>
      </w:r>
      <w:r w:rsidRPr="00C83DF5">
        <w:rPr>
          <w:rFonts w:ascii="Tahoma" w:hAnsi="Tahoma" w:cs="Tahoma"/>
          <w:sz w:val="18"/>
          <w:szCs w:val="18"/>
          <w:lang w:val="de-DE"/>
        </w:rPr>
        <w:t>oder der Lizenzierung durch die Home Use Program-Website im Zusammenhang mit dem Programmcode dieses</w:t>
      </w:r>
      <w:r w:rsidR="00991CC1">
        <w:rPr>
          <w:rFonts w:ascii="Tahoma" w:hAnsi="Tahoma" w:cs="Tahoma"/>
          <w:sz w:val="18"/>
          <w:szCs w:val="18"/>
          <w:lang w:val="de-DE"/>
        </w:rPr>
        <w:t> </w:t>
      </w:r>
      <w:r w:rsidRPr="00C83DF5">
        <w:rPr>
          <w:rFonts w:ascii="Tahoma" w:hAnsi="Tahoma" w:cs="Tahoma"/>
          <w:sz w:val="18"/>
          <w:szCs w:val="18"/>
          <w:lang w:val="de-DE"/>
        </w:rPr>
        <w:t xml:space="preserve">Kunden zu kündigen. </w:t>
      </w:r>
    </w:p>
    <w:p w:rsidR="00023FE7" w:rsidRDefault="00023FE7" w:rsidP="002D25C8">
      <w:pPr>
        <w:pStyle w:val="AppendixFlushBulletedList"/>
        <w:tabs>
          <w:tab w:val="clear" w:pos="360"/>
        </w:tabs>
        <w:ind w:left="0" w:firstLine="0"/>
        <w:rPr>
          <w:lang w:val="de-DE"/>
        </w:rPr>
      </w:pPr>
    </w:p>
    <w:p w:rsidR="00C27899" w:rsidRDefault="00C27899" w:rsidP="002D25C8">
      <w:pPr>
        <w:pStyle w:val="AppendixFlushBulletedList"/>
        <w:tabs>
          <w:tab w:val="clear" w:pos="360"/>
        </w:tabs>
        <w:ind w:left="0" w:firstLine="0"/>
        <w:rPr>
          <w:lang w:val="de-DE"/>
        </w:rPr>
      </w:pPr>
    </w:p>
    <w:p w:rsidR="00C27899" w:rsidRDefault="00C27899" w:rsidP="002D25C8">
      <w:pPr>
        <w:pStyle w:val="AppendixFlushBulletedList"/>
        <w:tabs>
          <w:tab w:val="clear" w:pos="360"/>
        </w:tabs>
        <w:ind w:left="0" w:firstLine="0"/>
        <w:rPr>
          <w:lang w:val="de-DE"/>
        </w:rPr>
      </w:pPr>
    </w:p>
    <w:p w:rsidR="00C27899" w:rsidRDefault="00C27899" w:rsidP="002D25C8">
      <w:pPr>
        <w:pStyle w:val="AppendixFlushBulletedList"/>
        <w:tabs>
          <w:tab w:val="clear" w:pos="360"/>
        </w:tabs>
        <w:ind w:left="0" w:firstLine="0"/>
        <w:rPr>
          <w:lang w:val="de-DE"/>
        </w:rPr>
      </w:pPr>
    </w:p>
    <w:p w:rsidR="00023FE7" w:rsidRPr="00C83DF5" w:rsidRDefault="00023FE7" w:rsidP="00583804">
      <w:pPr>
        <w:pStyle w:val="AppendixFlushBulletedList"/>
        <w:tabs>
          <w:tab w:val="clear" w:pos="360"/>
        </w:tabs>
        <w:ind w:left="0" w:firstLine="0"/>
        <w:rPr>
          <w:lang w:val="de-DE"/>
        </w:rPr>
      </w:pPr>
      <w:r w:rsidRPr="00C83DF5">
        <w:rPr>
          <w:rFonts w:ascii="Tahoma" w:hAnsi="Tahoma" w:cs="Tahoma"/>
          <w:sz w:val="18"/>
          <w:szCs w:val="18"/>
          <w:lang w:val="de-DE"/>
        </w:rPr>
        <w:lastRenderedPageBreak/>
        <w:t>Die Anzahl der Home Use Program-Lizenzen, die für eine bestimmte Desktop-Anwendung erworben werden können,</w:t>
      </w:r>
      <w:r w:rsidR="00583804">
        <w:rPr>
          <w:rFonts w:ascii="Tahoma" w:hAnsi="Tahoma" w:cs="Tahoma"/>
          <w:sz w:val="18"/>
          <w:szCs w:val="18"/>
          <w:lang w:val="de-DE"/>
        </w:rPr>
        <w:t> </w:t>
      </w:r>
      <w:r w:rsidRPr="00C83DF5">
        <w:rPr>
          <w:rFonts w:ascii="Tahoma" w:hAnsi="Tahoma" w:cs="Tahoma"/>
          <w:sz w:val="18"/>
          <w:szCs w:val="18"/>
          <w:lang w:val="de-DE"/>
        </w:rPr>
        <w:t>ist auf die Anzahl von Lizenzen für die entsprechenden qualifizierenden Desktop-Anwendungen beschränkt, für die der Kunde Software Assurance erwirbt.</w:t>
      </w:r>
      <w:r w:rsidR="00E71F46" w:rsidRPr="00C83DF5">
        <w:rPr>
          <w:rFonts w:ascii="Tahoma" w:hAnsi="Tahoma" w:cs="Tahoma"/>
          <w:sz w:val="18"/>
          <w:szCs w:val="18"/>
          <w:lang w:val="de-DE"/>
        </w:rPr>
        <w:t xml:space="preserve"> </w:t>
      </w:r>
      <w:r w:rsidRPr="00C83DF5">
        <w:rPr>
          <w:rFonts w:ascii="Tahoma" w:hAnsi="Tahoma" w:cs="Tahoma"/>
          <w:sz w:val="18"/>
          <w:szCs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w:t>
      </w:r>
      <w:r w:rsidR="00583804">
        <w:rPr>
          <w:rFonts w:ascii="Tahoma" w:hAnsi="Tahoma" w:cs="Tahoma"/>
          <w:sz w:val="18"/>
          <w:szCs w:val="18"/>
          <w:lang w:val="de-DE"/>
        </w:rPr>
        <w:t> </w:t>
      </w:r>
      <w:r w:rsidRPr="00C83DF5">
        <w:rPr>
          <w:rFonts w:ascii="Tahoma" w:hAnsi="Tahoma" w:cs="Tahoma"/>
          <w:sz w:val="18"/>
          <w:szCs w:val="18"/>
          <w:lang w:val="de-DE"/>
        </w:rPr>
        <w:t>der lizenzierten Kopie der Software ist oder wenn der Mitarbeiter eine vorherige oder spätere Version dieser</w:t>
      </w:r>
      <w:r w:rsidR="00583804">
        <w:rPr>
          <w:rFonts w:ascii="Tahoma" w:hAnsi="Tahoma" w:cs="Tahoma"/>
          <w:sz w:val="18"/>
          <w:szCs w:val="18"/>
          <w:lang w:val="de-DE"/>
        </w:rPr>
        <w:t> </w:t>
      </w:r>
      <w:r w:rsidRPr="00C83DF5">
        <w:rPr>
          <w:rFonts w:ascii="Tahoma" w:hAnsi="Tahoma" w:cs="Tahoma"/>
          <w:sz w:val="18"/>
          <w:szCs w:val="18"/>
          <w:lang w:val="de-DE"/>
        </w:rPr>
        <w:t>Desktop-Anwendung gemäß einer Home Use Program-Lizenz installiert oder verwendet.</w:t>
      </w:r>
    </w:p>
    <w:p w:rsidR="00023FE7" w:rsidRPr="00C83DF5" w:rsidRDefault="00023FE7" w:rsidP="002D25C8">
      <w:pPr>
        <w:pStyle w:val="AppendixFlushBulletedList"/>
        <w:tabs>
          <w:tab w:val="clear" w:pos="360"/>
        </w:tabs>
        <w:ind w:left="0" w:firstLine="0"/>
        <w:rPr>
          <w:lang w:val="de-DE"/>
        </w:rPr>
      </w:pPr>
    </w:p>
    <w:p w:rsidR="00023FE7" w:rsidRPr="00C83DF5" w:rsidRDefault="00023FE7" w:rsidP="002D25C8">
      <w:pPr>
        <w:pStyle w:val="AppendixFlushBulletedList"/>
        <w:tabs>
          <w:tab w:val="clear" w:pos="360"/>
        </w:tabs>
        <w:ind w:left="0" w:firstLine="0"/>
        <w:rPr>
          <w:lang w:val="de-DE"/>
        </w:rPr>
      </w:pPr>
      <w:r w:rsidRPr="00C83DF5">
        <w:rPr>
          <w:rFonts w:ascii="Tahoma" w:hAnsi="Tahoma" w:cs="Tahoma"/>
          <w:sz w:val="18"/>
          <w:szCs w:val="18"/>
          <w:lang w:val="de-DE"/>
        </w:rPr>
        <w:t>Kunden sind für die Einhaltung der Endbenutzer-Lizenzbestimmungen des Home Use Program durch ihren einzelnen Mitarbeiter nicht verantwortlich.</w:t>
      </w:r>
      <w:r w:rsidR="00E71F46" w:rsidRPr="00C83DF5">
        <w:rPr>
          <w:rFonts w:ascii="Tahoma" w:hAnsi="Tahoma" w:cs="Tahoma"/>
          <w:sz w:val="18"/>
          <w:szCs w:val="18"/>
          <w:lang w:val="de-DE"/>
        </w:rPr>
        <w:t xml:space="preserve"> </w:t>
      </w:r>
      <w:r w:rsidRPr="00C83DF5">
        <w:rPr>
          <w:rFonts w:ascii="Tahoma" w:hAnsi="Tahoma" w:cs="Tahoma"/>
          <w:sz w:val="18"/>
          <w:szCs w:val="18"/>
          <w:lang w:val="de-DE"/>
        </w:rPr>
        <w:t>Jene Bestimmungen werden zwischen Microsoft und dem Mitarbeiter des Kunden vereinbart und weichen tatsächlich von den unter den Volumenlizenzen des Kunden gewährten Rechten ab (z. B. darf 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023FE7" w:rsidRPr="008B3D04" w:rsidRDefault="00023FE7" w:rsidP="002D25C8">
      <w:pPr>
        <w:pStyle w:val="AppendixFlushBulletedList"/>
        <w:tabs>
          <w:tab w:val="clear" w:pos="360"/>
        </w:tabs>
        <w:ind w:left="0" w:firstLine="0"/>
        <w:rPr>
          <w:rFonts w:ascii="Tahoma" w:hAnsi="Tahoma" w:cs="Tahoma"/>
          <w:sz w:val="18"/>
          <w:szCs w:val="18"/>
          <w:lang w:val="de-DE"/>
        </w:rPr>
      </w:pPr>
    </w:p>
    <w:p w:rsidR="00023FE7" w:rsidRPr="00C83DF5" w:rsidRDefault="00023FE7" w:rsidP="00201B33">
      <w:pPr>
        <w:rPr>
          <w:lang w:val="de-DE"/>
        </w:rPr>
      </w:pPr>
      <w:r w:rsidRPr="00C83DF5">
        <w:rPr>
          <w:rFonts w:cs="Tahoma"/>
          <w:color w:val="000000"/>
          <w:szCs w:val="18"/>
          <w:lang w:val="de-DE"/>
        </w:rPr>
        <w:t>Die Teilnahme an diesem Programm kann für den Kunden und seine Mitarbeiter steuerliche Auswirkungen haben.</w:t>
      </w:r>
      <w:r w:rsidR="00E71F46" w:rsidRPr="00C83DF5">
        <w:rPr>
          <w:rFonts w:cs="Tahoma"/>
          <w:color w:val="000000"/>
          <w:szCs w:val="18"/>
          <w:lang w:val="de-DE"/>
        </w:rPr>
        <w:t xml:space="preserve"> </w:t>
      </w:r>
      <w:r w:rsidRPr="00C83DF5">
        <w:rPr>
          <w:rFonts w:cs="Tahoma"/>
          <w:color w:val="000000"/>
          <w:szCs w:val="18"/>
          <w:lang w:val="de-DE"/>
        </w:rPr>
        <w:t>Vor</w:t>
      </w:r>
      <w:r w:rsidR="00201B33">
        <w:rPr>
          <w:rFonts w:cs="Tahoma"/>
          <w:color w:val="000000"/>
          <w:szCs w:val="18"/>
          <w:lang w:val="de-DE"/>
        </w:rPr>
        <w:t> </w:t>
      </w:r>
      <w:r w:rsidRPr="00C83DF5">
        <w:rPr>
          <w:rFonts w:cs="Tahoma"/>
          <w:color w:val="000000"/>
          <w:szCs w:val="18"/>
          <w:lang w:val="de-DE"/>
        </w:rPr>
        <w:t>Nutzung dieser Vergünstigung kann es für einen Kunden sinnvoll sein, einen Steuerberater zurate zu ziehen. Microsoft übernimmt keine Verantwortung für die Einhaltung von Verpflichtungen in Bezug auf Sachbezüge, Steuern</w:t>
      </w:r>
      <w:r w:rsidR="00201B33">
        <w:rPr>
          <w:rFonts w:cs="Tahoma"/>
          <w:color w:val="000000"/>
          <w:szCs w:val="18"/>
          <w:lang w:val="de-DE"/>
        </w:rPr>
        <w:t> </w:t>
      </w:r>
      <w:r w:rsidRPr="00C83DF5">
        <w:rPr>
          <w:rFonts w:cs="Tahoma"/>
          <w:color w:val="000000"/>
          <w:szCs w:val="18"/>
          <w:lang w:val="de-DE"/>
        </w:rPr>
        <w:t xml:space="preserve">oder Berichterstattung, die der Kunde oder seine Mitarbeiter gegebenenfalls haben. </w:t>
      </w:r>
      <w:r w:rsidRPr="00C83DF5">
        <w:rPr>
          <w:lang w:val="de-DE"/>
        </w:rPr>
        <w:t>Zusätzliche Bestimmungen, die für Mitarbeiter in Neuseeland gelten, sind nachstehend aufgeführt:</w:t>
      </w:r>
    </w:p>
    <w:p w:rsidR="00023FE7" w:rsidRPr="00C83DF5" w:rsidRDefault="00023FE7" w:rsidP="00F93617">
      <w:pPr>
        <w:rPr>
          <w:lang w:val="de-DE"/>
        </w:rPr>
      </w:pPr>
    </w:p>
    <w:p w:rsidR="00023FE7" w:rsidRPr="00C83DF5" w:rsidRDefault="00023FE7" w:rsidP="00DE02E2">
      <w:pPr>
        <w:numPr>
          <w:ilvl w:val="0"/>
          <w:numId w:val="12"/>
        </w:numPr>
        <w:tabs>
          <w:tab w:val="left" w:pos="1440"/>
        </w:tabs>
        <w:spacing w:afterLines="60" w:after="144"/>
        <w:ind w:left="1440"/>
        <w:rPr>
          <w:lang w:val="de-DE"/>
        </w:rPr>
      </w:pPr>
      <w:r w:rsidRPr="00C83DF5">
        <w:rPr>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023FE7" w:rsidRPr="00C83DF5" w:rsidRDefault="00023FE7" w:rsidP="00F93617">
      <w:pPr>
        <w:numPr>
          <w:ilvl w:val="0"/>
          <w:numId w:val="12"/>
        </w:numPr>
        <w:tabs>
          <w:tab w:val="left" w:pos="1440"/>
        </w:tabs>
        <w:ind w:left="1440"/>
        <w:rPr>
          <w:lang w:val="de-DE"/>
        </w:rPr>
      </w:pPr>
      <w:r w:rsidRPr="00C83DF5">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023FE7" w:rsidRPr="00C83DF5" w:rsidRDefault="00023FE7" w:rsidP="00F93617">
      <w:pPr>
        <w:rPr>
          <w:lang w:val="de-DE"/>
        </w:rPr>
      </w:pPr>
    </w:p>
    <w:p w:rsidR="00023FE7" w:rsidRPr="00C83DF5" w:rsidRDefault="00023FE7" w:rsidP="002D25C8">
      <w:pPr>
        <w:rPr>
          <w:lang w:val="de-DE"/>
        </w:rPr>
      </w:pPr>
      <w:r w:rsidRPr="00C83DF5">
        <w:rPr>
          <w:rFonts w:cs="Tahoma"/>
          <w:szCs w:val="18"/>
          <w:lang w:val="de-DE"/>
        </w:rPr>
        <w:t>Die Liste qualifizierender Desktop-Anwendungen kann jederzeit ohne Ankündigung geändert werden und hängt von Region oder Angebot ab. Die Verfügbarkeit von Home Use Program-Software kann jederzeit ohne Ankündigung geändert werden und hängt von Region, Angebot, Anwendung, Version und Sprache ab.</w:t>
      </w:r>
    </w:p>
    <w:p w:rsidR="00023FE7" w:rsidRPr="00C83DF5" w:rsidRDefault="00023FE7" w:rsidP="002D25C8">
      <w:pPr>
        <w:rPr>
          <w:lang w:val="de-DE"/>
        </w:rPr>
      </w:pPr>
    </w:p>
    <w:p w:rsidR="00023FE7" w:rsidRPr="00C83DF5" w:rsidRDefault="00502827" w:rsidP="00EC05F0">
      <w:pPr>
        <w:keepNext/>
        <w:keepLines/>
      </w:pPr>
      <w:r w:rsidRPr="00C83DF5">
        <w:rPr>
          <w:rFonts w:cs="Tahoma"/>
          <w:szCs w:val="18"/>
        </w:rPr>
        <w:t>Microsoft Office Professional Plus HUP enthält die folgenden Microsoft Office-Programme:</w:t>
      </w:r>
    </w:p>
    <w:p w:rsidR="00023FE7" w:rsidRPr="00C83DF5"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C83DF5" w:rsidTr="00BF1889">
        <w:trPr>
          <w:trHeight w:val="60"/>
        </w:trPr>
        <w:tc>
          <w:tcPr>
            <w:tcW w:w="4437" w:type="dxa"/>
            <w:shd w:val="clear" w:color="auto" w:fill="FABF8F"/>
            <w:tcMar>
              <w:top w:w="0" w:type="dxa"/>
              <w:left w:w="108" w:type="dxa"/>
              <w:bottom w:w="0" w:type="dxa"/>
              <w:right w:w="108" w:type="dxa"/>
            </w:tcMar>
            <w:vAlign w:val="center"/>
          </w:tcPr>
          <w:p w:rsidR="00CA6072" w:rsidRPr="00C83DF5" w:rsidRDefault="00CA6072" w:rsidP="00E63D1C">
            <w:pPr>
              <w:pStyle w:val="appendixtableheadings0"/>
              <w:keepNext/>
              <w:keepLines/>
            </w:pPr>
            <w:r w:rsidRPr="00C83DF5">
              <w:rPr>
                <w:rFonts w:ascii="Tahoma" w:hAnsi="Tahoma" w:cs="Tahoma"/>
                <w:color w:val="000000"/>
                <w:sz w:val="20"/>
                <w:szCs w:val="20"/>
              </w:rPr>
              <w:t>Office Professional Plus-Komponenten für</w:t>
            </w:r>
            <w:r w:rsidR="00E63D1C">
              <w:rPr>
                <w:rFonts w:ascii="Tahoma" w:hAnsi="Tahoma" w:cs="Tahoma"/>
                <w:color w:val="000000"/>
                <w:sz w:val="20"/>
                <w:szCs w:val="20"/>
              </w:rPr>
              <w:t> </w:t>
            </w:r>
            <w:r w:rsidRPr="00C83DF5">
              <w:rPr>
                <w:rFonts w:ascii="Tahoma" w:hAnsi="Tahoma" w:cs="Tahoma"/>
                <w:color w:val="000000"/>
                <w:sz w:val="20"/>
                <w:szCs w:val="20"/>
              </w:rPr>
              <w:t xml:space="preserve">HUP </w:t>
            </w:r>
          </w:p>
          <w:p w:rsidR="00023FE7" w:rsidRPr="00C83DF5" w:rsidRDefault="00023FE7" w:rsidP="00EC05F0">
            <w:pPr>
              <w:pStyle w:val="appendixtableheadings0"/>
              <w:keepNext/>
              <w:keepLines/>
              <w:rPr>
                <w:rFonts w:ascii="Tahoma" w:hAnsi="Tahoma" w:cs="Tahoma"/>
                <w:color w:val="000000"/>
                <w:sz w:val="20"/>
                <w:szCs w:val="20"/>
              </w:rPr>
            </w:pPr>
          </w:p>
        </w:tc>
      </w:tr>
      <w:tr w:rsidR="00023FE7" w:rsidRPr="00C83DF5" w:rsidTr="00BF1889">
        <w:trPr>
          <w:trHeight w:val="438"/>
        </w:trPr>
        <w:tc>
          <w:tcPr>
            <w:tcW w:w="4437" w:type="dxa"/>
            <w:tcMar>
              <w:top w:w="0" w:type="dxa"/>
              <w:left w:w="108" w:type="dxa"/>
              <w:bottom w:w="0" w:type="dxa"/>
              <w:right w:w="108" w:type="dxa"/>
            </w:tcMar>
            <w:vAlign w:val="center"/>
          </w:tcPr>
          <w:p w:rsidR="00CA6072" w:rsidRPr="00C83DF5" w:rsidRDefault="00CA6072" w:rsidP="00EC05F0">
            <w:pPr>
              <w:pStyle w:val="appendixtabletext0"/>
              <w:keepNext/>
              <w:keepLines/>
            </w:pPr>
            <w:r w:rsidRPr="00C83DF5">
              <w:rPr>
                <w:rFonts w:ascii="Tahoma" w:hAnsi="Tahoma" w:cs="Tahoma"/>
                <w:color w:val="000000"/>
              </w:rPr>
              <w:t>Word 2013</w:t>
            </w:r>
          </w:p>
          <w:p w:rsidR="00CA6072" w:rsidRPr="00C83DF5" w:rsidRDefault="00CA6072" w:rsidP="00EC05F0">
            <w:pPr>
              <w:pStyle w:val="appendixtabletext0"/>
              <w:keepNext/>
              <w:keepLines/>
            </w:pPr>
            <w:r w:rsidRPr="00C83DF5">
              <w:rPr>
                <w:rFonts w:ascii="Tahoma" w:hAnsi="Tahoma" w:cs="Tahoma"/>
                <w:color w:val="000000"/>
              </w:rPr>
              <w:t>Excel</w:t>
            </w:r>
            <w:r w:rsidRPr="002558DA">
              <w:rPr>
                <w:rFonts w:ascii="Tahoma" w:hAnsi="Tahoma" w:cs="Tahoma"/>
                <w:color w:val="000000"/>
                <w:vertAlign w:val="superscript"/>
              </w:rPr>
              <w:t>®</w:t>
            </w:r>
            <w:r w:rsidRPr="00C83DF5">
              <w:rPr>
                <w:rFonts w:ascii="Tahoma" w:hAnsi="Tahoma" w:cs="Tahoma"/>
                <w:color w:val="000000"/>
              </w:rPr>
              <w:t xml:space="preserve"> 2013</w:t>
            </w:r>
          </w:p>
          <w:p w:rsidR="00CA6072" w:rsidRPr="00C83DF5" w:rsidRDefault="00CA6072" w:rsidP="00EC05F0">
            <w:pPr>
              <w:pStyle w:val="appendixtabletext0"/>
              <w:keepNext/>
              <w:keepLines/>
            </w:pPr>
            <w:r w:rsidRPr="00C83DF5">
              <w:rPr>
                <w:rFonts w:ascii="Tahoma" w:hAnsi="Tahoma" w:cs="Tahoma"/>
                <w:color w:val="000000"/>
              </w:rPr>
              <w:t>PowerPoint</w:t>
            </w:r>
            <w:r w:rsidRPr="002558DA">
              <w:rPr>
                <w:rFonts w:ascii="Tahoma" w:hAnsi="Tahoma" w:cs="Tahoma"/>
                <w:color w:val="000000"/>
                <w:vertAlign w:val="superscript"/>
              </w:rPr>
              <w:t>®</w:t>
            </w:r>
            <w:r w:rsidRPr="00C83DF5">
              <w:rPr>
                <w:rFonts w:ascii="Tahoma" w:hAnsi="Tahoma" w:cs="Tahoma"/>
                <w:color w:val="000000"/>
              </w:rPr>
              <w:t xml:space="preserve"> 2013</w:t>
            </w:r>
          </w:p>
          <w:p w:rsidR="00CA6072" w:rsidRPr="00C83DF5" w:rsidRDefault="00CA6072" w:rsidP="00EC05F0">
            <w:pPr>
              <w:pStyle w:val="appendixtabletext0"/>
              <w:keepNext/>
              <w:keepLines/>
            </w:pPr>
            <w:r w:rsidRPr="00C83DF5">
              <w:rPr>
                <w:rFonts w:ascii="Tahoma" w:hAnsi="Tahoma" w:cs="Tahoma"/>
                <w:color w:val="000000"/>
              </w:rPr>
              <w:t>Outlook</w:t>
            </w:r>
            <w:r w:rsidRPr="002558DA">
              <w:rPr>
                <w:rFonts w:ascii="Tahoma" w:hAnsi="Tahoma" w:cs="Tahoma"/>
                <w:color w:val="000000"/>
                <w:vertAlign w:val="superscript"/>
              </w:rPr>
              <w:t>®</w:t>
            </w:r>
            <w:r w:rsidRPr="00C83DF5">
              <w:rPr>
                <w:rFonts w:ascii="Tahoma" w:hAnsi="Tahoma" w:cs="Tahoma"/>
                <w:color w:val="000000"/>
              </w:rPr>
              <w:t xml:space="preserve"> 2013</w:t>
            </w:r>
          </w:p>
          <w:p w:rsidR="00CA6072" w:rsidRPr="00C83DF5" w:rsidRDefault="00CA6072" w:rsidP="00EC05F0">
            <w:pPr>
              <w:pStyle w:val="appendixtabletext0"/>
              <w:keepNext/>
              <w:keepLines/>
            </w:pPr>
            <w:r w:rsidRPr="00C83DF5">
              <w:rPr>
                <w:rFonts w:ascii="Tahoma" w:hAnsi="Tahoma" w:cs="Tahoma"/>
                <w:color w:val="000000"/>
              </w:rPr>
              <w:t>Publisher 2013</w:t>
            </w:r>
          </w:p>
          <w:p w:rsidR="00CA6072" w:rsidRPr="00C83DF5" w:rsidRDefault="00CA6072" w:rsidP="00EC05F0">
            <w:pPr>
              <w:pStyle w:val="appendixtabletext0"/>
              <w:keepNext/>
              <w:keepLines/>
            </w:pPr>
            <w:r w:rsidRPr="00C83DF5">
              <w:rPr>
                <w:rFonts w:ascii="Tahoma" w:hAnsi="Tahoma" w:cs="Tahoma"/>
                <w:color w:val="000000"/>
              </w:rPr>
              <w:t>Access</w:t>
            </w:r>
            <w:r w:rsidRPr="002558DA">
              <w:rPr>
                <w:rFonts w:ascii="Tahoma" w:hAnsi="Tahoma" w:cs="Tahoma"/>
                <w:color w:val="000000"/>
                <w:vertAlign w:val="superscript"/>
              </w:rPr>
              <w:t>®</w:t>
            </w:r>
            <w:r w:rsidRPr="00C83DF5">
              <w:rPr>
                <w:rFonts w:ascii="Tahoma" w:hAnsi="Tahoma" w:cs="Tahoma"/>
                <w:color w:val="000000"/>
              </w:rPr>
              <w:t xml:space="preserve"> 2013</w:t>
            </w:r>
          </w:p>
          <w:p w:rsidR="00CA6072" w:rsidRPr="00C83DF5" w:rsidRDefault="00CA6072" w:rsidP="00EC05F0">
            <w:pPr>
              <w:pStyle w:val="appendixtabletext0"/>
              <w:keepNext/>
              <w:keepLines/>
            </w:pPr>
            <w:r w:rsidRPr="00C83DF5">
              <w:rPr>
                <w:rFonts w:ascii="Tahoma" w:hAnsi="Tahoma" w:cs="Tahoma"/>
                <w:color w:val="000000"/>
              </w:rPr>
              <w:t>OneNote</w:t>
            </w:r>
            <w:r w:rsidRPr="002558DA">
              <w:rPr>
                <w:rFonts w:ascii="Tahoma" w:hAnsi="Tahoma" w:cs="Tahoma"/>
                <w:color w:val="000000"/>
                <w:vertAlign w:val="superscript"/>
              </w:rPr>
              <w:t>®</w:t>
            </w:r>
            <w:r w:rsidRPr="00C83DF5">
              <w:rPr>
                <w:rFonts w:ascii="Tahoma" w:hAnsi="Tahoma" w:cs="Tahoma"/>
                <w:color w:val="000000"/>
              </w:rPr>
              <w:t xml:space="preserve"> 2013</w:t>
            </w:r>
          </w:p>
          <w:p w:rsidR="00CA6072" w:rsidRPr="00C83DF5" w:rsidRDefault="00CA6072" w:rsidP="00EC05F0">
            <w:pPr>
              <w:pStyle w:val="appendixtabletext0"/>
              <w:keepNext/>
              <w:keepLines/>
            </w:pPr>
            <w:r w:rsidRPr="00C83DF5">
              <w:rPr>
                <w:rFonts w:ascii="Tahoma" w:hAnsi="Tahoma" w:cs="Tahoma"/>
                <w:color w:val="000000"/>
              </w:rPr>
              <w:t>InfoPath</w:t>
            </w:r>
            <w:r w:rsidRPr="002558DA">
              <w:rPr>
                <w:rFonts w:ascii="Tahoma" w:hAnsi="Tahoma" w:cs="Tahoma"/>
                <w:color w:val="000000"/>
                <w:vertAlign w:val="superscript"/>
              </w:rPr>
              <w:t>®</w:t>
            </w:r>
            <w:r w:rsidRPr="00C83DF5">
              <w:rPr>
                <w:rFonts w:ascii="Tahoma" w:hAnsi="Tahoma" w:cs="Tahoma"/>
                <w:color w:val="000000"/>
              </w:rPr>
              <w:t xml:space="preserve"> 2013</w:t>
            </w:r>
          </w:p>
          <w:p w:rsidR="00502827" w:rsidRPr="00C83DF5" w:rsidRDefault="00B9674D" w:rsidP="00EC05F0">
            <w:pPr>
              <w:pStyle w:val="appendixtabletext0"/>
              <w:keepNext/>
              <w:keepLines/>
            </w:pPr>
            <w:r w:rsidRPr="00C83DF5">
              <w:rPr>
                <w:rFonts w:ascii="Tahoma" w:hAnsi="Tahoma" w:cs="Tahoma"/>
                <w:color w:val="000000"/>
              </w:rPr>
              <w:t>Lync 2013</w:t>
            </w:r>
          </w:p>
          <w:p w:rsidR="002D25C8" w:rsidRPr="00C83DF5" w:rsidRDefault="002D25C8" w:rsidP="00EC05F0">
            <w:pPr>
              <w:pStyle w:val="appendixtabletext0"/>
              <w:keepNext/>
              <w:keepLines/>
              <w:rPr>
                <w:rFonts w:ascii="Tahoma" w:hAnsi="Tahoma" w:cs="Tahoma"/>
                <w:color w:val="000000"/>
              </w:rPr>
            </w:pPr>
          </w:p>
        </w:tc>
      </w:tr>
    </w:tbl>
    <w:p w:rsidR="001C1727" w:rsidRPr="00C83DF5" w:rsidRDefault="001C1727" w:rsidP="001C1727"/>
    <w:p w:rsidR="00023FE7" w:rsidRDefault="00023FE7"/>
    <w:p w:rsidR="00C62015" w:rsidRDefault="00C62015"/>
    <w:p w:rsidR="00C62015" w:rsidRDefault="00C62015"/>
    <w:p w:rsidR="00C62015" w:rsidRDefault="00C62015"/>
    <w:p w:rsidR="00C62015" w:rsidRPr="00C83DF5" w:rsidRDefault="00C62015"/>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4D388E" w:rsidTr="00C62015">
        <w:trPr>
          <w:trHeight w:val="556"/>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C83DF5" w:rsidRDefault="00CA6072" w:rsidP="001B035A">
            <w:pPr>
              <w:pStyle w:val="appendixtableheadings0"/>
              <w:rPr>
                <w:rFonts w:ascii="Tahoma" w:hAnsi="Tahoma" w:cs="Tahoma"/>
                <w:color w:val="000000"/>
                <w:sz w:val="20"/>
                <w:szCs w:val="20"/>
              </w:rPr>
            </w:pPr>
            <w:r w:rsidRPr="00C83DF5">
              <w:rPr>
                <w:rFonts w:ascii="Tahoma" w:hAnsi="Tahoma" w:cs="Tahoma"/>
                <w:color w:val="000000"/>
                <w:sz w:val="20"/>
                <w:szCs w:val="20"/>
              </w:rPr>
              <w:lastRenderedPageBreak/>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C83DF5" w:rsidRDefault="00CA6072" w:rsidP="001B035A">
            <w:pPr>
              <w:pStyle w:val="appendixtableheadings0"/>
              <w:rPr>
                <w:rFonts w:ascii="Tahoma" w:hAnsi="Tahoma" w:cs="Tahoma"/>
                <w:color w:val="000000"/>
                <w:sz w:val="20"/>
                <w:szCs w:val="20"/>
                <w:lang w:val="de-DE"/>
              </w:rPr>
            </w:pPr>
            <w:r w:rsidRPr="00C83DF5">
              <w:rPr>
                <w:rFonts w:ascii="Tahoma" w:hAnsi="Tahoma" w:cs="Tahoma"/>
                <w:color w:val="000000"/>
                <w:sz w:val="20"/>
                <w:szCs w:val="20"/>
                <w:lang w:val="de-DE"/>
              </w:rPr>
              <w:t xml:space="preserve">Entsprechende Home Use </w:t>
            </w:r>
            <w:r w:rsidRPr="00C83DF5">
              <w:rPr>
                <w:rFonts w:ascii="Tahoma" w:hAnsi="Tahoma" w:cs="Tahoma"/>
                <w:color w:val="000000"/>
                <w:sz w:val="20"/>
                <w:szCs w:val="20"/>
                <w:lang w:val="de-DE"/>
              </w:rPr>
              <w:br/>
              <w:t>Program-Lizenz</w:t>
            </w:r>
          </w:p>
        </w:tc>
      </w:tr>
      <w:tr w:rsidR="004D700D" w:rsidRPr="00C83DF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C83DF5" w:rsidRDefault="004D700D" w:rsidP="001B035A">
            <w:pPr>
              <w:pStyle w:val="appendixtabletext0"/>
            </w:pPr>
            <w:r w:rsidRPr="00C83DF5">
              <w:rPr>
                <w:rFonts w:ascii="Tahoma" w:hAnsi="Tahoma" w:cs="Tahoma"/>
                <w:color w:val="000000"/>
              </w:rPr>
              <w:t>Office Standard 2010/2013</w:t>
            </w:r>
          </w:p>
          <w:p w:rsidR="004D700D" w:rsidRPr="00C83DF5" w:rsidRDefault="004D700D" w:rsidP="001B035A">
            <w:pPr>
              <w:pStyle w:val="appendixtabletext0"/>
            </w:pPr>
            <w:r w:rsidRPr="00C83DF5">
              <w:rPr>
                <w:rFonts w:ascii="Tahoma" w:hAnsi="Tahoma" w:cs="Tahoma"/>
                <w:color w:val="000000"/>
              </w:rPr>
              <w:t>Office Professional Plus 2010/2013</w:t>
            </w:r>
          </w:p>
          <w:p w:rsidR="004D700D" w:rsidRPr="00C83DF5" w:rsidRDefault="004D700D" w:rsidP="00C37E9D">
            <w:pPr>
              <w:pStyle w:val="appendixtabletext0"/>
              <w:rPr>
                <w:rFonts w:ascii="Tahoma" w:hAnsi="Tahoma" w:cs="Tahoma"/>
                <w:color w:val="000000"/>
              </w:rPr>
            </w:pPr>
            <w:r w:rsidRPr="00C83DF5">
              <w:rPr>
                <w:rFonts w:ascii="Tahoma" w:hAnsi="Tahoma" w:cs="Tahoma"/>
                <w:color w:val="000000"/>
              </w:rPr>
              <w:t xml:space="preserve">Office für Mac 2008/Office für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C83DF5" w:rsidRDefault="004D700D" w:rsidP="00735622">
            <w:pPr>
              <w:pStyle w:val="appendixtabletext0"/>
            </w:pPr>
            <w:r w:rsidRPr="00C83DF5">
              <w:rPr>
                <w:rFonts w:ascii="Tahoma" w:hAnsi="Tahoma" w:cs="Tahoma"/>
                <w:color w:val="000000"/>
              </w:rPr>
              <w:t>Office Professional Plus 2013 HUP</w:t>
            </w:r>
          </w:p>
          <w:p w:rsidR="004D700D" w:rsidRPr="00C83DF5" w:rsidRDefault="004D700D" w:rsidP="00735622">
            <w:pPr>
              <w:pStyle w:val="appendixtabletext0"/>
            </w:pPr>
            <w:r w:rsidRPr="00C83DF5">
              <w:rPr>
                <w:rFonts w:ascii="Tahoma" w:hAnsi="Tahoma" w:cs="Tahoma"/>
                <w:color w:val="000000"/>
              </w:rPr>
              <w:t>oder</w:t>
            </w:r>
          </w:p>
          <w:p w:rsidR="004D700D" w:rsidRPr="00C83DF5" w:rsidRDefault="00E316C2" w:rsidP="00C37E9D">
            <w:pPr>
              <w:pStyle w:val="appendixtabletext0"/>
              <w:rPr>
                <w:rFonts w:ascii="Tahoma" w:hAnsi="Tahoma" w:cs="Tahoma"/>
                <w:color w:val="000000"/>
              </w:rPr>
            </w:pPr>
            <w:r w:rsidRPr="00C83DF5">
              <w:rPr>
                <w:rFonts w:ascii="Tahoma" w:hAnsi="Tahoma" w:cs="Tahoma"/>
                <w:color w:val="000000"/>
              </w:rPr>
              <w:t xml:space="preserve">Office für Mac Home </w:t>
            </w:r>
            <w:r w:rsidR="00C62015">
              <w:rPr>
                <w:rFonts w:ascii="Tahoma" w:hAnsi="Tahoma" w:cs="Tahoma"/>
                <w:color w:val="000000"/>
              </w:rPr>
              <w:br/>
            </w:r>
            <w:r w:rsidRPr="00C83DF5">
              <w:rPr>
                <w:rFonts w:ascii="Tahoma" w:hAnsi="Tahoma" w:cs="Tahoma"/>
                <w:color w:val="000000"/>
              </w:rPr>
              <w:t>&amp; Business 2011 HUP</w:t>
            </w:r>
          </w:p>
        </w:tc>
      </w:tr>
      <w:tr w:rsidR="004D700D" w:rsidRPr="00C83DF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C83DF5" w:rsidRDefault="004D700D" w:rsidP="001B035A">
            <w:pPr>
              <w:pStyle w:val="appendixtabletext0"/>
            </w:pPr>
            <w:r w:rsidRPr="00C83DF5">
              <w:rPr>
                <w:rFonts w:ascii="Tahoma" w:hAnsi="Tahoma" w:cs="Tahoma"/>
                <w:color w:val="000000"/>
              </w:rPr>
              <w:t>Access 2010/2013</w:t>
            </w:r>
          </w:p>
          <w:p w:rsidR="004D700D" w:rsidRPr="00C83DF5" w:rsidRDefault="004D700D" w:rsidP="001B035A">
            <w:pPr>
              <w:pStyle w:val="appendixtabletext0"/>
            </w:pPr>
            <w:r w:rsidRPr="00C83DF5">
              <w:rPr>
                <w:rFonts w:ascii="Tahoma" w:hAnsi="Tahoma" w:cs="Tahoma"/>
                <w:color w:val="000000"/>
              </w:rPr>
              <w:t>Excel 2010/2013</w:t>
            </w:r>
          </w:p>
          <w:p w:rsidR="004D700D" w:rsidRPr="00C83DF5" w:rsidRDefault="004D700D" w:rsidP="001B035A">
            <w:pPr>
              <w:pStyle w:val="appendixtabletext0"/>
            </w:pPr>
            <w:r w:rsidRPr="00C83DF5">
              <w:rPr>
                <w:rFonts w:ascii="Tahoma" w:hAnsi="Tahoma" w:cs="Tahoma"/>
                <w:color w:val="000000"/>
              </w:rPr>
              <w:t>PowerPoint 2010/2013</w:t>
            </w:r>
          </w:p>
          <w:p w:rsidR="004D700D" w:rsidRPr="00C83DF5" w:rsidRDefault="004D700D" w:rsidP="001B035A">
            <w:pPr>
              <w:pStyle w:val="appendixtabletext0"/>
            </w:pPr>
            <w:r w:rsidRPr="00C83DF5">
              <w:rPr>
                <w:rFonts w:ascii="Tahoma" w:hAnsi="Tahoma" w:cs="Tahoma"/>
                <w:color w:val="000000"/>
              </w:rPr>
              <w:t>InfoPath 2010/2013</w:t>
            </w:r>
          </w:p>
          <w:p w:rsidR="004D700D" w:rsidRPr="00C83DF5" w:rsidRDefault="004D700D" w:rsidP="001B035A">
            <w:pPr>
              <w:pStyle w:val="appendixtabletext0"/>
            </w:pPr>
            <w:r w:rsidRPr="00C83DF5">
              <w:rPr>
                <w:rFonts w:ascii="Tahoma" w:hAnsi="Tahoma" w:cs="Tahoma"/>
                <w:color w:val="000000"/>
              </w:rPr>
              <w:t>OneNote 2010/2013</w:t>
            </w:r>
          </w:p>
          <w:p w:rsidR="004D700D" w:rsidRPr="00C83DF5" w:rsidRDefault="004D700D" w:rsidP="001B035A">
            <w:pPr>
              <w:pStyle w:val="appendixtabletext0"/>
            </w:pPr>
            <w:r w:rsidRPr="00C83DF5">
              <w:rPr>
                <w:rFonts w:ascii="Tahoma" w:hAnsi="Tahoma" w:cs="Tahoma"/>
                <w:color w:val="000000"/>
              </w:rPr>
              <w:t>Outlook 2010/2013</w:t>
            </w:r>
          </w:p>
          <w:p w:rsidR="004D700D" w:rsidRPr="00C83DF5" w:rsidRDefault="004D700D" w:rsidP="001B035A">
            <w:pPr>
              <w:pStyle w:val="appendixtabletext0"/>
            </w:pPr>
            <w:r w:rsidRPr="00C83DF5">
              <w:rPr>
                <w:rFonts w:ascii="Tahoma" w:hAnsi="Tahoma" w:cs="Tahoma"/>
                <w:color w:val="000000"/>
              </w:rPr>
              <w:t>Publisher 2010/2013</w:t>
            </w:r>
          </w:p>
          <w:p w:rsidR="004D700D" w:rsidRPr="00C83DF5" w:rsidRDefault="004D700D" w:rsidP="00737AED">
            <w:pPr>
              <w:pStyle w:val="appendixtabletext0"/>
            </w:pPr>
            <w:r w:rsidRPr="00C83DF5">
              <w:rPr>
                <w:rFonts w:ascii="Tahoma" w:hAnsi="Tahoma" w:cs="Tahoma"/>
                <w:color w:val="000000"/>
              </w:rPr>
              <w:t>Word 2010/2013</w:t>
            </w:r>
          </w:p>
          <w:p w:rsidR="00737AED" w:rsidRPr="00C83DF5"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C83DF5" w:rsidRDefault="004D700D" w:rsidP="00735622">
            <w:pPr>
              <w:pStyle w:val="appendixtabletext0"/>
            </w:pPr>
            <w:r w:rsidRPr="00C83DF5">
              <w:rPr>
                <w:rFonts w:ascii="Tahoma" w:hAnsi="Tahoma" w:cs="Tahoma"/>
                <w:color w:val="000000"/>
              </w:rPr>
              <w:t>Office Professional Plus 2013 HUP</w:t>
            </w:r>
          </w:p>
          <w:p w:rsidR="004D700D" w:rsidRPr="00C83DF5" w:rsidRDefault="004D700D" w:rsidP="00735622">
            <w:pPr>
              <w:pStyle w:val="appendixtabletext0"/>
            </w:pPr>
            <w:r w:rsidRPr="00C83DF5">
              <w:rPr>
                <w:rFonts w:ascii="Tahoma" w:hAnsi="Tahoma" w:cs="Tahoma"/>
                <w:color w:val="000000"/>
              </w:rPr>
              <w:t>oder</w:t>
            </w:r>
          </w:p>
          <w:p w:rsidR="004D700D" w:rsidRPr="00C83DF5" w:rsidRDefault="00E316C2" w:rsidP="00C37E9D">
            <w:pPr>
              <w:pStyle w:val="appendixtabletext0"/>
              <w:rPr>
                <w:rFonts w:ascii="Tahoma" w:hAnsi="Tahoma" w:cs="Tahoma"/>
                <w:color w:val="000000"/>
              </w:rPr>
            </w:pPr>
            <w:r w:rsidRPr="00C83DF5">
              <w:rPr>
                <w:rFonts w:ascii="Tahoma" w:hAnsi="Tahoma" w:cs="Tahoma"/>
                <w:color w:val="000000"/>
              </w:rPr>
              <w:t>Office für Mac Home &amp; Business 2011 HUP</w:t>
            </w:r>
          </w:p>
        </w:tc>
      </w:tr>
      <w:tr w:rsidR="00CA6072" w:rsidRPr="00C83DF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C83DF5" w:rsidRDefault="00CA6072" w:rsidP="001B035A">
            <w:pPr>
              <w:pStyle w:val="appendixtabletext0"/>
            </w:pPr>
            <w:r w:rsidRPr="00C83DF5">
              <w:rPr>
                <w:rFonts w:ascii="Tahoma" w:hAnsi="Tahoma" w:cs="Tahoma"/>
                <w:color w:val="000000"/>
              </w:rPr>
              <w:t xml:space="preserve">Visio Standard 2010/2013 </w:t>
            </w:r>
          </w:p>
          <w:p w:rsidR="00502827" w:rsidRPr="00C83DF5" w:rsidRDefault="00CA6072" w:rsidP="00502827">
            <w:pPr>
              <w:pStyle w:val="appendixtabletext0"/>
            </w:pPr>
            <w:r w:rsidRPr="00C83DF5">
              <w:rPr>
                <w:rFonts w:ascii="Tahoma" w:hAnsi="Tahoma" w:cs="Tahoma"/>
                <w:color w:val="000000"/>
              </w:rPr>
              <w:t>Visio Professional 2010/2013</w:t>
            </w:r>
            <w:r w:rsidRPr="00C83DF5">
              <w:rPr>
                <w:rFonts w:ascii="Tahoma" w:hAnsi="Tahoma" w:cs="Tahoma"/>
                <w:strike/>
                <w:color w:val="000000"/>
              </w:rPr>
              <w:t xml:space="preserve"> </w:t>
            </w:r>
          </w:p>
          <w:p w:rsidR="00502827" w:rsidRPr="00C83DF5"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C83DF5" w:rsidRDefault="00CA6072" w:rsidP="001B035A">
            <w:pPr>
              <w:pStyle w:val="appendixtabletext0"/>
            </w:pPr>
            <w:r w:rsidRPr="00C83DF5">
              <w:rPr>
                <w:rFonts w:ascii="Tahoma" w:hAnsi="Tahoma" w:cs="Tahoma"/>
                <w:color w:val="000000"/>
              </w:rPr>
              <w:t>Visio Professional 2013 HUP</w:t>
            </w:r>
          </w:p>
          <w:p w:rsidR="00CA6072" w:rsidRPr="00C83DF5" w:rsidRDefault="00CA6072" w:rsidP="001B035A">
            <w:pPr>
              <w:pStyle w:val="appendixtabletext0"/>
              <w:rPr>
                <w:rFonts w:ascii="Tahoma" w:hAnsi="Tahoma" w:cs="Tahoma"/>
                <w:color w:val="000000"/>
              </w:rPr>
            </w:pPr>
          </w:p>
        </w:tc>
      </w:tr>
      <w:tr w:rsidR="00CA6072" w:rsidRPr="00C83DF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C83DF5" w:rsidRDefault="00CA6072" w:rsidP="001B035A">
            <w:pPr>
              <w:pStyle w:val="appendixtabletext0"/>
            </w:pPr>
            <w:r w:rsidRPr="00C83DF5">
              <w:rPr>
                <w:rFonts w:ascii="Tahoma" w:hAnsi="Tahoma" w:cs="Tahoma"/>
                <w:color w:val="000000"/>
              </w:rPr>
              <w:t>Project Standard 2010/2013</w:t>
            </w:r>
          </w:p>
          <w:p w:rsidR="00CA6072" w:rsidRPr="00C83DF5" w:rsidRDefault="00CA6072" w:rsidP="001E3357">
            <w:pPr>
              <w:pStyle w:val="appendixtabletext0"/>
            </w:pPr>
            <w:r w:rsidRPr="00C83DF5">
              <w:rPr>
                <w:rFonts w:ascii="Tahoma" w:hAnsi="Tahoma" w:cs="Tahoma"/>
                <w:color w:val="000000"/>
              </w:rPr>
              <w:t>Project Professional 2010/2013</w:t>
            </w:r>
          </w:p>
          <w:p w:rsidR="00737AED" w:rsidRPr="00C83DF5"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C83DF5" w:rsidRDefault="00CA6072" w:rsidP="001B035A">
            <w:pPr>
              <w:pStyle w:val="appendixtabletext0"/>
            </w:pPr>
            <w:r w:rsidRPr="00C83DF5">
              <w:rPr>
                <w:rFonts w:ascii="Tahoma" w:hAnsi="Tahoma" w:cs="Tahoma"/>
                <w:color w:val="000000"/>
              </w:rPr>
              <w:t>Project Standard 2013 HUP</w:t>
            </w:r>
          </w:p>
          <w:p w:rsidR="00CA6072" w:rsidRPr="00C83DF5" w:rsidRDefault="00CA6072" w:rsidP="001B035A">
            <w:pPr>
              <w:pStyle w:val="appendixtabletext0"/>
              <w:rPr>
                <w:rFonts w:ascii="Tahoma" w:hAnsi="Tahoma" w:cs="Tahoma"/>
                <w:color w:val="000000"/>
              </w:rPr>
            </w:pPr>
            <w:r w:rsidRPr="00C83DF5">
              <w:rPr>
                <w:rFonts w:ascii="Tahoma" w:hAnsi="Tahoma" w:cs="Tahoma"/>
                <w:color w:val="000000"/>
              </w:rPr>
              <w:t xml:space="preserve"> </w:t>
            </w:r>
          </w:p>
        </w:tc>
      </w:tr>
    </w:tbl>
    <w:p w:rsidR="00023FE7" w:rsidRPr="00C83DF5" w:rsidRDefault="00023FE7">
      <w:pPr>
        <w:pStyle w:val="AppendixBodyText"/>
        <w:ind w:left="630"/>
        <w:rPr>
          <w:lang w:val="de-DE"/>
        </w:rPr>
      </w:pPr>
      <w:r w:rsidRPr="00C83DF5">
        <w:rPr>
          <w:rFonts w:ascii="Tahoma" w:hAnsi="Tahoma" w:cs="Tahoma"/>
          <w:b/>
          <w:i/>
          <w:sz w:val="16"/>
          <w:szCs w:val="16"/>
          <w:lang w:val="de-DE"/>
        </w:rPr>
        <w:t>*</w:t>
      </w:r>
      <w:r w:rsidRPr="00C83DF5">
        <w:rPr>
          <w:rFonts w:ascii="Tahoma" w:hAnsi="Tahoma" w:cs="Tahoma"/>
          <w:i/>
          <w:sz w:val="16"/>
          <w:szCs w:val="16"/>
          <w:lang w:val="de-DE"/>
        </w:rPr>
        <w:t xml:space="preserve">Die Verfügbarkeit von Home Use Program-Software hängt von der Region, dem Angebot und der Sprache ab. </w:t>
      </w:r>
    </w:p>
    <w:p w:rsidR="00023FE7" w:rsidRPr="00C83DF5" w:rsidRDefault="00023FE7">
      <w:pPr>
        <w:pStyle w:val="AppendixBodyText"/>
        <w:ind w:left="630"/>
        <w:rPr>
          <w:lang w:val="de-DE"/>
        </w:rPr>
      </w:pPr>
      <w:r w:rsidRPr="00C83DF5">
        <w:rPr>
          <w:rFonts w:ascii="Tahoma" w:hAnsi="Tahoma" w:cs="Tahoma"/>
          <w:i/>
          <w:sz w:val="16"/>
          <w:szCs w:val="16"/>
          <w:lang w:val="de-DE"/>
        </w:rPr>
        <w:t xml:space="preserve">Weitere Informationen, einschließlich Informationen zur zukünftigen Verfügbarkeit von zusätzlicher Home Use </w:t>
      </w:r>
      <w:r w:rsidR="00C62015">
        <w:rPr>
          <w:rFonts w:ascii="Tahoma" w:hAnsi="Tahoma" w:cs="Tahoma"/>
          <w:i/>
          <w:sz w:val="16"/>
          <w:szCs w:val="16"/>
          <w:lang w:val="de-DE"/>
        </w:rPr>
        <w:br/>
      </w:r>
      <w:r w:rsidRPr="00C83DF5">
        <w:rPr>
          <w:rFonts w:ascii="Tahoma" w:hAnsi="Tahoma" w:cs="Tahoma"/>
          <w:i/>
          <w:sz w:val="16"/>
          <w:szCs w:val="16"/>
          <w:lang w:val="de-DE"/>
        </w:rPr>
        <w:t xml:space="preserve">Program-Software, finden Sie unter </w:t>
      </w:r>
      <w:hyperlink r:id="rId22" w:history="1">
        <w:r w:rsidRPr="00C83DF5">
          <w:rPr>
            <w:rStyle w:val="Hyperlink"/>
            <w:rFonts w:ascii="Tahoma" w:hAnsi="Tahoma" w:cs="Tahoma"/>
            <w:i/>
            <w:sz w:val="16"/>
            <w:szCs w:val="16"/>
            <w:lang w:val="de-DE"/>
          </w:rPr>
          <w:t>http://www.microsoft.com/licensing</w:t>
        </w:r>
      </w:hyperlink>
      <w:r w:rsidRPr="00C83DF5">
        <w:rPr>
          <w:rFonts w:ascii="Tahoma" w:hAnsi="Tahoma" w:cs="Tahoma"/>
          <w:i/>
          <w:sz w:val="16"/>
          <w:szCs w:val="16"/>
          <w:lang w:val="de-DE"/>
        </w:rPr>
        <w:t>.</w:t>
      </w:r>
    </w:p>
    <w:p w:rsidR="00023FE7" w:rsidRPr="00C83DF5" w:rsidRDefault="00023FE7">
      <w:pPr>
        <w:pStyle w:val="AppendixBodyText"/>
        <w:ind w:left="630"/>
        <w:rPr>
          <w:lang w:val="de-DE"/>
        </w:rPr>
      </w:pPr>
      <w:r w:rsidRPr="00C83DF5">
        <w:rPr>
          <w:rFonts w:ascii="Tahoma" w:hAnsi="Tahoma" w:cs="Tahoma"/>
          <w:i/>
          <w:sz w:val="16"/>
          <w:szCs w:val="16"/>
          <w:lang w:val="de-DE"/>
        </w:rPr>
        <w:t xml:space="preserve">** Hinweis für Kunden mit Campus- und School-Vertrag und Open Value Subscription – Bildungslösungen: </w:t>
      </w:r>
      <w:r w:rsidR="00C62015">
        <w:rPr>
          <w:rFonts w:ascii="Tahoma" w:hAnsi="Tahoma" w:cs="Tahoma"/>
          <w:i/>
          <w:sz w:val="16"/>
          <w:szCs w:val="16"/>
          <w:lang w:val="de-DE"/>
        </w:rPr>
        <w:br/>
      </w:r>
      <w:r w:rsidRPr="00C83DF5">
        <w:rPr>
          <w:rFonts w:ascii="Tahoma" w:hAnsi="Tahoma" w:cs="Tahoma"/>
          <w:i/>
          <w:sz w:val="16"/>
          <w:szCs w:val="16"/>
          <w:lang w:val="de-DE"/>
        </w:rPr>
        <w:t xml:space="preserve">Zusätzliche programmspezifische Bestimmungen finden Sie in Ihrem Campus- und School-Vertrag (ab 3.5) </w:t>
      </w:r>
      <w:r w:rsidR="00C62015">
        <w:rPr>
          <w:rFonts w:ascii="Tahoma" w:hAnsi="Tahoma" w:cs="Tahoma"/>
          <w:i/>
          <w:sz w:val="16"/>
          <w:szCs w:val="16"/>
          <w:lang w:val="de-DE"/>
        </w:rPr>
        <w:br/>
      </w:r>
      <w:r w:rsidRPr="00C83DF5">
        <w:rPr>
          <w:rFonts w:ascii="Tahoma" w:hAnsi="Tahoma" w:cs="Tahoma"/>
          <w:i/>
          <w:sz w:val="16"/>
          <w:szCs w:val="16"/>
          <w:lang w:val="de-DE"/>
        </w:rPr>
        <w:t>oder in Ihrem OVS-ES-Vertrag.</w:t>
      </w:r>
    </w:p>
    <w:p w:rsidR="00023FE7" w:rsidRPr="00C83DF5" w:rsidRDefault="00023FE7" w:rsidP="00BD1A6A">
      <w:pPr>
        <w:ind w:left="630"/>
        <w:rPr>
          <w:lang w:val="de-DE"/>
        </w:rPr>
      </w:pPr>
      <w:r w:rsidRPr="00C83DF5">
        <w:rPr>
          <w:rFonts w:cs="Tahoma"/>
          <w:i/>
          <w:sz w:val="16"/>
          <w:szCs w:val="16"/>
          <w:lang w:val="de-DE"/>
        </w:rPr>
        <w:t xml:space="preserve">*** Beachten Sie, dass SharePoint Designer jetzt ein kostenloses Produkt ist, das über folgenden Link heruntergeladen werden kann </w:t>
      </w:r>
      <w:hyperlink r:id="rId23" w:history="1">
        <w:r w:rsidRPr="00C83DF5">
          <w:rPr>
            <w:rStyle w:val="Hyperlink"/>
            <w:rFonts w:cs="Tahoma"/>
            <w:i/>
            <w:sz w:val="16"/>
            <w:szCs w:val="16"/>
            <w:lang w:val="de-DE"/>
          </w:rPr>
          <w:t>http://www.microsoft.com/spd</w:t>
        </w:r>
      </w:hyperlink>
    </w:p>
    <w:p w:rsidR="00CA395A" w:rsidRPr="008B3D04" w:rsidRDefault="00CA395A" w:rsidP="00C62015">
      <w:pPr>
        <w:outlineLvl w:val="2"/>
        <w:rPr>
          <w:rFonts w:eastAsia="Calibri" w:cs="Tahoma"/>
          <w:bCs/>
          <w:szCs w:val="20"/>
          <w:lang w:val="de-DE"/>
        </w:rPr>
      </w:pPr>
      <w:bookmarkStart w:id="727" w:name="_Toc281378922"/>
    </w:p>
    <w:p w:rsidR="008A15A8" w:rsidRPr="00C83DF5" w:rsidRDefault="008A15A8" w:rsidP="002D25C8">
      <w:pPr>
        <w:outlineLvl w:val="2"/>
        <w:rPr>
          <w:lang w:val="de-DE"/>
        </w:rPr>
      </w:pPr>
      <w:r w:rsidRPr="00C83DF5">
        <w:rPr>
          <w:rFonts w:eastAsia="Calibri" w:cs="Tahoma"/>
          <w:b/>
          <w:bCs/>
          <w:sz w:val="24"/>
          <w:szCs w:val="20"/>
          <w:lang w:val="de-DE"/>
        </w:rPr>
        <w:t>Enterprise Source Licensing Program</w:t>
      </w:r>
      <w:bookmarkEnd w:id="727"/>
      <w:r w:rsidRPr="00C83DF5">
        <w:rPr>
          <w:rFonts w:eastAsia="Calibri" w:cs="Tahoma"/>
          <w:b/>
          <w:bCs/>
          <w:sz w:val="24"/>
          <w:szCs w:val="20"/>
          <w:lang w:val="de-DE"/>
        </w:rPr>
        <w:t xml:space="preserve"> </w:t>
      </w:r>
    </w:p>
    <w:p w:rsidR="001C20C9" w:rsidRPr="00C83DF5" w:rsidRDefault="001C20C9" w:rsidP="002D25C8">
      <w:pPr>
        <w:outlineLvl w:val="2"/>
        <w:rPr>
          <w:lang w:val="de-DE"/>
        </w:rPr>
      </w:pPr>
    </w:p>
    <w:p w:rsidR="008A15A8" w:rsidRPr="00C83DF5" w:rsidRDefault="008A15A8" w:rsidP="002D25C8">
      <w:pPr>
        <w:rPr>
          <w:lang w:val="de-DE"/>
        </w:rPr>
      </w:pPr>
      <w:r w:rsidRPr="00C83DF5">
        <w:rPr>
          <w:rFonts w:eastAsia="Calibri" w:cs="Tahoma"/>
          <w:szCs w:val="18"/>
          <w:lang w:val="de-DE"/>
        </w:rPr>
        <w:t>Kunden mit einer Mitgliedschaft bei Software Assurance und mindestens 10.000 lizenzierten Desktops im System-Pool sind berechtigt, während der Software Assurance-Laufzeit am Enterprise Source Licensing Program (ESLP) teilzunehmen.</w:t>
      </w:r>
      <w:r w:rsidR="00E71F46" w:rsidRPr="00C83DF5">
        <w:rPr>
          <w:rFonts w:eastAsia="Calibri" w:cs="Tahoma"/>
          <w:szCs w:val="18"/>
          <w:lang w:val="de-DE"/>
        </w:rPr>
        <w:t xml:space="preserve"> </w:t>
      </w:r>
      <w:r w:rsidRPr="00C83DF5">
        <w:rPr>
          <w:rFonts w:eastAsia="Calibri" w:cs="Tahoma"/>
          <w:szCs w:val="18"/>
          <w:lang w:val="de-DE"/>
        </w:rPr>
        <w:t>ESLP gewährt Zugriff auf den Microsoft Windows-Quellcode für interne Entwicklung und internen Support.</w:t>
      </w:r>
      <w:r w:rsidR="00E71F46" w:rsidRPr="00C83DF5">
        <w:rPr>
          <w:rFonts w:eastAsia="Calibri" w:cs="Tahoma"/>
          <w:szCs w:val="18"/>
          <w:lang w:val="de-DE"/>
        </w:rPr>
        <w:t xml:space="preserve"> </w:t>
      </w:r>
      <w:r w:rsidRPr="00C83DF5">
        <w:rPr>
          <w:rFonts w:eastAsia="Calibri" w:cs="Tahoma"/>
          <w:szCs w:val="18"/>
          <w:lang w:val="de-DE"/>
        </w:rPr>
        <w:t>ESLP steht nicht in allen Ländern zur Verfügung, und die Vergünstigung wird pro Vertrag/Beitritt gewährt.</w:t>
      </w:r>
    </w:p>
    <w:p w:rsidR="00DF400D" w:rsidRPr="00C83DF5" w:rsidRDefault="00DF400D" w:rsidP="002D25C8">
      <w:pPr>
        <w:rPr>
          <w:lang w:val="de-DE"/>
        </w:rPr>
      </w:pPr>
    </w:p>
    <w:p w:rsidR="008A15A8" w:rsidRPr="00C83DF5" w:rsidRDefault="008A15A8" w:rsidP="00C62015">
      <w:pPr>
        <w:rPr>
          <w:lang w:val="de-DE"/>
        </w:rPr>
      </w:pPr>
      <w:r w:rsidRPr="00C83DF5">
        <w:rPr>
          <w:rFonts w:eastAsia="Calibri" w:cs="Tahoma"/>
          <w:szCs w:val="18"/>
          <w:lang w:val="de-DE"/>
        </w:rPr>
        <w:t>Das Registrierungsformular kann vom Center für Volumenlizenz-Services (VLSC) heruntergeladen werden. Die</w:t>
      </w:r>
      <w:r w:rsidR="00C62015">
        <w:rPr>
          <w:rFonts w:eastAsia="Calibri" w:cs="Tahoma"/>
          <w:szCs w:val="18"/>
          <w:lang w:val="de-DE"/>
        </w:rPr>
        <w:t> </w:t>
      </w:r>
      <w:r w:rsidRPr="00C83DF5">
        <w:rPr>
          <w:rFonts w:eastAsia="Calibri" w:cs="Tahoma"/>
          <w:szCs w:val="18"/>
          <w:lang w:val="de-DE"/>
        </w:rPr>
        <w:t>Teilnahmeberechtigung und die Verfügbarkeitsbereiche unterliegen den Bestimmungen von Microsoft (weitere</w:t>
      </w:r>
      <w:r w:rsidR="00C62015">
        <w:rPr>
          <w:rFonts w:eastAsia="Calibri" w:cs="Tahoma"/>
          <w:szCs w:val="18"/>
          <w:lang w:val="de-DE"/>
        </w:rPr>
        <w:t> </w:t>
      </w:r>
      <w:r w:rsidRPr="00C83DF5">
        <w:rPr>
          <w:rFonts w:eastAsia="Calibri" w:cs="Tahoma"/>
          <w:szCs w:val="18"/>
          <w:lang w:val="de-DE"/>
        </w:rPr>
        <w:t xml:space="preserve">Informationen finden Sie unter </w:t>
      </w:r>
      <w:hyperlink r:id="rId24" w:history="1">
        <w:r w:rsidRPr="00C83DF5">
          <w:rPr>
            <w:rFonts w:eastAsia="Calibri" w:cs="Tahoma"/>
            <w:color w:val="0000FF"/>
            <w:szCs w:val="18"/>
            <w:u w:val="single"/>
            <w:lang w:val="de-DE"/>
          </w:rPr>
          <w:t>www.microsoft.com/resources/sharedsource/Licensing/Enterprise.mspx</w:t>
        </w:r>
      </w:hyperlink>
      <w:r w:rsidRPr="00C83DF5">
        <w:rPr>
          <w:rFonts w:eastAsia="Calibri" w:cs="Tahoma"/>
          <w:szCs w:val="18"/>
          <w:lang w:val="de-DE"/>
        </w:rPr>
        <w:t>). Programme für Forschung &amp; Lehre sind zur Teilnahme am Microsoft Research Source Licensing Program berechtigt.</w:t>
      </w:r>
    </w:p>
    <w:p w:rsidR="008A15A8" w:rsidRPr="008B3D04" w:rsidRDefault="008A15A8" w:rsidP="002D25C8">
      <w:pPr>
        <w:pStyle w:val="Heading3"/>
        <w:rPr>
          <w:rFonts w:ascii="Tahoma" w:hAnsi="Tahoma" w:cs="Tahoma"/>
          <w:b w:val="0"/>
          <w:sz w:val="18"/>
          <w:lang w:val="de-DE"/>
        </w:rPr>
      </w:pPr>
    </w:p>
    <w:p w:rsidR="00023FE7" w:rsidRPr="00C83DF5" w:rsidRDefault="00023FE7" w:rsidP="002D25C8">
      <w:pPr>
        <w:pStyle w:val="Heading3"/>
        <w:rPr>
          <w:lang w:val="de-DE"/>
        </w:rPr>
      </w:pPr>
      <w:bookmarkStart w:id="728" w:name="_Toc336338236"/>
      <w:bookmarkStart w:id="729" w:name="_Toc370983345"/>
      <w:r w:rsidRPr="00C83DF5">
        <w:rPr>
          <w:rFonts w:ascii="Tahoma" w:hAnsi="Tahoma" w:cs="Tahoma"/>
          <w:sz w:val="24"/>
          <w:lang w:val="de-DE"/>
        </w:rPr>
        <w:t>24x7 Problembehebungssupport</w:t>
      </w:r>
      <w:bookmarkEnd w:id="728"/>
      <w:bookmarkEnd w:id="729"/>
    </w:p>
    <w:p w:rsidR="00023FE7" w:rsidRPr="008B3D04" w:rsidRDefault="00023FE7" w:rsidP="002D25C8">
      <w:pPr>
        <w:rPr>
          <w:rFonts w:cs="Tahoma"/>
          <w:szCs w:val="18"/>
          <w:lang w:val="de-DE"/>
        </w:rPr>
      </w:pPr>
    </w:p>
    <w:p w:rsidR="00324479" w:rsidRPr="008B3D04" w:rsidRDefault="00324479" w:rsidP="00C62015">
      <w:pPr>
        <w:rPr>
          <w:lang w:val="de-DE"/>
        </w:rPr>
      </w:pPr>
      <w:r w:rsidRPr="008B3D04">
        <w:rPr>
          <w:rFonts w:cs="Tahoma"/>
          <w:szCs w:val="18"/>
          <w:lang w:val="de-DE"/>
        </w:rPr>
        <w:t>Kunden (mit Ausnahme von Kunden mit Select-Lizenz für Forschung &amp; Lehre, Select Plus-Vertrag für Forschung &amp;</w:t>
      </w:r>
      <w:r w:rsidR="00C62015" w:rsidRPr="008B3D04">
        <w:rPr>
          <w:rFonts w:cs="Tahoma"/>
          <w:szCs w:val="18"/>
          <w:lang w:val="de-DE"/>
        </w:rPr>
        <w:t> </w:t>
      </w:r>
      <w:r w:rsidRPr="008B3D04">
        <w:rPr>
          <w:rFonts w:cs="Tahoma"/>
          <w:szCs w:val="18"/>
          <w:lang w:val="de-DE"/>
        </w:rPr>
        <w:t>Lehre, Open-Lizenz für Forschung &amp; Lehre, Campus- und School-Verträgen, Open Value Subscription – Bildungslösungen) mit Software Assurance sind während der Software Assurance-Laufzeit zum 24x7-Problembehebungssupport berechtigt.</w:t>
      </w:r>
      <w:r w:rsidR="00E71F46" w:rsidRPr="008B3D04">
        <w:rPr>
          <w:rFonts w:cs="Tahoma"/>
          <w:szCs w:val="18"/>
          <w:lang w:val="de-DE"/>
        </w:rPr>
        <w:t xml:space="preserve"> </w:t>
      </w:r>
    </w:p>
    <w:p w:rsidR="00023FE7" w:rsidRPr="008B3D04" w:rsidRDefault="00023FE7" w:rsidP="002D25C8">
      <w:pPr>
        <w:pStyle w:val="AppendixBodyText"/>
        <w:spacing w:after="0"/>
        <w:rPr>
          <w:rFonts w:ascii="Tahoma" w:hAnsi="Tahoma" w:cs="Tahoma"/>
          <w:sz w:val="18"/>
          <w:szCs w:val="18"/>
          <w:lang w:val="de-DE"/>
        </w:rPr>
      </w:pPr>
    </w:p>
    <w:p w:rsidR="00023FE7" w:rsidRPr="00C83DF5" w:rsidRDefault="00023FE7" w:rsidP="00DE3286">
      <w:pPr>
        <w:pStyle w:val="AppendixBodyText"/>
        <w:spacing w:after="0"/>
        <w:rPr>
          <w:lang w:val="de-DE"/>
        </w:rPr>
      </w:pPr>
      <w:r w:rsidRPr="00C83DF5">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w:t>
      </w:r>
      <w:r w:rsidR="00DE3286">
        <w:rPr>
          <w:rFonts w:ascii="Tahoma" w:hAnsi="Tahoma" w:cs="Tahoma"/>
          <w:sz w:val="18"/>
          <w:szCs w:val="18"/>
          <w:lang w:val="de-DE"/>
        </w:rPr>
        <w:t> </w:t>
      </w:r>
      <w:r w:rsidRPr="00C83DF5">
        <w:rPr>
          <w:rFonts w:ascii="Tahoma" w:hAnsi="Tahoma" w:cs="Tahoma"/>
          <w:sz w:val="18"/>
          <w:szCs w:val="18"/>
          <w:lang w:val="de-DE"/>
        </w:rPr>
        <w:t>von Microsoft-Produkten verursacht werden.</w:t>
      </w:r>
      <w:r w:rsidR="00E71F46" w:rsidRPr="00C83DF5">
        <w:rPr>
          <w:rFonts w:ascii="Tahoma" w:hAnsi="Tahoma" w:cs="Tahoma"/>
          <w:sz w:val="18"/>
          <w:szCs w:val="18"/>
          <w:lang w:val="de-DE"/>
        </w:rPr>
        <w:t xml:space="preserve"> </w:t>
      </w:r>
      <w:r w:rsidRPr="00C83DF5">
        <w:rPr>
          <w:rFonts w:ascii="Tahoma" w:hAnsi="Tahoma" w:cs="Tahoma"/>
          <w:sz w:val="18"/>
          <w:szCs w:val="18"/>
          <w:lang w:val="de-DE"/>
        </w:rPr>
        <w:t>Microsoft wird angemessene Maßnahmen zur Unterstützung der Kunden mit Supportbedarf ergreifen, die den Microsoft-Produktsupportrichtlinien entsprechen.</w:t>
      </w:r>
      <w:r w:rsidR="00E71F46" w:rsidRPr="00C83DF5">
        <w:rPr>
          <w:rFonts w:ascii="Tahoma" w:hAnsi="Tahoma" w:cs="Tahoma"/>
          <w:sz w:val="18"/>
          <w:szCs w:val="18"/>
          <w:lang w:val="de-DE"/>
        </w:rPr>
        <w:t xml:space="preserve"> </w:t>
      </w:r>
      <w:r w:rsidRPr="00C83DF5">
        <w:rPr>
          <w:rFonts w:ascii="Tahoma" w:hAnsi="Tahoma" w:cs="Tahoma"/>
          <w:sz w:val="18"/>
          <w:szCs w:val="18"/>
          <w:lang w:val="de-DE"/>
        </w:rPr>
        <w:t xml:space="preserve">Microsoft behält sich das Recht vor, unangemessene Forderungen nach Supportservices abzulehnen und Kunden jederzeit auf einen zusätzlichen Servicelevel-Vertrag zu verweisen, in dessen Rahmen zusätzliche Kosten anfallen können. </w:t>
      </w:r>
    </w:p>
    <w:p w:rsidR="00023FE7" w:rsidRPr="00C83DF5" w:rsidRDefault="00023FE7" w:rsidP="006679D2">
      <w:pPr>
        <w:pStyle w:val="AppendixBodyText"/>
        <w:spacing w:after="0"/>
        <w:rPr>
          <w:lang w:val="de-DE"/>
        </w:rPr>
      </w:pPr>
      <w:r w:rsidRPr="00C83DF5">
        <w:rPr>
          <w:rFonts w:ascii="Tahoma" w:hAnsi="Tahoma" w:cs="Tahoma"/>
          <w:sz w:val="18"/>
          <w:szCs w:val="18"/>
          <w:lang w:val="de-DE"/>
        </w:rPr>
        <w:lastRenderedPageBreak/>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DE3286">
        <w:rPr>
          <w:rFonts w:ascii="Tahoma" w:hAnsi="Tahoma" w:cs="Tahoma"/>
          <w:sz w:val="18"/>
          <w:szCs w:val="18"/>
          <w:lang w:val="de-DE"/>
        </w:rPr>
        <w:t> </w:t>
      </w:r>
      <w:r w:rsidRPr="00C83DF5">
        <w:rPr>
          <w:rFonts w:ascii="Tahoma" w:hAnsi="Tahoma" w:cs="Tahoma"/>
          <w:sz w:val="18"/>
          <w:szCs w:val="18"/>
          <w:lang w:val="de-DE"/>
        </w:rPr>
        <w:t>Kalendertagen nach dem Hinweis von Microsoft so ändert, dass es möglich ist, für sie effektiv Support zu leisten,</w:t>
      </w:r>
      <w:r w:rsidR="006679D2">
        <w:rPr>
          <w:rFonts w:ascii="Tahoma" w:hAnsi="Tahoma" w:cs="Tahoma"/>
          <w:sz w:val="18"/>
          <w:szCs w:val="18"/>
          <w:lang w:val="de-DE"/>
        </w:rPr>
        <w:t> </w:t>
      </w:r>
      <w:r w:rsidRPr="00C83DF5">
        <w:rPr>
          <w:rFonts w:ascii="Tahoma" w:hAnsi="Tahoma" w:cs="Tahoma"/>
          <w:sz w:val="18"/>
          <w:szCs w:val="18"/>
          <w:lang w:val="de-DE"/>
        </w:rPr>
        <w:t>ist</w:t>
      </w:r>
      <w:r w:rsidR="00DE3286">
        <w:rPr>
          <w:rFonts w:ascii="Tahoma" w:hAnsi="Tahoma" w:cs="Tahoma"/>
          <w:sz w:val="18"/>
          <w:szCs w:val="18"/>
          <w:lang w:val="de-DE"/>
        </w:rPr>
        <w:t> </w:t>
      </w:r>
      <w:r w:rsidRPr="00C83DF5">
        <w:rPr>
          <w:rFonts w:ascii="Tahoma" w:hAnsi="Tahoma" w:cs="Tahoma"/>
          <w:sz w:val="18"/>
          <w:szCs w:val="18"/>
          <w:lang w:val="de-DE"/>
        </w:rPr>
        <w:t>Microsoft nicht zur Erbringung von zusätzlichen Supportservices für diese Implementierung verpflichtet. Microsoft</w:t>
      </w:r>
      <w:r w:rsidR="00DE3286">
        <w:rPr>
          <w:rFonts w:ascii="Tahoma" w:hAnsi="Tahoma" w:cs="Tahoma"/>
          <w:sz w:val="18"/>
          <w:szCs w:val="18"/>
          <w:lang w:val="de-DE"/>
        </w:rPr>
        <w:t> </w:t>
      </w:r>
      <w:r w:rsidRPr="00C83DF5">
        <w:rPr>
          <w:rFonts w:ascii="Tahoma" w:hAnsi="Tahoma" w:cs="Tahoma"/>
          <w:sz w:val="18"/>
          <w:szCs w:val="18"/>
          <w:lang w:val="de-DE"/>
        </w:rPr>
        <w:t xml:space="preserve">wird jedoch weiterhin Support für die supportfähigen Implementierungen des Kunden, die Gegenstand dieser Bestimmungen sind, erbringen. </w:t>
      </w:r>
    </w:p>
    <w:p w:rsidR="00DF400D" w:rsidRPr="008B3D04" w:rsidRDefault="00DF400D" w:rsidP="002D25C8">
      <w:pPr>
        <w:pStyle w:val="AppendixBodyText"/>
        <w:spacing w:after="0"/>
        <w:rPr>
          <w:rFonts w:ascii="Tahoma" w:hAnsi="Tahoma" w:cs="Tahoma"/>
          <w:sz w:val="18"/>
          <w:szCs w:val="18"/>
          <w:lang w:val="de-DE"/>
        </w:rPr>
      </w:pPr>
    </w:p>
    <w:p w:rsidR="00023FE7" w:rsidRPr="00C83DF5" w:rsidRDefault="00023FE7" w:rsidP="006679D2">
      <w:pPr>
        <w:pStyle w:val="AppendixBodyText"/>
        <w:spacing w:after="0"/>
        <w:rPr>
          <w:lang w:val="de-DE"/>
        </w:rPr>
      </w:pPr>
      <w:r w:rsidRPr="00C83DF5">
        <w:rPr>
          <w:rFonts w:ascii="Tahoma" w:hAnsi="Tahoma" w:cs="Tahoma"/>
          <w:sz w:val="18"/>
          <w:szCs w:val="18"/>
          <w:lang w:val="de-DE"/>
        </w:rPr>
        <w:t>Eine unterstützte Break-Fix-Supportanfrage, auch als Fall bezeichnet, wird als ein einzelnes Supportproblem und die angemessenen Bemühungen zu seiner Behebung definiert.</w:t>
      </w:r>
      <w:r w:rsidR="00E71F46" w:rsidRPr="00C83DF5">
        <w:rPr>
          <w:rFonts w:ascii="Tahoma" w:hAnsi="Tahoma" w:cs="Tahoma"/>
          <w:sz w:val="18"/>
          <w:szCs w:val="18"/>
          <w:lang w:val="de-DE"/>
        </w:rPr>
        <w:t xml:space="preserve"> </w:t>
      </w:r>
      <w:r w:rsidRPr="00C83DF5">
        <w:rPr>
          <w:rFonts w:ascii="Tahoma" w:hAnsi="Tahoma" w:cs="Tahoma"/>
          <w:sz w:val="18"/>
          <w:szCs w:val="18"/>
          <w:lang w:val="de-DE"/>
        </w:rPr>
        <w:t>Ein einzelnes Supportproblem ist ein Problem, das nicht in untergeordnete Probleme aufgeteilt werden kann.</w:t>
      </w:r>
      <w:r w:rsidR="00E71F46" w:rsidRPr="00C83DF5">
        <w:rPr>
          <w:rFonts w:ascii="Tahoma" w:hAnsi="Tahoma" w:cs="Tahoma"/>
          <w:sz w:val="18"/>
          <w:szCs w:val="18"/>
          <w:lang w:val="de-DE"/>
        </w:rPr>
        <w:t xml:space="preserve"> </w:t>
      </w:r>
      <w:r w:rsidRPr="00C83DF5">
        <w:rPr>
          <w:rFonts w:ascii="Tahoma" w:hAnsi="Tahoma" w:cs="Tahoma"/>
          <w:sz w:val="18"/>
          <w:szCs w:val="18"/>
          <w:lang w:val="de-DE"/>
        </w:rPr>
        <w:t>Wenn ein Problem aus untergeordneten Problemen besteht, wird jedes von ihnen als separater Fall betrachtet.</w:t>
      </w:r>
      <w:r w:rsidR="00E71F46" w:rsidRPr="00C83DF5">
        <w:rPr>
          <w:rFonts w:ascii="Tahoma" w:hAnsi="Tahoma" w:cs="Tahoma"/>
          <w:sz w:val="18"/>
          <w:szCs w:val="18"/>
          <w:lang w:val="de-DE"/>
        </w:rPr>
        <w:t xml:space="preserve"> </w:t>
      </w:r>
      <w:r w:rsidRPr="00C83DF5">
        <w:rPr>
          <w:rFonts w:ascii="Tahoma" w:hAnsi="Tahoma" w:cs="Tahoma"/>
          <w:sz w:val="18"/>
          <w:szCs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E71F46" w:rsidRPr="00C83DF5">
        <w:rPr>
          <w:rFonts w:ascii="Tahoma" w:hAnsi="Tahoma" w:cs="Tahoma"/>
          <w:sz w:val="18"/>
          <w:szCs w:val="18"/>
          <w:lang w:val="de-DE"/>
        </w:rPr>
        <w:t xml:space="preserve"> </w:t>
      </w:r>
      <w:r w:rsidRPr="00C83DF5">
        <w:rPr>
          <w:rFonts w:ascii="Tahoma" w:hAnsi="Tahoma" w:cs="Tahoma"/>
          <w:sz w:val="18"/>
          <w:szCs w:val="18"/>
          <w:lang w:val="de-DE"/>
        </w:rPr>
        <w:t>Hotfixes sind dazu gedacht, bestimmte Probleme der Kunden zu beheben, und wurden keinen Regressionstests unterzogen.</w:t>
      </w:r>
      <w:r w:rsidR="00E71F46" w:rsidRPr="00C83DF5">
        <w:rPr>
          <w:rFonts w:ascii="Tahoma" w:hAnsi="Tahoma" w:cs="Tahoma"/>
          <w:sz w:val="18"/>
          <w:szCs w:val="18"/>
          <w:lang w:val="de-DE"/>
        </w:rPr>
        <w:t xml:space="preserve"> </w:t>
      </w:r>
      <w:r w:rsidRPr="00C83DF5">
        <w:rPr>
          <w:rFonts w:ascii="Tahoma" w:hAnsi="Tahoma" w:cs="Tahoma"/>
          <w:sz w:val="18"/>
          <w:szCs w:val="18"/>
          <w:lang w:val="de-DE"/>
        </w:rPr>
        <w:t>Sofern hierin nichts anderes bestimmt ist, dürfen Hotfixes ohne ausdrückliche schriftliche Zustimmung von Microsoft nicht an</w:t>
      </w:r>
      <w:r w:rsidR="006679D2">
        <w:rPr>
          <w:rFonts w:ascii="Tahoma" w:hAnsi="Tahoma" w:cs="Tahoma"/>
          <w:sz w:val="18"/>
          <w:szCs w:val="18"/>
          <w:lang w:val="de-DE"/>
        </w:rPr>
        <w:t> </w:t>
      </w:r>
      <w:r w:rsidRPr="00C83DF5">
        <w:rPr>
          <w:rFonts w:ascii="Tahoma" w:hAnsi="Tahoma" w:cs="Tahoma"/>
          <w:sz w:val="18"/>
          <w:szCs w:val="18"/>
          <w:lang w:val="de-DE"/>
        </w:rPr>
        <w:t>nicht verbundene Dritte vertrieben werden.</w:t>
      </w:r>
    </w:p>
    <w:p w:rsidR="00023FE7" w:rsidRPr="006679D2" w:rsidRDefault="00023FE7" w:rsidP="002D25C8">
      <w:pPr>
        <w:pStyle w:val="AppendixBodyText"/>
        <w:spacing w:after="0"/>
        <w:rPr>
          <w:rFonts w:ascii="Tahoma" w:hAnsi="Tahoma" w:cs="Tahoma"/>
          <w:sz w:val="18"/>
          <w:szCs w:val="18"/>
          <w:lang w:val="de-DE"/>
        </w:rPr>
      </w:pPr>
    </w:p>
    <w:p w:rsidR="00023FE7" w:rsidRPr="00C83DF5" w:rsidRDefault="00023FE7" w:rsidP="006679D2">
      <w:pPr>
        <w:pStyle w:val="AppendixBodyText"/>
        <w:spacing w:after="0"/>
        <w:rPr>
          <w:lang w:val="de-DE"/>
        </w:rPr>
      </w:pPr>
      <w:r w:rsidRPr="00C83DF5">
        <w:rPr>
          <w:rFonts w:ascii="Tahoma" w:hAnsi="Tahoma" w:cs="Tahoma"/>
          <w:sz w:val="18"/>
          <w:szCs w:val="18"/>
          <w:lang w:val="de-DE"/>
        </w:rPr>
        <w:t xml:space="preserve">Produkte, die über Volumenlizenzierung erhältlich sind und für die derzeit wie in </w:t>
      </w:r>
      <w:hyperlink r:id="rId25" w:history="1">
        <w:r w:rsidRPr="00C83DF5">
          <w:rPr>
            <w:rStyle w:val="Hyperlink"/>
            <w:rFonts w:ascii="Tahoma" w:hAnsi="Tahoma" w:cs="Tahoma"/>
            <w:sz w:val="18"/>
            <w:szCs w:val="18"/>
            <w:lang w:val="de-DE"/>
          </w:rPr>
          <w:t>Microsoft's Support Lifecycle Policy</w:t>
        </w:r>
      </w:hyperlink>
      <w:r w:rsidRPr="00C83DF5">
        <w:rPr>
          <w:rFonts w:ascii="Tahoma" w:hAnsi="Tahoma" w:cs="Tahoma"/>
          <w:sz w:val="18"/>
          <w:szCs w:val="18"/>
          <w:lang w:val="de-DE"/>
        </w:rPr>
        <w:t xml:space="preserve"> </w:t>
      </w:r>
      <w:r w:rsidRPr="00C83DF5">
        <w:rPr>
          <w:rFonts w:ascii="Tahoma" w:hAnsi="Tahoma" w:cs="Tahoma"/>
          <w:color w:val="000000"/>
          <w:sz w:val="18"/>
          <w:szCs w:val="18"/>
          <w:lang w:val="de-DE"/>
        </w:rPr>
        <w:t>aufgeführt Mainstream-Support geleistet wird, sind mit einer Berechtigung zu 24x7-Problembehebungssupport verbunden.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Mehr Informationen über die Service- und Supportrichtlinien finden Sie im jeweiligen Abschnitt für dieses Produkt in diesem Dokument.</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6679D2">
        <w:rPr>
          <w:rFonts w:ascii="Tahoma" w:hAnsi="Tahoma" w:cs="Tahoma"/>
          <w:color w:val="000000"/>
          <w:sz w:val="18"/>
          <w:szCs w:val="18"/>
          <w:lang w:val="de-DE"/>
        </w:rPr>
        <w:t> </w:t>
      </w:r>
      <w:r w:rsidRPr="00C83DF5">
        <w:rPr>
          <w:rFonts w:ascii="Tahoma" w:hAnsi="Tahoma" w:cs="Tahoma"/>
          <w:color w:val="000000"/>
          <w:sz w:val="18"/>
          <w:szCs w:val="18"/>
          <w:lang w:val="de-DE"/>
        </w:rPr>
        <w:t>einer Berechtigung verbunden.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Die Developer Edition aller Server, HED-Produkte und MSDN-Abonnements sind ausgeschlossen.</w:t>
      </w:r>
    </w:p>
    <w:p w:rsidR="00023FE7" w:rsidRPr="008B3D04" w:rsidRDefault="00023FE7" w:rsidP="002D25C8">
      <w:pPr>
        <w:pStyle w:val="AppendixBodyText"/>
        <w:spacing w:after="0"/>
        <w:rPr>
          <w:rFonts w:ascii="Tahoma" w:hAnsi="Tahoma" w:cs="Tahoma"/>
          <w:sz w:val="18"/>
          <w:szCs w:val="18"/>
          <w:lang w:val="de-DE"/>
        </w:rPr>
      </w:pPr>
    </w:p>
    <w:p w:rsidR="00023FE7" w:rsidRPr="00C83DF5" w:rsidRDefault="00023FE7" w:rsidP="006679D2">
      <w:pPr>
        <w:pStyle w:val="AppendixBodyText"/>
        <w:spacing w:after="0"/>
        <w:rPr>
          <w:lang w:val="de-DE"/>
        </w:rPr>
      </w:pPr>
      <w:r w:rsidRPr="00C83DF5">
        <w:rPr>
          <w:rFonts w:ascii="Tahoma" w:hAnsi="Tahoma" w:cs="Tahoma"/>
          <w:sz w:val="18"/>
          <w:szCs w:val="18"/>
          <w:lang w:val="de-DE"/>
        </w:rPr>
        <w:t>Microsoft kann sämtliche technischen Informationen, die sie im Rahmen der für ihre Produkte geleisteten Services in</w:t>
      </w:r>
      <w:r w:rsidR="006679D2">
        <w:rPr>
          <w:rFonts w:ascii="Tahoma" w:hAnsi="Tahoma" w:cs="Tahoma"/>
          <w:sz w:val="18"/>
          <w:szCs w:val="18"/>
          <w:lang w:val="de-DE"/>
        </w:rPr>
        <w:t> </w:t>
      </w:r>
      <w:r w:rsidRPr="00C83DF5">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023FE7" w:rsidRPr="008B3D04" w:rsidRDefault="00023FE7" w:rsidP="002D25C8">
      <w:pPr>
        <w:pStyle w:val="AppendixBodyText"/>
        <w:spacing w:after="0"/>
        <w:rPr>
          <w:rFonts w:ascii="Tahoma" w:hAnsi="Tahoma" w:cs="Tahoma"/>
          <w:sz w:val="18"/>
          <w:szCs w:val="18"/>
          <w:lang w:val="de-DE"/>
        </w:rPr>
      </w:pPr>
    </w:p>
    <w:p w:rsidR="00023FE7" w:rsidRPr="00C83DF5" w:rsidRDefault="00023FE7" w:rsidP="002D25C8">
      <w:pPr>
        <w:pStyle w:val="AppendixBodyText"/>
        <w:spacing w:after="0"/>
        <w:rPr>
          <w:lang w:val="de-DE"/>
        </w:rPr>
      </w:pPr>
      <w:r w:rsidRPr="00C83DF5">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23FE7" w:rsidRPr="008B3D04" w:rsidRDefault="00023FE7" w:rsidP="002D25C8">
      <w:pPr>
        <w:pStyle w:val="AppendixBodyText"/>
        <w:spacing w:after="0"/>
        <w:rPr>
          <w:rFonts w:ascii="Tahoma" w:hAnsi="Tahoma" w:cs="Tahoma"/>
          <w:sz w:val="18"/>
          <w:szCs w:val="18"/>
          <w:lang w:val="de-DE"/>
        </w:rPr>
      </w:pPr>
    </w:p>
    <w:p w:rsidR="00023FE7" w:rsidRPr="00C83DF5" w:rsidRDefault="00023FE7" w:rsidP="0078132D">
      <w:pPr>
        <w:pStyle w:val="AppendixBodyText"/>
        <w:spacing w:after="0"/>
        <w:rPr>
          <w:lang w:val="de-DE"/>
        </w:rPr>
      </w:pPr>
      <w:r w:rsidRPr="00C83DF5">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00E71F46" w:rsidRPr="00C83DF5">
        <w:rPr>
          <w:rFonts w:ascii="Tahoma" w:hAnsi="Tahoma" w:cs="Tahoma"/>
          <w:sz w:val="18"/>
          <w:szCs w:val="18"/>
          <w:lang w:val="de-DE"/>
        </w:rPr>
        <w:t xml:space="preserve"> </w:t>
      </w:r>
      <w:r w:rsidRPr="00C83DF5">
        <w:rPr>
          <w:rFonts w:ascii="Tahoma" w:hAnsi="Tahoma" w:cs="Tahoma"/>
          <w:sz w:val="18"/>
          <w:szCs w:val="18"/>
          <w:lang w:val="de-DE"/>
        </w:rPr>
        <w:t>Der 24x7-Problembehebungssupport stellt</w:t>
      </w:r>
      <w:r w:rsidR="0078132D">
        <w:rPr>
          <w:rFonts w:ascii="Tahoma" w:hAnsi="Tahoma" w:cs="Tahoma"/>
          <w:sz w:val="18"/>
          <w:szCs w:val="18"/>
          <w:lang w:val="de-DE"/>
        </w:rPr>
        <w:t> </w:t>
      </w:r>
      <w:r w:rsidRPr="00C83DF5">
        <w:rPr>
          <w:rFonts w:ascii="Tahoma" w:hAnsi="Tahoma" w:cs="Tahoma"/>
          <w:sz w:val="18"/>
          <w:szCs w:val="18"/>
          <w:lang w:val="de-DE"/>
        </w:rPr>
        <w:t>den Kunden eine Anzahl von Anfragen und Kontaktpersonen zum Melden dieser Anfragen wie nachstehend beschrieben zur Verfügung.</w:t>
      </w:r>
    </w:p>
    <w:p w:rsidR="00023FE7" w:rsidRDefault="00023FE7" w:rsidP="002D25C8">
      <w:pPr>
        <w:pStyle w:val="AppendixBodyText"/>
        <w:spacing w:after="0"/>
        <w:rPr>
          <w:lang w:val="de-DE"/>
        </w:rPr>
      </w:pPr>
    </w:p>
    <w:p w:rsidR="0078132D" w:rsidRDefault="0078132D" w:rsidP="002D25C8">
      <w:pPr>
        <w:pStyle w:val="AppendixBodyText"/>
        <w:spacing w:after="0"/>
        <w:rPr>
          <w:lang w:val="de-DE"/>
        </w:rPr>
      </w:pPr>
    </w:p>
    <w:p w:rsidR="0078132D" w:rsidRDefault="0078132D" w:rsidP="002D25C8">
      <w:pPr>
        <w:pStyle w:val="AppendixBodyText"/>
        <w:spacing w:after="0"/>
        <w:rPr>
          <w:lang w:val="de-DE"/>
        </w:rPr>
      </w:pPr>
    </w:p>
    <w:p w:rsidR="0078132D" w:rsidRDefault="0078132D" w:rsidP="002D25C8">
      <w:pPr>
        <w:pStyle w:val="AppendixBodyText"/>
        <w:spacing w:after="0"/>
        <w:rPr>
          <w:lang w:val="de-DE"/>
        </w:rPr>
      </w:pPr>
    </w:p>
    <w:p w:rsidR="0078132D" w:rsidRDefault="0078132D" w:rsidP="002D25C8">
      <w:pPr>
        <w:pStyle w:val="AppendixBodyText"/>
        <w:spacing w:after="0"/>
        <w:rPr>
          <w:lang w:val="de-DE"/>
        </w:rPr>
      </w:pPr>
    </w:p>
    <w:p w:rsidR="0078132D" w:rsidRDefault="0078132D" w:rsidP="002D25C8">
      <w:pPr>
        <w:pStyle w:val="AppendixBodyText"/>
        <w:spacing w:after="0"/>
        <w:rPr>
          <w:lang w:val="de-DE"/>
        </w:rPr>
      </w:pPr>
    </w:p>
    <w:p w:rsidR="0078132D" w:rsidRPr="00C83DF5" w:rsidRDefault="0078132D" w:rsidP="002D25C8">
      <w:pPr>
        <w:pStyle w:val="AppendixBodyText"/>
        <w:spacing w:after="0"/>
        <w:rPr>
          <w:lang w:val="de-DE"/>
        </w:rPr>
      </w:pPr>
    </w:p>
    <w:p w:rsidR="00023FE7" w:rsidRPr="00C83DF5" w:rsidRDefault="00023FE7" w:rsidP="0047054A">
      <w:pPr>
        <w:keepNext/>
        <w:spacing w:after="60"/>
        <w:rPr>
          <w:lang w:val="de-DE"/>
        </w:rPr>
      </w:pPr>
      <w:bookmarkStart w:id="730" w:name="_Toc240899163"/>
      <w:r w:rsidRPr="00C83DF5">
        <w:rPr>
          <w:rFonts w:cs="Tahoma"/>
          <w:b/>
          <w:szCs w:val="20"/>
          <w:lang w:val="de-DE"/>
        </w:rPr>
        <w:lastRenderedPageBreak/>
        <w:t>Gewährung von telefonischen Supportanfragen</w:t>
      </w:r>
      <w:bookmarkEnd w:id="730"/>
    </w:p>
    <w:p w:rsidR="00023FE7" w:rsidRPr="00C83DF5" w:rsidRDefault="00023FE7" w:rsidP="0078132D">
      <w:pPr>
        <w:pStyle w:val="AppendixBodyText"/>
        <w:spacing w:after="0"/>
        <w:rPr>
          <w:lang w:val="de-DE"/>
        </w:rPr>
      </w:pPr>
      <w:r w:rsidRPr="00C83DF5">
        <w:rPr>
          <w:rFonts w:ascii="Tahoma" w:hAnsi="Tahoma" w:cs="Tahoma"/>
          <w:sz w:val="18"/>
          <w:szCs w:val="18"/>
          <w:lang w:val="de-DE"/>
        </w:rPr>
        <w:t>Die Anzahl der zulässigen telefonischen Supportanfragen ist je nach SA-Ausgaben und Zahlungsoption des jeweiligen Kunden von Kunde zu Kunde unterschiedlich.</w:t>
      </w:r>
      <w:r w:rsidR="00E71F46" w:rsidRPr="00C83DF5">
        <w:rPr>
          <w:rFonts w:ascii="Tahoma" w:hAnsi="Tahoma" w:cs="Tahoma"/>
          <w:sz w:val="18"/>
          <w:szCs w:val="18"/>
          <w:lang w:val="de-DE"/>
        </w:rPr>
        <w:t xml:space="preserve"> </w:t>
      </w:r>
      <w:r w:rsidRPr="00C83DF5">
        <w:rPr>
          <w:rFonts w:ascii="Tahoma" w:hAnsi="Tahoma" w:cs="Tahoma"/>
          <w:sz w:val="18"/>
          <w:lang w:val="de-DE"/>
        </w:rPr>
        <w:t>In diesem Sinne sind mit „SA-Ausgaben“ nicht die tatsächlich ausgegebenen Beträge des Kunden gemeint.</w:t>
      </w:r>
      <w:r w:rsidR="00E71F46" w:rsidRPr="00C83DF5">
        <w:rPr>
          <w:rFonts w:ascii="Tahoma" w:hAnsi="Tahoma" w:cs="Tahoma"/>
          <w:sz w:val="18"/>
          <w:lang w:val="de-DE"/>
        </w:rPr>
        <w:t xml:space="preserve"> </w:t>
      </w:r>
      <w:r w:rsidRPr="00C83DF5">
        <w:rPr>
          <w:rFonts w:ascii="Tahoma" w:hAnsi="Tahoma" w:cs="Tahoma"/>
          <w:sz w:val="18"/>
          <w:lang w:val="de-DE"/>
        </w:rPr>
        <w:t>Vielmehr handelt es sich um einen Überschlag der Ausgaben eines Kunden für Software Assurance für diese Produkte. Für Ku</w:t>
      </w:r>
      <w:r w:rsidRPr="00C83DF5">
        <w:rPr>
          <w:rFonts w:ascii="Tahoma" w:hAnsi="Tahoma" w:cs="Tahoma"/>
          <w:sz w:val="18"/>
          <w:szCs w:val="18"/>
          <w:lang w:val="de-DE"/>
        </w:rPr>
        <w:t>nden unter Abonnementprogrammen handelt es sich um</w:t>
      </w:r>
      <w:r w:rsidR="0078132D">
        <w:rPr>
          <w:rFonts w:ascii="Tahoma" w:hAnsi="Tahoma" w:cs="Tahoma"/>
          <w:sz w:val="18"/>
          <w:szCs w:val="18"/>
          <w:lang w:val="de-DE"/>
        </w:rPr>
        <w:t> </w:t>
      </w:r>
      <w:r w:rsidRPr="00C83DF5">
        <w:rPr>
          <w:rFonts w:ascii="Tahoma" w:hAnsi="Tahoma" w:cs="Tahoma"/>
          <w:sz w:val="18"/>
          <w:szCs w:val="18"/>
          <w:lang w:val="de-DE"/>
        </w:rPr>
        <w:t>einen Überschlag des Gesamtbetrags, den der Kunde für die Lizenzierung dieser Produkte unter seinem Beitritt bzw. Vertrag ausgegeben hat.</w:t>
      </w:r>
      <w:r w:rsidR="00E71F46" w:rsidRPr="00C83DF5">
        <w:rPr>
          <w:rFonts w:ascii="Tahoma" w:hAnsi="Tahoma" w:cs="Tahoma"/>
          <w:sz w:val="18"/>
          <w:szCs w:val="18"/>
          <w:lang w:val="de-DE"/>
        </w:rPr>
        <w:t xml:space="preserve"> </w:t>
      </w:r>
      <w:r w:rsidRPr="00C83DF5">
        <w:rPr>
          <w:rFonts w:ascii="Tahoma" w:hAnsi="Tahoma" w:cs="Tahoma"/>
          <w:sz w:val="18"/>
          <w:szCs w:val="18"/>
          <w:lang w:val="de-DE"/>
        </w:rPr>
        <w:t>Die kostenlose Anfrage wird im Rahmen eines Konzernbeitritts, Select-Beitritts, einer</w:t>
      </w:r>
      <w:r w:rsidR="0078132D">
        <w:rPr>
          <w:rFonts w:ascii="Tahoma" w:hAnsi="Tahoma" w:cs="Tahoma"/>
          <w:sz w:val="18"/>
          <w:szCs w:val="18"/>
          <w:lang w:val="de-DE"/>
        </w:rPr>
        <w:t> </w:t>
      </w:r>
      <w:r w:rsidRPr="00C83DF5">
        <w:rPr>
          <w:rFonts w:ascii="Tahoma" w:hAnsi="Tahoma" w:cs="Tahoma"/>
          <w:sz w:val="18"/>
          <w:szCs w:val="18"/>
          <w:lang w:val="de-DE"/>
        </w:rPr>
        <w:t xml:space="preserve">Select Plus-Registrierung und eines Open Value-Vertrages mit SA für mindestens ein qualifizierendes </w:t>
      </w:r>
      <w:r w:rsidR="0078132D">
        <w:rPr>
          <w:rFonts w:ascii="Tahoma" w:hAnsi="Tahoma" w:cs="Tahoma"/>
          <w:sz w:val="18"/>
          <w:szCs w:val="18"/>
          <w:lang w:val="de-DE"/>
        </w:rPr>
        <w:br/>
      </w:r>
      <w:r w:rsidRPr="00C83DF5">
        <w:rPr>
          <w:rFonts w:ascii="Tahoma" w:hAnsi="Tahoma" w:cs="Tahoma"/>
          <w:sz w:val="18"/>
          <w:szCs w:val="18"/>
          <w:lang w:val="de-DE"/>
        </w:rPr>
        <w:t>Server-Softwareprodukt gewährt.</w:t>
      </w:r>
    </w:p>
    <w:p w:rsidR="00F42FB8" w:rsidRPr="008B3D04" w:rsidRDefault="00F42FB8" w:rsidP="002D25C8">
      <w:pPr>
        <w:pStyle w:val="AppendixBodyText"/>
        <w:spacing w:after="0"/>
        <w:rPr>
          <w:rFonts w:ascii="Tahoma" w:hAnsi="Tahoma" w:cs="Tahoma"/>
          <w:sz w:val="18"/>
          <w:szCs w:val="18"/>
          <w:lang w:val="de-DE"/>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1800"/>
        <w:gridCol w:w="2160"/>
        <w:gridCol w:w="2151"/>
      </w:tblGrid>
      <w:tr w:rsidR="00613BBB" w:rsidRPr="004D388E" w:rsidTr="0078132D">
        <w:trPr>
          <w:trHeight w:val="178"/>
          <w:tblHeader/>
        </w:trPr>
        <w:tc>
          <w:tcPr>
            <w:tcW w:w="261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C83DF5" w:rsidRDefault="00613BBB" w:rsidP="00F42FB8">
            <w:pPr>
              <w:pStyle w:val="AppendixBodyText"/>
              <w:rPr>
                <w:rFonts w:ascii="Tahoma" w:hAnsi="Tahoma" w:cs="Tahoma"/>
                <w:b/>
                <w:bCs/>
              </w:rPr>
            </w:pPr>
            <w:r w:rsidRPr="00C83DF5">
              <w:rPr>
                <w:rFonts w:ascii="Tahoma" w:hAnsi="Tahoma" w:cs="Tahoma"/>
                <w:b/>
                <w:bCs/>
              </w:rPr>
              <w:t>Währungsbezeichnung</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C83DF5" w:rsidRDefault="00613BBB" w:rsidP="00F42FB8">
            <w:pPr>
              <w:pStyle w:val="AppendixBodyText"/>
              <w:rPr>
                <w:rFonts w:ascii="Tahoma" w:hAnsi="Tahoma" w:cs="Tahoma"/>
                <w:b/>
                <w:bCs/>
              </w:rPr>
            </w:pPr>
            <w:r w:rsidRPr="00C83DF5">
              <w:rPr>
                <w:rFonts w:ascii="Tahoma" w:hAnsi="Tahoma" w:cs="Tahoma"/>
                <w:b/>
                <w:bCs/>
              </w:rPr>
              <w:t>Währungscode</w:t>
            </w:r>
          </w:p>
        </w:tc>
        <w:tc>
          <w:tcPr>
            <w:tcW w:w="216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C83DF5" w:rsidRDefault="00613BBB" w:rsidP="00F42FB8">
            <w:pPr>
              <w:pStyle w:val="AppendixBodyText"/>
              <w:rPr>
                <w:lang w:val="de-DE"/>
              </w:rPr>
            </w:pPr>
            <w:r w:rsidRPr="00C83DF5">
              <w:rPr>
                <w:rFonts w:ascii="Tahoma" w:hAnsi="Tahoma" w:cs="Tahoma"/>
                <w:b/>
                <w:bCs/>
                <w:lang w:val="de-DE"/>
              </w:rPr>
              <w:t>Server/CAL</w:t>
            </w:r>
          </w:p>
          <w:p w:rsidR="00613BBB" w:rsidRPr="00C83DF5" w:rsidRDefault="00613BBB" w:rsidP="00F42FB8">
            <w:pPr>
              <w:pStyle w:val="AppendixBodyText"/>
              <w:rPr>
                <w:rFonts w:ascii="Tahoma" w:hAnsi="Tahoma" w:cs="Tahoma"/>
                <w:b/>
                <w:bCs/>
                <w:lang w:val="de-DE"/>
              </w:rPr>
            </w:pPr>
            <w:r w:rsidRPr="00C83DF5">
              <w:rPr>
                <w:rFonts w:ascii="Tahoma" w:hAnsi="Tahoma" w:cs="Tahoma"/>
                <w:b/>
                <w:bCs/>
                <w:lang w:val="de-DE"/>
              </w:rPr>
              <w:t>Stufen für gewährte Anfragen</w:t>
            </w:r>
          </w:p>
        </w:tc>
        <w:tc>
          <w:tcPr>
            <w:tcW w:w="215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C83DF5" w:rsidRDefault="00613BBB" w:rsidP="00F42FB8">
            <w:pPr>
              <w:pStyle w:val="AppendixBodyText"/>
              <w:rPr>
                <w:lang w:val="de-DE"/>
              </w:rPr>
            </w:pPr>
            <w:r w:rsidRPr="00C83DF5">
              <w:rPr>
                <w:rFonts w:ascii="Tahoma" w:hAnsi="Tahoma" w:cs="Tahoma"/>
                <w:b/>
                <w:bCs/>
                <w:lang w:val="de-DE"/>
              </w:rPr>
              <w:t>IW/Client</w:t>
            </w:r>
          </w:p>
          <w:p w:rsidR="00613BBB" w:rsidRPr="00C83DF5" w:rsidRDefault="00613BBB" w:rsidP="00F42FB8">
            <w:pPr>
              <w:pStyle w:val="AppendixBodyText"/>
              <w:rPr>
                <w:rFonts w:ascii="Tahoma" w:hAnsi="Tahoma" w:cs="Tahoma"/>
                <w:b/>
                <w:bCs/>
                <w:lang w:val="de-DE"/>
              </w:rPr>
            </w:pPr>
            <w:r w:rsidRPr="00C83DF5">
              <w:rPr>
                <w:rFonts w:ascii="Tahoma" w:hAnsi="Tahoma" w:cs="Tahoma"/>
                <w:b/>
                <w:bCs/>
                <w:lang w:val="de-DE"/>
              </w:rPr>
              <w:t>Stufen für gewährte Anfragen</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US-Dollar</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USD</w:t>
            </w:r>
          </w:p>
        </w:tc>
        <w:tc>
          <w:tcPr>
            <w:tcW w:w="2160"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$20</w:t>
            </w:r>
            <w:r w:rsidR="0078132D">
              <w:rPr>
                <w:rFonts w:ascii="Tahoma" w:hAnsi="Tahoma" w:cs="Tahoma"/>
                <w:sz w:val="18"/>
                <w:szCs w:val="18"/>
              </w:rPr>
              <w:t>.</w:t>
            </w:r>
            <w:r w:rsidRPr="00C83DF5">
              <w:rPr>
                <w:rFonts w:ascii="Tahoma" w:hAnsi="Tahoma" w:cs="Tahoma"/>
                <w:sz w:val="18"/>
                <w:szCs w:val="18"/>
              </w:rPr>
              <w:t>000</w:t>
            </w:r>
          </w:p>
        </w:tc>
        <w:tc>
          <w:tcPr>
            <w:tcW w:w="2151"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$200</w:t>
            </w:r>
            <w:r w:rsidR="0078132D">
              <w:rPr>
                <w:rFonts w:ascii="Tahoma" w:hAnsi="Tahoma" w:cs="Tahoma"/>
                <w:sz w:val="18"/>
                <w:szCs w:val="18"/>
              </w:rPr>
              <w:t>.</w:t>
            </w:r>
            <w:r w:rsidRPr="00C83DF5">
              <w:rPr>
                <w:rFonts w:ascii="Tahoma" w:hAnsi="Tahoma" w:cs="Tahoma"/>
                <w:sz w:val="18"/>
                <w:szCs w:val="18"/>
              </w:rPr>
              <w:t>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Australischer Dollar</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AUD</w:t>
            </w:r>
          </w:p>
        </w:tc>
        <w:tc>
          <w:tcPr>
            <w:tcW w:w="2160"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30</w:t>
            </w:r>
            <w:r w:rsidR="0078132D">
              <w:rPr>
                <w:rFonts w:ascii="Tahoma" w:hAnsi="Tahoma" w:cs="Tahoma"/>
                <w:sz w:val="18"/>
                <w:szCs w:val="18"/>
              </w:rPr>
              <w:t>.</w:t>
            </w:r>
            <w:r w:rsidRPr="00C83DF5">
              <w:rPr>
                <w:rFonts w:ascii="Tahoma" w:hAnsi="Tahoma" w:cs="Tahoma"/>
                <w:sz w:val="18"/>
                <w:szCs w:val="18"/>
              </w:rPr>
              <w:t>000</w:t>
            </w:r>
          </w:p>
        </w:tc>
        <w:tc>
          <w:tcPr>
            <w:tcW w:w="2151"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300</w:t>
            </w:r>
            <w:r w:rsidR="0078132D">
              <w:rPr>
                <w:rFonts w:ascii="Tahoma" w:hAnsi="Tahoma" w:cs="Tahoma"/>
                <w:sz w:val="18"/>
                <w:szCs w:val="18"/>
              </w:rPr>
              <w:t>.</w:t>
            </w:r>
            <w:r w:rsidRPr="00C83DF5">
              <w:rPr>
                <w:rFonts w:ascii="Tahoma" w:hAnsi="Tahoma" w:cs="Tahoma"/>
                <w:sz w:val="18"/>
                <w:szCs w:val="18"/>
              </w:rPr>
              <w:t>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Kanadischer Dollar</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CAD</w:t>
            </w:r>
          </w:p>
        </w:tc>
        <w:tc>
          <w:tcPr>
            <w:tcW w:w="2160"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27</w:t>
            </w:r>
            <w:r w:rsidR="0078132D">
              <w:rPr>
                <w:rFonts w:ascii="Tahoma" w:hAnsi="Tahoma" w:cs="Tahoma"/>
                <w:sz w:val="18"/>
                <w:szCs w:val="18"/>
              </w:rPr>
              <w:t>.</w:t>
            </w:r>
            <w:r w:rsidRPr="00C83DF5">
              <w:rPr>
                <w:rFonts w:ascii="Tahoma" w:hAnsi="Tahoma" w:cs="Tahoma"/>
                <w:sz w:val="18"/>
                <w:szCs w:val="18"/>
              </w:rPr>
              <w:t>000</w:t>
            </w:r>
          </w:p>
        </w:tc>
        <w:tc>
          <w:tcPr>
            <w:tcW w:w="2151"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270</w:t>
            </w:r>
            <w:r w:rsidR="0078132D">
              <w:rPr>
                <w:rFonts w:ascii="Tahoma" w:hAnsi="Tahoma" w:cs="Tahoma"/>
                <w:sz w:val="18"/>
                <w:szCs w:val="18"/>
              </w:rPr>
              <w:t>.</w:t>
            </w:r>
            <w:r w:rsidRPr="00C83DF5">
              <w:rPr>
                <w:rFonts w:ascii="Tahoma" w:hAnsi="Tahoma" w:cs="Tahoma"/>
                <w:sz w:val="18"/>
                <w:szCs w:val="18"/>
              </w:rPr>
              <w:t>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Schweizer Franken</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CHF</w:t>
            </w:r>
          </w:p>
        </w:tc>
        <w:tc>
          <w:tcPr>
            <w:tcW w:w="2160"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S Fr. 33</w:t>
            </w:r>
            <w:r w:rsidR="0078132D">
              <w:rPr>
                <w:rFonts w:ascii="Tahoma" w:hAnsi="Tahoma" w:cs="Tahoma"/>
                <w:sz w:val="18"/>
                <w:szCs w:val="18"/>
              </w:rPr>
              <w:t>.</w:t>
            </w:r>
            <w:r w:rsidRPr="00C83DF5">
              <w:rPr>
                <w:rFonts w:ascii="Tahoma" w:hAnsi="Tahoma" w:cs="Tahoma"/>
                <w:sz w:val="18"/>
                <w:szCs w:val="18"/>
              </w:rPr>
              <w:t>000</w:t>
            </w:r>
          </w:p>
        </w:tc>
        <w:tc>
          <w:tcPr>
            <w:tcW w:w="2151"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S Fr. 330</w:t>
            </w:r>
            <w:r w:rsidR="0078132D">
              <w:rPr>
                <w:rFonts w:ascii="Tahoma" w:hAnsi="Tahoma" w:cs="Tahoma"/>
                <w:sz w:val="18"/>
                <w:szCs w:val="18"/>
              </w:rPr>
              <w:t>.</w:t>
            </w:r>
            <w:r w:rsidRPr="00C83DF5">
              <w:rPr>
                <w:rFonts w:ascii="Tahoma" w:hAnsi="Tahoma" w:cs="Tahoma"/>
                <w:sz w:val="18"/>
                <w:szCs w:val="18"/>
              </w:rPr>
              <w:t>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Chinesischer Renminbi</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CNY</w:t>
            </w:r>
          </w:p>
        </w:tc>
        <w:tc>
          <w:tcPr>
            <w:tcW w:w="216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CRC 165.000</w:t>
            </w:r>
          </w:p>
        </w:tc>
        <w:tc>
          <w:tcPr>
            <w:tcW w:w="2151"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CRC 1.650.000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Dänische Krone</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DKK</w:t>
            </w:r>
          </w:p>
        </w:tc>
        <w:tc>
          <w:tcPr>
            <w:tcW w:w="216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kr 160.000</w:t>
            </w:r>
          </w:p>
        </w:tc>
        <w:tc>
          <w:tcPr>
            <w:tcW w:w="2151"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kr 1.600.000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EURO</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EUR</w:t>
            </w:r>
          </w:p>
        </w:tc>
        <w:tc>
          <w:tcPr>
            <w:tcW w:w="2160"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21</w:t>
            </w:r>
            <w:r w:rsidR="0078132D">
              <w:rPr>
                <w:rFonts w:ascii="Tahoma" w:hAnsi="Tahoma" w:cs="Tahoma"/>
                <w:sz w:val="18"/>
                <w:szCs w:val="18"/>
              </w:rPr>
              <w:t>.</w:t>
            </w:r>
            <w:r w:rsidRPr="00C83DF5">
              <w:rPr>
                <w:rFonts w:ascii="Tahoma" w:hAnsi="Tahoma" w:cs="Tahoma"/>
                <w:sz w:val="18"/>
                <w:szCs w:val="18"/>
              </w:rPr>
              <w:t>500</w:t>
            </w:r>
          </w:p>
        </w:tc>
        <w:tc>
          <w:tcPr>
            <w:tcW w:w="2151"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215</w:t>
            </w:r>
            <w:r w:rsidR="0078132D">
              <w:rPr>
                <w:rFonts w:ascii="Tahoma" w:hAnsi="Tahoma" w:cs="Tahoma"/>
                <w:sz w:val="18"/>
                <w:szCs w:val="18"/>
              </w:rPr>
              <w:t>.</w:t>
            </w:r>
            <w:r w:rsidRPr="00C83DF5">
              <w:rPr>
                <w:rFonts w:ascii="Tahoma" w:hAnsi="Tahoma" w:cs="Tahoma"/>
                <w:sz w:val="18"/>
                <w:szCs w:val="18"/>
              </w:rPr>
              <w:t>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Britisches Pfund</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GBP</w:t>
            </w:r>
          </w:p>
        </w:tc>
        <w:tc>
          <w:tcPr>
            <w:tcW w:w="2160"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£13</w:t>
            </w:r>
            <w:r w:rsidR="0078132D">
              <w:rPr>
                <w:rFonts w:ascii="Tahoma" w:hAnsi="Tahoma" w:cs="Tahoma"/>
                <w:sz w:val="18"/>
                <w:szCs w:val="18"/>
              </w:rPr>
              <w:t>.</w:t>
            </w:r>
            <w:r w:rsidRPr="00C83DF5">
              <w:rPr>
                <w:rFonts w:ascii="Tahoma" w:hAnsi="Tahoma" w:cs="Tahoma"/>
                <w:sz w:val="18"/>
                <w:szCs w:val="18"/>
              </w:rPr>
              <w:t>500</w:t>
            </w:r>
          </w:p>
        </w:tc>
        <w:tc>
          <w:tcPr>
            <w:tcW w:w="2151"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£135</w:t>
            </w:r>
            <w:r w:rsidR="0078132D">
              <w:rPr>
                <w:rFonts w:ascii="Tahoma" w:hAnsi="Tahoma" w:cs="Tahoma"/>
                <w:sz w:val="18"/>
                <w:szCs w:val="18"/>
              </w:rPr>
              <w:t>.</w:t>
            </w:r>
            <w:r w:rsidRPr="00C83DF5">
              <w:rPr>
                <w:rFonts w:ascii="Tahoma" w:hAnsi="Tahoma" w:cs="Tahoma"/>
                <w:sz w:val="18"/>
                <w:szCs w:val="18"/>
              </w:rPr>
              <w:t>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Japanischer Yen</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JPY</w:t>
            </w:r>
          </w:p>
        </w:tc>
        <w:tc>
          <w:tcPr>
            <w:tcW w:w="216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JPY 2.400.000</w:t>
            </w:r>
          </w:p>
        </w:tc>
        <w:tc>
          <w:tcPr>
            <w:tcW w:w="2151"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JPY 24.000.000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Koreanischer Won</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KRW</w:t>
            </w:r>
          </w:p>
        </w:tc>
        <w:tc>
          <w:tcPr>
            <w:tcW w:w="216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KWD 24.000.000</w:t>
            </w:r>
          </w:p>
        </w:tc>
        <w:tc>
          <w:tcPr>
            <w:tcW w:w="2151"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KWD 240.000.000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Norwegische Krone</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NOK</w:t>
            </w:r>
          </w:p>
        </w:tc>
        <w:tc>
          <w:tcPr>
            <w:tcW w:w="216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kr 165.000</w:t>
            </w:r>
          </w:p>
        </w:tc>
        <w:tc>
          <w:tcPr>
            <w:tcW w:w="2151"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kr 1.650.000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Neuseeländischer Dollar</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NZD</w:t>
            </w:r>
          </w:p>
        </w:tc>
        <w:tc>
          <w:tcPr>
            <w:tcW w:w="2160"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35</w:t>
            </w:r>
            <w:r w:rsidR="0078132D">
              <w:rPr>
                <w:rFonts w:ascii="Tahoma" w:hAnsi="Tahoma" w:cs="Tahoma"/>
                <w:sz w:val="18"/>
                <w:szCs w:val="18"/>
              </w:rPr>
              <w:t>.</w:t>
            </w:r>
            <w:r w:rsidRPr="00C83DF5">
              <w:rPr>
                <w:rFonts w:ascii="Tahoma" w:hAnsi="Tahoma" w:cs="Tahoma"/>
                <w:sz w:val="18"/>
                <w:szCs w:val="18"/>
              </w:rPr>
              <w:t>000</w:t>
            </w:r>
          </w:p>
        </w:tc>
        <w:tc>
          <w:tcPr>
            <w:tcW w:w="2151" w:type="dxa"/>
            <w:vAlign w:val="bottom"/>
          </w:tcPr>
          <w:p w:rsidR="00613BBB" w:rsidRPr="00C83DF5" w:rsidRDefault="00613BBB" w:rsidP="0078132D">
            <w:pPr>
              <w:pStyle w:val="AppendixBodyText"/>
              <w:rPr>
                <w:rFonts w:ascii="Tahoma" w:hAnsi="Tahoma" w:cs="Tahoma"/>
                <w:sz w:val="18"/>
                <w:szCs w:val="18"/>
              </w:rPr>
            </w:pPr>
            <w:r w:rsidRPr="00C83DF5">
              <w:rPr>
                <w:rFonts w:ascii="Tahoma" w:hAnsi="Tahoma" w:cs="Tahoma"/>
                <w:sz w:val="18"/>
                <w:szCs w:val="18"/>
              </w:rPr>
              <w:t>350</w:t>
            </w:r>
            <w:r w:rsidR="0078132D">
              <w:rPr>
                <w:rFonts w:ascii="Tahoma" w:hAnsi="Tahoma" w:cs="Tahoma"/>
                <w:sz w:val="18"/>
                <w:szCs w:val="18"/>
              </w:rPr>
              <w:t>.</w:t>
            </w:r>
            <w:r w:rsidRPr="00C83DF5">
              <w:rPr>
                <w:rFonts w:ascii="Tahoma" w:hAnsi="Tahoma" w:cs="Tahoma"/>
                <w:sz w:val="18"/>
                <w:szCs w:val="18"/>
              </w:rPr>
              <w:t>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Schwedische Krone</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SEK</w:t>
            </w:r>
          </w:p>
        </w:tc>
        <w:tc>
          <w:tcPr>
            <w:tcW w:w="216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kr 200.000</w:t>
            </w:r>
          </w:p>
        </w:tc>
        <w:tc>
          <w:tcPr>
            <w:tcW w:w="2151"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kr 2.000.000</w:t>
            </w:r>
          </w:p>
        </w:tc>
      </w:tr>
      <w:tr w:rsidR="00613BBB" w:rsidRPr="00C83DF5" w:rsidTr="0078132D">
        <w:trPr>
          <w:trHeight w:val="236"/>
        </w:trPr>
        <w:tc>
          <w:tcPr>
            <w:tcW w:w="261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Neuer Taiwan-Dollar</w:t>
            </w:r>
          </w:p>
        </w:tc>
        <w:tc>
          <w:tcPr>
            <w:tcW w:w="180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TWD</w:t>
            </w:r>
          </w:p>
        </w:tc>
        <w:tc>
          <w:tcPr>
            <w:tcW w:w="2160"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NTD 700.000</w:t>
            </w:r>
          </w:p>
        </w:tc>
        <w:tc>
          <w:tcPr>
            <w:tcW w:w="2151" w:type="dxa"/>
            <w:vAlign w:val="bottom"/>
          </w:tcPr>
          <w:p w:rsidR="00613BBB" w:rsidRPr="00C83DF5" w:rsidRDefault="00613BBB" w:rsidP="00F42FB8">
            <w:pPr>
              <w:pStyle w:val="AppendixBodyText"/>
              <w:rPr>
                <w:rFonts w:ascii="Tahoma" w:hAnsi="Tahoma" w:cs="Tahoma"/>
                <w:sz w:val="18"/>
                <w:szCs w:val="18"/>
              </w:rPr>
            </w:pPr>
            <w:r w:rsidRPr="00C83DF5">
              <w:rPr>
                <w:rFonts w:ascii="Tahoma" w:hAnsi="Tahoma" w:cs="Tahoma"/>
                <w:sz w:val="18"/>
                <w:szCs w:val="18"/>
              </w:rPr>
              <w:t>NTD 7.000.000</w:t>
            </w:r>
          </w:p>
        </w:tc>
      </w:tr>
      <w:tr w:rsidR="004B4C79" w:rsidRPr="00C83DF5" w:rsidTr="0078132D">
        <w:trPr>
          <w:trHeight w:val="236"/>
        </w:trPr>
        <w:tc>
          <w:tcPr>
            <w:tcW w:w="2610" w:type="dxa"/>
          </w:tcPr>
          <w:p w:rsidR="004B4C79" w:rsidRPr="00C83DF5" w:rsidRDefault="004B4C79" w:rsidP="00F42FB8">
            <w:pPr>
              <w:pStyle w:val="AppendixBodyText"/>
              <w:rPr>
                <w:rFonts w:ascii="Tahoma" w:hAnsi="Tahoma" w:cs="Tahoma"/>
                <w:sz w:val="18"/>
                <w:szCs w:val="18"/>
              </w:rPr>
            </w:pPr>
            <w:r w:rsidRPr="00C83DF5">
              <w:rPr>
                <w:rFonts w:ascii="Tahoma" w:hAnsi="Tahoma" w:cs="Tahoma"/>
                <w:sz w:val="18"/>
                <w:szCs w:val="18"/>
              </w:rPr>
              <w:t>Indische Rupie</w:t>
            </w:r>
          </w:p>
        </w:tc>
        <w:tc>
          <w:tcPr>
            <w:tcW w:w="1800" w:type="dxa"/>
          </w:tcPr>
          <w:p w:rsidR="004B4C79" w:rsidRPr="00C83DF5" w:rsidRDefault="004B4C79" w:rsidP="00F42FB8">
            <w:pPr>
              <w:pStyle w:val="AppendixBodyText"/>
              <w:rPr>
                <w:rFonts w:ascii="Tahoma" w:hAnsi="Tahoma" w:cs="Tahoma"/>
                <w:sz w:val="18"/>
                <w:szCs w:val="18"/>
              </w:rPr>
            </w:pPr>
            <w:r w:rsidRPr="00C83DF5">
              <w:rPr>
                <w:rFonts w:ascii="Tahoma" w:hAnsi="Tahoma" w:cs="Tahoma"/>
                <w:sz w:val="18"/>
                <w:szCs w:val="18"/>
              </w:rPr>
              <w:t>INR</w:t>
            </w:r>
          </w:p>
        </w:tc>
        <w:tc>
          <w:tcPr>
            <w:tcW w:w="2160" w:type="dxa"/>
          </w:tcPr>
          <w:p w:rsidR="004B4C79" w:rsidRPr="00C83DF5" w:rsidRDefault="004B4C79" w:rsidP="00F42FB8">
            <w:pPr>
              <w:pStyle w:val="AppendixBodyText"/>
              <w:rPr>
                <w:rFonts w:ascii="Tahoma" w:hAnsi="Tahoma" w:cs="Tahoma"/>
                <w:sz w:val="18"/>
                <w:szCs w:val="18"/>
              </w:rPr>
            </w:pPr>
            <w:r w:rsidRPr="00C83DF5">
              <w:rPr>
                <w:rFonts w:ascii="Tahoma" w:hAnsi="Tahoma" w:cs="Tahoma"/>
                <w:sz w:val="18"/>
                <w:szCs w:val="18"/>
              </w:rPr>
              <w:t>INR 1.000.000</w:t>
            </w:r>
          </w:p>
        </w:tc>
        <w:tc>
          <w:tcPr>
            <w:tcW w:w="2151" w:type="dxa"/>
          </w:tcPr>
          <w:p w:rsidR="004B4C79" w:rsidRPr="00C83DF5" w:rsidRDefault="004B4C79" w:rsidP="00F42FB8">
            <w:pPr>
              <w:pStyle w:val="AppendixBodyText"/>
              <w:rPr>
                <w:rFonts w:ascii="Tahoma" w:hAnsi="Tahoma" w:cs="Tahoma"/>
                <w:sz w:val="18"/>
                <w:szCs w:val="18"/>
              </w:rPr>
            </w:pPr>
            <w:r w:rsidRPr="00C83DF5">
              <w:rPr>
                <w:rFonts w:ascii="Tahoma" w:hAnsi="Tahoma" w:cs="Tahoma"/>
                <w:sz w:val="18"/>
                <w:szCs w:val="18"/>
              </w:rPr>
              <w:t>INR 10.000.000</w:t>
            </w:r>
          </w:p>
        </w:tc>
      </w:tr>
      <w:tr w:rsidR="004B4C79" w:rsidRPr="00C83DF5" w:rsidTr="0078132D">
        <w:trPr>
          <w:trHeight w:val="236"/>
        </w:trPr>
        <w:tc>
          <w:tcPr>
            <w:tcW w:w="2610" w:type="dxa"/>
          </w:tcPr>
          <w:p w:rsidR="004B4C79" w:rsidRPr="00C83DF5" w:rsidRDefault="004B4C79" w:rsidP="00F42FB8">
            <w:pPr>
              <w:pStyle w:val="AppendixBodyText"/>
              <w:rPr>
                <w:rFonts w:ascii="Tahoma" w:hAnsi="Tahoma" w:cs="Tahoma"/>
                <w:sz w:val="18"/>
                <w:szCs w:val="18"/>
              </w:rPr>
            </w:pPr>
            <w:r w:rsidRPr="00C83DF5">
              <w:rPr>
                <w:rFonts w:ascii="Tahoma" w:hAnsi="Tahoma" w:cs="Tahoma"/>
                <w:sz w:val="18"/>
                <w:szCs w:val="18"/>
              </w:rPr>
              <w:t>Russischer Rubel</w:t>
            </w:r>
          </w:p>
        </w:tc>
        <w:tc>
          <w:tcPr>
            <w:tcW w:w="1800" w:type="dxa"/>
          </w:tcPr>
          <w:p w:rsidR="004B4C79" w:rsidRPr="00C83DF5" w:rsidRDefault="004B4C79" w:rsidP="00F42FB8">
            <w:pPr>
              <w:pStyle w:val="AppendixBodyText"/>
              <w:rPr>
                <w:rFonts w:ascii="Tahoma" w:hAnsi="Tahoma" w:cs="Tahoma"/>
                <w:sz w:val="18"/>
                <w:szCs w:val="18"/>
              </w:rPr>
            </w:pPr>
            <w:r w:rsidRPr="00C83DF5">
              <w:rPr>
                <w:rFonts w:ascii="Tahoma" w:hAnsi="Tahoma" w:cs="Tahoma"/>
                <w:sz w:val="18"/>
                <w:szCs w:val="18"/>
              </w:rPr>
              <w:t>RUB</w:t>
            </w:r>
          </w:p>
        </w:tc>
        <w:tc>
          <w:tcPr>
            <w:tcW w:w="2160" w:type="dxa"/>
          </w:tcPr>
          <w:p w:rsidR="004B4C79" w:rsidRPr="00C83DF5" w:rsidRDefault="004B4C79" w:rsidP="00F42FB8">
            <w:pPr>
              <w:pStyle w:val="AppendixBodyText"/>
              <w:rPr>
                <w:rFonts w:ascii="Tahoma" w:hAnsi="Tahoma" w:cs="Tahoma"/>
                <w:sz w:val="18"/>
                <w:szCs w:val="18"/>
              </w:rPr>
            </w:pPr>
            <w:r w:rsidRPr="00C83DF5">
              <w:rPr>
                <w:rFonts w:ascii="Tahoma" w:hAnsi="Tahoma" w:cs="Tahoma"/>
                <w:sz w:val="18"/>
                <w:szCs w:val="18"/>
              </w:rPr>
              <w:t>RUB 660.000</w:t>
            </w:r>
          </w:p>
        </w:tc>
        <w:tc>
          <w:tcPr>
            <w:tcW w:w="2151" w:type="dxa"/>
          </w:tcPr>
          <w:p w:rsidR="004B4C79" w:rsidRPr="00C83DF5" w:rsidRDefault="004B4C79" w:rsidP="00F42FB8">
            <w:pPr>
              <w:pStyle w:val="AppendixBodyText"/>
              <w:rPr>
                <w:rFonts w:ascii="Tahoma" w:hAnsi="Tahoma" w:cs="Tahoma"/>
                <w:sz w:val="18"/>
                <w:szCs w:val="18"/>
              </w:rPr>
            </w:pPr>
            <w:r w:rsidRPr="00C83DF5">
              <w:rPr>
                <w:rFonts w:ascii="Tahoma" w:hAnsi="Tahoma" w:cs="Tahoma"/>
                <w:sz w:val="18"/>
                <w:szCs w:val="18"/>
              </w:rPr>
              <w:t>RUB 6.600.000</w:t>
            </w:r>
          </w:p>
        </w:tc>
      </w:tr>
    </w:tbl>
    <w:p w:rsidR="00023FE7" w:rsidRPr="0053660C" w:rsidRDefault="00023FE7" w:rsidP="00F93617">
      <w:pPr>
        <w:pStyle w:val="AppendixBodyText"/>
        <w:spacing w:after="0"/>
        <w:rPr>
          <w:rFonts w:ascii="Tahoma" w:hAnsi="Tahoma" w:cs="Tahoma"/>
          <w:sz w:val="18"/>
          <w:szCs w:val="18"/>
        </w:rPr>
      </w:pPr>
    </w:p>
    <w:p w:rsidR="00023FE7" w:rsidRPr="00C83DF5" w:rsidRDefault="00023FE7" w:rsidP="0053660C">
      <w:pPr>
        <w:pStyle w:val="AppendixBodyText"/>
        <w:spacing w:after="0"/>
        <w:rPr>
          <w:lang w:val="de-DE"/>
        </w:rPr>
      </w:pPr>
      <w:r w:rsidRPr="00C83DF5">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00E71F46" w:rsidRPr="00C83DF5">
        <w:rPr>
          <w:rFonts w:ascii="Tahoma" w:hAnsi="Tahoma" w:cs="Tahoma"/>
          <w:sz w:val="18"/>
          <w:szCs w:val="18"/>
          <w:lang w:val="de-DE"/>
        </w:rPr>
        <w:t xml:space="preserve"> </w:t>
      </w:r>
      <w:r w:rsidRPr="00C83DF5">
        <w:rPr>
          <w:rFonts w:ascii="Tahoma" w:hAnsi="Tahoma" w:cs="Tahoma"/>
          <w:sz w:val="18"/>
          <w:szCs w:val="18"/>
          <w:lang w:val="de-DE"/>
        </w:rPr>
        <w:t>Für SA-Ausgaben in Höhe von etwa 20.000 US-Dollar für Server und CAL gewähren wir eine Anfrage.</w:t>
      </w:r>
      <w:r w:rsidR="00E71F46" w:rsidRPr="00C83DF5">
        <w:rPr>
          <w:rFonts w:ascii="Tahoma" w:hAnsi="Tahoma" w:cs="Tahoma"/>
          <w:sz w:val="18"/>
          <w:szCs w:val="18"/>
          <w:lang w:val="de-DE"/>
        </w:rPr>
        <w:t xml:space="preserve"> </w:t>
      </w:r>
      <w:r w:rsidRPr="00C83DF5">
        <w:rPr>
          <w:rFonts w:ascii="Tahoma" w:hAnsi="Tahoma" w:cs="Tahoma"/>
          <w:sz w:val="18"/>
          <w:szCs w:val="18"/>
          <w:lang w:val="de-DE"/>
        </w:rPr>
        <w:t>Für SA-Ausgaben in Höhe von etwa 200.000 US-Dollar innerhalb der System- und Anwendungs-Pools gewähren wir eine Anfrage.</w:t>
      </w:r>
      <w:r w:rsidR="00E71F46" w:rsidRPr="00C83DF5">
        <w:rPr>
          <w:rFonts w:ascii="Tahoma" w:hAnsi="Tahoma" w:cs="Tahoma"/>
          <w:sz w:val="18"/>
          <w:szCs w:val="18"/>
          <w:lang w:val="de-DE"/>
        </w:rPr>
        <w:t xml:space="preserve"> </w:t>
      </w:r>
      <w:r w:rsidRPr="00C83DF5">
        <w:rPr>
          <w:rFonts w:ascii="Tahoma" w:hAnsi="Tahoma" w:cs="Tahoma"/>
          <w:sz w:val="18"/>
          <w:szCs w:val="18"/>
          <w:lang w:val="de-DE"/>
        </w:rPr>
        <w:t>Die folgende Tabelle enthält die ungefähren Währungsäquivalente für</w:t>
      </w:r>
      <w:r w:rsidR="0053660C">
        <w:rPr>
          <w:rFonts w:ascii="Tahoma" w:hAnsi="Tahoma" w:cs="Tahoma"/>
          <w:sz w:val="18"/>
          <w:szCs w:val="18"/>
          <w:lang w:val="de-DE"/>
        </w:rPr>
        <w:t> </w:t>
      </w:r>
      <w:r w:rsidRPr="00C83DF5">
        <w:rPr>
          <w:rFonts w:ascii="Tahoma" w:hAnsi="Tahoma" w:cs="Tahoma"/>
          <w:sz w:val="18"/>
          <w:szCs w:val="18"/>
          <w:lang w:val="de-DE"/>
        </w:rPr>
        <w:t>auf Grundlage von SA-Ausgaben gewährten Anfragen für Verträge, die nicht auf US-Dollar lauten.</w:t>
      </w:r>
      <w:r w:rsidR="00E71F46" w:rsidRPr="00C83DF5">
        <w:rPr>
          <w:rFonts w:ascii="Tahoma" w:hAnsi="Tahoma" w:cs="Tahoma"/>
          <w:sz w:val="18"/>
          <w:szCs w:val="18"/>
          <w:lang w:val="de-DE"/>
        </w:rPr>
        <w:t xml:space="preserve"> </w:t>
      </w:r>
      <w:r w:rsidRPr="00C83DF5">
        <w:rPr>
          <w:rFonts w:ascii="Tahoma" w:hAnsi="Tahoma" w:cs="Tahoma"/>
          <w:sz w:val="18"/>
          <w:szCs w:val="18"/>
          <w:lang w:val="de-DE"/>
        </w:rPr>
        <w:t>Aufgrund der Wechselkursschwankungen sind Änderungen an dieser Tabelle vorbehalten.</w:t>
      </w:r>
    </w:p>
    <w:p w:rsidR="00023FE7" w:rsidRPr="008B3D04" w:rsidRDefault="00023FE7" w:rsidP="00F42FB8">
      <w:pPr>
        <w:pStyle w:val="AppendixBodyText"/>
        <w:spacing w:after="0"/>
        <w:rPr>
          <w:rFonts w:ascii="Tahoma" w:hAnsi="Tahoma" w:cs="Tahoma"/>
          <w:sz w:val="18"/>
          <w:szCs w:val="18"/>
          <w:lang w:val="de-DE"/>
        </w:rPr>
      </w:pPr>
    </w:p>
    <w:p w:rsidR="00023FE7" w:rsidRPr="00C83DF5" w:rsidRDefault="00023FE7" w:rsidP="0053660C">
      <w:pPr>
        <w:pStyle w:val="AppendixBodyText"/>
        <w:spacing w:after="0"/>
        <w:rPr>
          <w:lang w:val="de-DE"/>
        </w:rPr>
      </w:pPr>
      <w:r w:rsidRPr="00C83DF5">
        <w:rPr>
          <w:rFonts w:ascii="Tahoma" w:hAnsi="Tahoma" w:cs="Tahoma"/>
          <w:sz w:val="18"/>
          <w:szCs w:val="18"/>
          <w:lang w:val="de-DE"/>
        </w:rPr>
        <w:t>Anfragen werden in der Software Assurance-Laufzeit auf Grundlage der Zahlungsoption zugeteilt.</w:t>
      </w:r>
      <w:r w:rsidR="00E71F46" w:rsidRPr="00C83DF5">
        <w:rPr>
          <w:rFonts w:ascii="Tahoma" w:hAnsi="Tahoma" w:cs="Tahoma"/>
          <w:sz w:val="18"/>
          <w:szCs w:val="18"/>
          <w:lang w:val="de-DE"/>
        </w:rPr>
        <w:t xml:space="preserve"> </w:t>
      </w:r>
      <w:r w:rsidRPr="00C83DF5">
        <w:rPr>
          <w:rFonts w:ascii="Tahoma" w:hAnsi="Tahoma" w:cs="Tahoma"/>
          <w:sz w:val="18"/>
          <w:szCs w:val="18"/>
          <w:lang w:val="de-DE"/>
        </w:rPr>
        <w:t>Für Verträge, die</w:t>
      </w:r>
      <w:r w:rsidR="0053660C">
        <w:rPr>
          <w:rFonts w:ascii="Tahoma" w:hAnsi="Tahoma" w:cs="Tahoma"/>
          <w:sz w:val="18"/>
          <w:szCs w:val="18"/>
          <w:lang w:val="de-DE"/>
        </w:rPr>
        <w:t> </w:t>
      </w:r>
      <w:r w:rsidRPr="00C83DF5">
        <w:rPr>
          <w:rFonts w:ascii="Tahoma" w:hAnsi="Tahoma" w:cs="Tahoma"/>
          <w:sz w:val="18"/>
          <w:szCs w:val="18"/>
          <w:lang w:val="de-DE"/>
        </w:rPr>
        <w:t>Ratenzahlungen entsprechen, werden die Anfragen während die Laufzeit gewährt. Für Verträge, die einer Einmalzahlung entsprechen, werden sie zu Beginn gewährt.</w:t>
      </w:r>
      <w:r w:rsidR="00E71F46" w:rsidRPr="00C83DF5">
        <w:rPr>
          <w:rFonts w:ascii="Tahoma" w:hAnsi="Tahoma" w:cs="Tahoma"/>
          <w:sz w:val="18"/>
          <w:szCs w:val="18"/>
          <w:lang w:val="de-DE"/>
        </w:rPr>
        <w:t xml:space="preserve"> </w:t>
      </w:r>
      <w:r w:rsidRPr="00C83DF5">
        <w:rPr>
          <w:rFonts w:ascii="Tahoma" w:hAnsi="Tahoma" w:cs="Tahoma"/>
          <w:sz w:val="18"/>
          <w:szCs w:val="18"/>
          <w:lang w:val="de-DE"/>
        </w:rPr>
        <w:t>Käufe, die nach der Anfangsbestellung getätigt werden,</w:t>
      </w:r>
      <w:r w:rsidR="0053660C">
        <w:rPr>
          <w:rFonts w:ascii="Tahoma" w:hAnsi="Tahoma" w:cs="Tahoma"/>
          <w:sz w:val="18"/>
          <w:szCs w:val="18"/>
          <w:lang w:val="de-DE"/>
        </w:rPr>
        <w:t> </w:t>
      </w:r>
      <w:r w:rsidRPr="00C83DF5">
        <w:rPr>
          <w:rFonts w:ascii="Tahoma" w:hAnsi="Tahoma" w:cs="Tahoma"/>
          <w:sz w:val="18"/>
          <w:szCs w:val="18"/>
          <w:lang w:val="de-DE"/>
        </w:rPr>
        <w:t>führen zu einer Neuberechnung der gewährten Anfragen und der jährlichen Zuteilung.</w:t>
      </w:r>
      <w:r w:rsidR="00E71F46" w:rsidRPr="00C83DF5">
        <w:rPr>
          <w:rFonts w:ascii="Tahoma" w:hAnsi="Tahoma" w:cs="Tahoma"/>
          <w:sz w:val="18"/>
          <w:szCs w:val="18"/>
          <w:lang w:val="de-DE"/>
        </w:rPr>
        <w:t xml:space="preserve"> </w:t>
      </w:r>
      <w:r w:rsidRPr="00C83DF5">
        <w:rPr>
          <w:rFonts w:ascii="Tahoma" w:hAnsi="Tahoma" w:cs="Tahoma"/>
          <w:sz w:val="18"/>
          <w:szCs w:val="18"/>
          <w:lang w:val="de-DE"/>
        </w:rPr>
        <w:t>Nicht in Anspruch</w:t>
      </w:r>
      <w:r w:rsidR="0053660C">
        <w:rPr>
          <w:rFonts w:ascii="Tahoma" w:hAnsi="Tahoma" w:cs="Tahoma"/>
          <w:sz w:val="18"/>
          <w:szCs w:val="18"/>
          <w:lang w:val="de-DE"/>
        </w:rPr>
        <w:t> </w:t>
      </w:r>
      <w:r w:rsidRPr="00C83DF5">
        <w:rPr>
          <w:rFonts w:ascii="Tahoma" w:hAnsi="Tahoma" w:cs="Tahoma"/>
          <w:sz w:val="18"/>
          <w:szCs w:val="18"/>
          <w:lang w:val="de-DE"/>
        </w:rPr>
        <w:t>genommene</w:t>
      </w:r>
      <w:r w:rsidR="0053660C">
        <w:rPr>
          <w:rFonts w:ascii="Tahoma" w:hAnsi="Tahoma" w:cs="Tahoma"/>
          <w:sz w:val="18"/>
          <w:szCs w:val="18"/>
          <w:lang w:val="de-DE"/>
        </w:rPr>
        <w:t> </w:t>
      </w:r>
      <w:r w:rsidRPr="00C83DF5">
        <w:rPr>
          <w:rFonts w:ascii="Tahoma" w:hAnsi="Tahoma" w:cs="Tahoma"/>
          <w:sz w:val="18"/>
          <w:szCs w:val="18"/>
          <w:lang w:val="de-DE"/>
        </w:rPr>
        <w:t>telefonische Supportanfragen verlieren mit Ablauf von Software Assurance ihre Gültigkeit.</w:t>
      </w:r>
      <w:r w:rsidR="00E71F46" w:rsidRPr="00C83DF5">
        <w:rPr>
          <w:rFonts w:ascii="Tahoma" w:hAnsi="Tahoma" w:cs="Tahoma"/>
          <w:sz w:val="18"/>
          <w:szCs w:val="18"/>
          <w:lang w:val="de-DE"/>
        </w:rPr>
        <w:t xml:space="preserve"> </w:t>
      </w:r>
      <w:r w:rsidRPr="00C83DF5">
        <w:rPr>
          <w:rFonts w:ascii="Tahoma" w:hAnsi="Tahoma" w:cs="Tahoma"/>
          <w:sz w:val="18"/>
          <w:szCs w:val="18"/>
          <w:lang w:val="de-DE"/>
        </w:rPr>
        <w:t>Telefonische</w:t>
      </w:r>
      <w:r w:rsidR="0053660C">
        <w:rPr>
          <w:rFonts w:ascii="Tahoma" w:hAnsi="Tahoma" w:cs="Tahoma"/>
          <w:sz w:val="18"/>
          <w:szCs w:val="18"/>
          <w:lang w:val="de-DE"/>
        </w:rPr>
        <w:t> </w:t>
      </w:r>
      <w:r w:rsidRPr="00C83DF5">
        <w:rPr>
          <w:rFonts w:ascii="Tahoma" w:hAnsi="Tahoma" w:cs="Tahoma"/>
          <w:sz w:val="18"/>
          <w:szCs w:val="18"/>
          <w:lang w:val="de-DE"/>
        </w:rPr>
        <w:t>Supportanfragen können nicht von einem Beitritt oder Vertrag auf einen anderen übertragen werden.</w:t>
      </w:r>
    </w:p>
    <w:p w:rsidR="00023FE7" w:rsidRPr="0053660C" w:rsidRDefault="00023FE7" w:rsidP="00F42FB8">
      <w:pPr>
        <w:pStyle w:val="AppendixBodyText"/>
        <w:spacing w:after="0"/>
        <w:rPr>
          <w:rFonts w:ascii="Tahoma" w:hAnsi="Tahoma" w:cs="Tahoma"/>
          <w:sz w:val="18"/>
          <w:szCs w:val="18"/>
          <w:lang w:val="de-DE"/>
        </w:rPr>
      </w:pPr>
    </w:p>
    <w:p w:rsidR="00023FE7" w:rsidRPr="00C83DF5" w:rsidRDefault="00023FE7" w:rsidP="00EC7761">
      <w:pPr>
        <w:pStyle w:val="AppendixBodyText"/>
        <w:spacing w:after="0"/>
        <w:rPr>
          <w:lang w:val="de-DE"/>
        </w:rPr>
      </w:pPr>
      <w:r w:rsidRPr="00C83DF5">
        <w:rPr>
          <w:rFonts w:ascii="Tahoma" w:hAnsi="Tahoma" w:cs="Tahoma"/>
          <w:sz w:val="18"/>
          <w:szCs w:val="18"/>
          <w:lang w:val="de-DE"/>
        </w:rPr>
        <w:t>Zugang zum lokalen telefonischen Support steht während der Geschäftszeiten*</w:t>
      </w:r>
      <w:r w:rsidRPr="00C83DF5">
        <w:rPr>
          <w:rFonts w:ascii="Tahoma" w:hAnsi="Tahoma" w:cs="Tahoma"/>
          <w:sz w:val="18"/>
          <w:szCs w:val="18"/>
          <w:vertAlign w:val="superscript"/>
          <w:lang w:val="de-DE"/>
        </w:rPr>
        <w:t>(1)</w:t>
      </w:r>
      <w:r w:rsidRPr="00C83DF5">
        <w:rPr>
          <w:rFonts w:ascii="Tahoma" w:hAnsi="Tahoma" w:cs="Tahoma"/>
          <w:sz w:val="18"/>
          <w:szCs w:val="18"/>
          <w:lang w:val="de-DE"/>
        </w:rPr>
        <w:t xml:space="preserve"> zur Verfügung.</w:t>
      </w:r>
      <w:r w:rsidR="00E71F46" w:rsidRPr="00C83DF5">
        <w:rPr>
          <w:rFonts w:ascii="Tahoma" w:hAnsi="Tahoma" w:cs="Tahoma"/>
          <w:sz w:val="18"/>
          <w:szCs w:val="18"/>
          <w:lang w:val="de-DE"/>
        </w:rPr>
        <w:t xml:space="preserve"> </w:t>
      </w:r>
      <w:r w:rsidRPr="00C83DF5">
        <w:rPr>
          <w:rFonts w:ascii="Tahoma" w:hAnsi="Tahoma" w:cs="Tahoma"/>
          <w:sz w:val="18"/>
          <w:szCs w:val="18"/>
          <w:lang w:val="de-DE"/>
        </w:rPr>
        <w:t>Telefonischer Support nach den Geschäftszeiten kann über regionale und internationale Support Center geleistet werden.</w:t>
      </w:r>
      <w:r w:rsidR="00E71F46" w:rsidRPr="00C83DF5">
        <w:rPr>
          <w:rFonts w:ascii="Tahoma" w:hAnsi="Tahoma" w:cs="Tahoma"/>
          <w:sz w:val="18"/>
          <w:szCs w:val="18"/>
          <w:lang w:val="de-DE"/>
        </w:rPr>
        <w:t xml:space="preserve"> </w:t>
      </w:r>
      <w:r w:rsidRPr="00C83DF5">
        <w:rPr>
          <w:rFonts w:ascii="Tahoma" w:hAnsi="Tahoma" w:cs="Tahoma"/>
          <w:sz w:val="18"/>
          <w:szCs w:val="18"/>
          <w:lang w:val="de-DE"/>
        </w:rPr>
        <w:t>Telefonischer Support nach den Geschäftszeiten kann nur zur Veranlassung geschäftskritischer Supportanfragen genutzt werden.</w:t>
      </w:r>
      <w:r w:rsidR="00E71F46" w:rsidRPr="00C83DF5">
        <w:rPr>
          <w:rFonts w:ascii="Tahoma" w:hAnsi="Tahoma" w:cs="Tahoma"/>
          <w:sz w:val="18"/>
          <w:szCs w:val="18"/>
          <w:lang w:val="de-DE"/>
        </w:rPr>
        <w:t xml:space="preserve"> </w:t>
      </w:r>
      <w:r w:rsidRPr="00C83DF5">
        <w:rPr>
          <w:rFonts w:ascii="Tahoma" w:hAnsi="Tahoma" w:cs="Tahoma"/>
          <w:sz w:val="18"/>
          <w:szCs w:val="18"/>
          <w:lang w:val="de-DE"/>
        </w:rPr>
        <w:t>Die Geschäftszeiten sind von der jeweiligen Region abhängig. Die Microsoft-Kundenvertreter können</w:t>
      </w:r>
      <w:r w:rsidR="00EC7761">
        <w:rPr>
          <w:rFonts w:ascii="Tahoma" w:hAnsi="Tahoma" w:cs="Tahoma"/>
          <w:sz w:val="18"/>
          <w:szCs w:val="18"/>
          <w:lang w:val="de-DE"/>
        </w:rPr>
        <w:t> </w:t>
      </w:r>
      <w:r w:rsidRPr="00C83DF5">
        <w:rPr>
          <w:rFonts w:ascii="Tahoma" w:hAnsi="Tahoma" w:cs="Tahoma"/>
          <w:sz w:val="18"/>
          <w:szCs w:val="18"/>
          <w:lang w:val="de-DE"/>
        </w:rPr>
        <w:t>den Kunden die für die jeweilige Region oder das jeweilige Land festgelegten Geschäftszeiten mitteilen.</w:t>
      </w:r>
      <w:r w:rsidR="00E71F46" w:rsidRPr="00C83DF5">
        <w:rPr>
          <w:rFonts w:ascii="Tahoma" w:hAnsi="Tahoma" w:cs="Tahoma"/>
          <w:sz w:val="18"/>
          <w:szCs w:val="18"/>
          <w:lang w:val="de-DE"/>
        </w:rPr>
        <w:t xml:space="preserve"> </w:t>
      </w:r>
      <w:r w:rsidRPr="00C83DF5">
        <w:rPr>
          <w:rFonts w:ascii="Tahoma" w:hAnsi="Tahoma" w:cs="Tahoma"/>
          <w:sz w:val="18"/>
          <w:szCs w:val="18"/>
          <w:lang w:val="de-DE"/>
        </w:rPr>
        <w:t xml:space="preserve">Telefonischer Support wird nicht in allen Regionen in allen Sprachen angeboten. </w:t>
      </w:r>
    </w:p>
    <w:p w:rsidR="00023FE7" w:rsidRPr="00C83DF5" w:rsidRDefault="00023FE7" w:rsidP="00077CE5">
      <w:pPr>
        <w:pStyle w:val="AppendixBodyText"/>
        <w:spacing w:after="0"/>
        <w:rPr>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046"/>
      </w:tblGrid>
      <w:tr w:rsidR="00023FE7" w:rsidRPr="004D388E" w:rsidTr="00913CBF">
        <w:trPr>
          <w:cantSplit/>
          <w:trHeight w:val="20"/>
        </w:trPr>
        <w:tc>
          <w:tcPr>
            <w:tcW w:w="5675"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83DF5" w:rsidRDefault="00023FE7">
            <w:pPr>
              <w:pStyle w:val="AppendixBodyText"/>
              <w:rPr>
                <w:rFonts w:ascii="Tahoma" w:hAnsi="Tahoma" w:cs="Tahoma"/>
                <w:b/>
                <w:bCs/>
                <w:vertAlign w:val="superscript"/>
                <w:lang w:val="de-DE"/>
              </w:rPr>
            </w:pPr>
            <w:r w:rsidRPr="00C83DF5">
              <w:rPr>
                <w:rFonts w:ascii="Tahoma" w:hAnsi="Tahoma" w:cs="Tahoma"/>
                <w:b/>
                <w:bCs/>
                <w:lang w:val="de-DE"/>
              </w:rPr>
              <w:lastRenderedPageBreak/>
              <w:t>*(1) Geschäftszeiten in Abhängigkeit von der Region</w:t>
            </w:r>
          </w:p>
        </w:tc>
      </w:tr>
      <w:tr w:rsidR="00023FE7" w:rsidRPr="00C83DF5" w:rsidTr="00913CBF">
        <w:trPr>
          <w:cantSplit/>
          <w:trHeight w:val="20"/>
        </w:trPr>
        <w:tc>
          <w:tcPr>
            <w:tcW w:w="2629" w:type="dxa"/>
            <w:tcBorders>
              <w:top w:val="single" w:sz="8" w:space="0" w:color="auto"/>
            </w:tcBorders>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Nord-, Mittel- und Südamerika</w:t>
            </w:r>
          </w:p>
        </w:tc>
        <w:tc>
          <w:tcPr>
            <w:tcW w:w="3046" w:type="dxa"/>
            <w:tcBorders>
              <w:top w:val="single" w:sz="8" w:space="0" w:color="auto"/>
            </w:tcBorders>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Mo. – Fr., 6:00 – 18:00 Uhr (PST)</w:t>
            </w:r>
          </w:p>
        </w:tc>
      </w:tr>
      <w:tr w:rsidR="00023FE7" w:rsidRPr="00C83DF5" w:rsidTr="00913CBF">
        <w:trPr>
          <w:cantSplit/>
          <w:trHeight w:val="20"/>
        </w:trPr>
        <w:tc>
          <w:tcPr>
            <w:tcW w:w="2629" w:type="dxa"/>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EMEA</w:t>
            </w:r>
          </w:p>
        </w:tc>
        <w:tc>
          <w:tcPr>
            <w:tcW w:w="3046" w:type="dxa"/>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Mo. – Fr., 8:00 – 18:00 Uhr (GMT)</w:t>
            </w:r>
          </w:p>
        </w:tc>
      </w:tr>
      <w:tr w:rsidR="00023FE7" w:rsidRPr="00C83DF5" w:rsidTr="00913CBF">
        <w:trPr>
          <w:cantSplit/>
          <w:trHeight w:val="20"/>
        </w:trPr>
        <w:tc>
          <w:tcPr>
            <w:tcW w:w="2629" w:type="dxa"/>
          </w:tcPr>
          <w:p w:rsidR="00023FE7" w:rsidRPr="00C83DF5" w:rsidRDefault="00C67DDA" w:rsidP="00C67DDA">
            <w:pPr>
              <w:pStyle w:val="AppendixBodyText"/>
              <w:rPr>
                <w:rFonts w:ascii="Tahoma" w:hAnsi="Tahoma" w:cs="Tahoma"/>
                <w:sz w:val="18"/>
                <w:szCs w:val="18"/>
              </w:rPr>
            </w:pPr>
            <w:r>
              <w:rPr>
                <w:rFonts w:ascii="Tahoma" w:hAnsi="Tahoma" w:cs="Tahoma"/>
                <w:sz w:val="18"/>
                <w:szCs w:val="18"/>
              </w:rPr>
              <w:t>Australien</w:t>
            </w:r>
            <w:r w:rsidR="00023FE7" w:rsidRPr="00C83DF5">
              <w:rPr>
                <w:rFonts w:ascii="Tahoma" w:hAnsi="Tahoma" w:cs="Tahoma"/>
                <w:sz w:val="18"/>
                <w:szCs w:val="18"/>
              </w:rPr>
              <w:t>/Neuseeland</w:t>
            </w:r>
          </w:p>
        </w:tc>
        <w:tc>
          <w:tcPr>
            <w:tcW w:w="3046" w:type="dxa"/>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Mo. – Fr., 7:00</w:t>
            </w:r>
            <w:r w:rsidR="00C3477B" w:rsidRPr="00C83DF5">
              <w:rPr>
                <w:rFonts w:ascii="Tahoma" w:hAnsi="Tahoma" w:cs="Tahoma"/>
                <w:sz w:val="18"/>
                <w:szCs w:val="18"/>
              </w:rPr>
              <w:t xml:space="preserve"> – </w:t>
            </w:r>
            <w:r w:rsidRPr="00C83DF5">
              <w:rPr>
                <w:rFonts w:ascii="Tahoma" w:hAnsi="Tahoma" w:cs="Tahoma"/>
                <w:sz w:val="18"/>
                <w:szCs w:val="18"/>
              </w:rPr>
              <w:t>18:00 (PST)</w:t>
            </w:r>
          </w:p>
        </w:tc>
      </w:tr>
      <w:tr w:rsidR="00023FE7" w:rsidRPr="00C83DF5" w:rsidTr="00913CBF">
        <w:trPr>
          <w:cantSplit/>
          <w:trHeight w:val="20"/>
        </w:trPr>
        <w:tc>
          <w:tcPr>
            <w:tcW w:w="2629" w:type="dxa"/>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Japan</w:t>
            </w:r>
          </w:p>
        </w:tc>
        <w:tc>
          <w:tcPr>
            <w:tcW w:w="3046" w:type="dxa"/>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Mo. – Fr., 9:30 – 19:00 Uhr</w:t>
            </w:r>
          </w:p>
        </w:tc>
      </w:tr>
      <w:tr w:rsidR="00023FE7" w:rsidRPr="00C83DF5" w:rsidTr="00913CBF">
        <w:trPr>
          <w:cantSplit/>
          <w:trHeight w:val="20"/>
        </w:trPr>
        <w:tc>
          <w:tcPr>
            <w:tcW w:w="2629" w:type="dxa"/>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Asien</w:t>
            </w:r>
          </w:p>
        </w:tc>
        <w:tc>
          <w:tcPr>
            <w:tcW w:w="3046" w:type="dxa"/>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Mo. – Fr., 9:00 – 18:00 Uhr (PST)</w:t>
            </w:r>
          </w:p>
        </w:tc>
      </w:tr>
    </w:tbl>
    <w:p w:rsidR="0034219A" w:rsidRPr="00C67DDA" w:rsidRDefault="0034219A" w:rsidP="00F42FB8">
      <w:pPr>
        <w:rPr>
          <w:rFonts w:cs="Tahoma"/>
          <w:sz w:val="20"/>
          <w:szCs w:val="20"/>
        </w:rPr>
      </w:pPr>
      <w:bookmarkStart w:id="731" w:name="_Toc240899164"/>
    </w:p>
    <w:p w:rsidR="00023FE7" w:rsidRPr="00C83DF5" w:rsidRDefault="00023FE7" w:rsidP="00DA2788">
      <w:pPr>
        <w:spacing w:after="60"/>
      </w:pPr>
      <w:r w:rsidRPr="00C83DF5">
        <w:rPr>
          <w:rFonts w:cs="Tahoma"/>
          <w:b/>
          <w:szCs w:val="20"/>
        </w:rPr>
        <w:t>Web-basierte Anfragen</w:t>
      </w:r>
      <w:bookmarkEnd w:id="731"/>
      <w:r w:rsidRPr="00C83DF5">
        <w:rPr>
          <w:rFonts w:cs="Tahoma"/>
          <w:b/>
          <w:szCs w:val="20"/>
        </w:rPr>
        <w:t xml:space="preserve"> </w:t>
      </w:r>
    </w:p>
    <w:p w:rsidR="00023FE7" w:rsidRPr="00C83DF5" w:rsidRDefault="00023FE7" w:rsidP="00C67DDA">
      <w:pPr>
        <w:pStyle w:val="AppendixBodyText"/>
        <w:spacing w:after="0"/>
        <w:rPr>
          <w:lang w:val="de-DE"/>
        </w:rPr>
      </w:pPr>
      <w:r w:rsidRPr="00B525B3">
        <w:rPr>
          <w:rFonts w:ascii="Tahoma" w:hAnsi="Tahoma" w:cs="Tahoma"/>
          <w:sz w:val="18"/>
          <w:szCs w:val="18"/>
          <w:lang w:val="de-DE"/>
        </w:rPr>
        <w:t xml:space="preserve">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t>
      </w:r>
      <w:r w:rsidR="00C67DDA" w:rsidRPr="00B525B3">
        <w:rPr>
          <w:rFonts w:ascii="Tahoma" w:hAnsi="Tahoma" w:cs="Tahoma"/>
          <w:sz w:val="18"/>
          <w:szCs w:val="18"/>
          <w:lang w:val="de-DE"/>
        </w:rPr>
        <w:br/>
      </w:r>
      <w:r w:rsidRPr="00B525B3">
        <w:rPr>
          <w:rFonts w:ascii="Tahoma" w:hAnsi="Tahoma" w:cs="Tahoma"/>
          <w:sz w:val="18"/>
          <w:szCs w:val="18"/>
          <w:lang w:val="de-DE"/>
        </w:rPr>
        <w:t>Web-basierten Problembehebungssupport-Services.</w:t>
      </w:r>
      <w:r w:rsidR="00E71F46" w:rsidRPr="00B525B3">
        <w:rPr>
          <w:rFonts w:ascii="Tahoma" w:hAnsi="Tahoma" w:cs="Tahoma"/>
          <w:sz w:val="18"/>
          <w:szCs w:val="18"/>
          <w:lang w:val="de-DE"/>
        </w:rPr>
        <w:t xml:space="preserve"> </w:t>
      </w:r>
      <w:r w:rsidRPr="00C83DF5">
        <w:rPr>
          <w:rFonts w:ascii="Tahoma" w:hAnsi="Tahoma" w:cs="Tahoma"/>
          <w:sz w:val="18"/>
          <w:szCs w:val="18"/>
          <w:lang w:val="de-DE"/>
        </w:rPr>
        <w:t>Der Zugang zu Websites des elektronischen Supports steht</w:t>
      </w:r>
      <w:r w:rsidR="00C67DDA">
        <w:rPr>
          <w:rFonts w:ascii="Tahoma" w:hAnsi="Tahoma" w:cs="Tahoma"/>
          <w:sz w:val="18"/>
          <w:szCs w:val="18"/>
          <w:lang w:val="de-DE"/>
        </w:rPr>
        <w:t> </w:t>
      </w:r>
      <w:r w:rsidRPr="00C83DF5">
        <w:rPr>
          <w:rFonts w:ascii="Tahoma" w:hAnsi="Tahoma" w:cs="Tahoma"/>
          <w:sz w:val="18"/>
          <w:szCs w:val="18"/>
          <w:lang w:val="de-DE"/>
        </w:rPr>
        <w:t>24</w:t>
      </w:r>
      <w:r w:rsidR="00C67DDA">
        <w:rPr>
          <w:rFonts w:ascii="Tahoma" w:hAnsi="Tahoma" w:cs="Tahoma"/>
          <w:sz w:val="18"/>
          <w:szCs w:val="18"/>
          <w:lang w:val="de-DE"/>
        </w:rPr>
        <w:t> </w:t>
      </w:r>
      <w:r w:rsidRPr="00C83DF5">
        <w:rPr>
          <w:rFonts w:ascii="Tahoma" w:hAnsi="Tahoma" w:cs="Tahoma"/>
          <w:sz w:val="18"/>
          <w:szCs w:val="18"/>
          <w:lang w:val="de-DE"/>
        </w:rPr>
        <w:t>Stunden am Tag und sieben Tage die Woche zur Verfügung. Antworten erfolgen jedoch während der</w:t>
      </w:r>
      <w:r w:rsidR="00C67DDA">
        <w:rPr>
          <w:rFonts w:ascii="Tahoma" w:hAnsi="Tahoma" w:cs="Tahoma"/>
          <w:sz w:val="18"/>
          <w:szCs w:val="18"/>
          <w:lang w:val="de-DE"/>
        </w:rPr>
        <w:t> </w:t>
      </w:r>
      <w:r w:rsidRPr="00C83DF5">
        <w:rPr>
          <w:rFonts w:ascii="Tahoma" w:hAnsi="Tahoma" w:cs="Tahoma"/>
          <w:sz w:val="18"/>
          <w:szCs w:val="18"/>
          <w:lang w:val="de-DE"/>
        </w:rPr>
        <w:t>Geschäftszeiten.</w:t>
      </w:r>
      <w:r w:rsidR="00E71F46" w:rsidRPr="00C83DF5">
        <w:rPr>
          <w:rFonts w:ascii="Tahoma" w:hAnsi="Tahoma" w:cs="Tahoma"/>
          <w:sz w:val="18"/>
          <w:szCs w:val="18"/>
          <w:lang w:val="de-DE"/>
        </w:rPr>
        <w:t xml:space="preserve"> </w:t>
      </w:r>
      <w:r w:rsidRPr="00C83DF5">
        <w:rPr>
          <w:rFonts w:ascii="Tahoma" w:hAnsi="Tahoma" w:cs="Tahoma"/>
          <w:sz w:val="18"/>
          <w:szCs w:val="18"/>
          <w:lang w:val="de-DE"/>
        </w:rPr>
        <w:t>Daher sollten Anfragen in geschäftskritischen Situationen, die unmittelbare Hilfe erfordern, nicht</w:t>
      </w:r>
      <w:r w:rsidR="00C67DDA">
        <w:rPr>
          <w:rFonts w:ascii="Tahoma" w:hAnsi="Tahoma" w:cs="Tahoma"/>
          <w:sz w:val="18"/>
          <w:szCs w:val="18"/>
          <w:lang w:val="de-DE"/>
        </w:rPr>
        <w:t> </w:t>
      </w:r>
      <w:r w:rsidRPr="00C83DF5">
        <w:rPr>
          <w:rFonts w:ascii="Tahoma" w:hAnsi="Tahoma" w:cs="Tahoma"/>
          <w:sz w:val="18"/>
          <w:szCs w:val="18"/>
          <w:lang w:val="de-DE"/>
        </w:rPr>
        <w:t>Web-basiert gemeldet werden. Nutzen Sie die obige Tabelle zu den Geschäftszeiten in Abhängigkeit von der</w:t>
      </w:r>
      <w:r w:rsidR="00C67DDA">
        <w:rPr>
          <w:rFonts w:ascii="Tahoma" w:hAnsi="Tahoma" w:cs="Tahoma"/>
          <w:sz w:val="18"/>
          <w:szCs w:val="18"/>
          <w:lang w:val="de-DE"/>
        </w:rPr>
        <w:t> </w:t>
      </w:r>
      <w:r w:rsidRPr="00C83DF5">
        <w:rPr>
          <w:rFonts w:ascii="Tahoma" w:hAnsi="Tahoma" w:cs="Tahoma"/>
          <w:sz w:val="18"/>
          <w:szCs w:val="18"/>
          <w:lang w:val="de-DE"/>
        </w:rPr>
        <w:t>Region im obigen Abschnitt „Gewährung von telefonischen Supportanfragen“.</w:t>
      </w:r>
    </w:p>
    <w:p w:rsidR="00023FE7" w:rsidRPr="008B3D04" w:rsidRDefault="00023FE7" w:rsidP="00F42FB8">
      <w:pPr>
        <w:pStyle w:val="AppendixBodyText"/>
        <w:spacing w:after="0"/>
        <w:rPr>
          <w:rFonts w:ascii="Tahoma" w:hAnsi="Tahoma" w:cs="Tahoma"/>
          <w:sz w:val="18"/>
          <w:szCs w:val="18"/>
          <w:lang w:val="de-DE"/>
        </w:rPr>
      </w:pPr>
    </w:p>
    <w:p w:rsidR="00023FE7" w:rsidRPr="00C83DF5" w:rsidRDefault="00023FE7" w:rsidP="00C67DDA">
      <w:pPr>
        <w:pStyle w:val="AppendixBodyText"/>
        <w:spacing w:after="0"/>
        <w:rPr>
          <w:lang w:val="de-DE"/>
        </w:rPr>
      </w:pPr>
      <w:r w:rsidRPr="00C83DF5">
        <w:rPr>
          <w:rFonts w:ascii="Tahoma" w:hAnsi="Tahoma" w:cs="Tahoma"/>
          <w:sz w:val="18"/>
          <w:szCs w:val="18"/>
          <w:lang w:val="de-DE"/>
        </w:rPr>
        <w:t>Telefonisch gemeldete Anfragen werden nach Behebung mit den verfügbaren telefonischen Supportanfragen verrechnet.</w:t>
      </w:r>
      <w:r w:rsidR="00E71F46" w:rsidRPr="00C83DF5">
        <w:rPr>
          <w:rFonts w:ascii="Tahoma" w:hAnsi="Tahoma" w:cs="Tahoma"/>
          <w:sz w:val="18"/>
          <w:szCs w:val="18"/>
          <w:lang w:val="de-DE"/>
        </w:rPr>
        <w:t xml:space="preserve"> </w:t>
      </w:r>
      <w:r w:rsidRPr="00C83DF5">
        <w:rPr>
          <w:rFonts w:ascii="Tahoma" w:hAnsi="Tahoma" w:cs="Tahoma"/>
          <w:sz w:val="18"/>
          <w:szCs w:val="18"/>
          <w:lang w:val="de-DE"/>
        </w:rPr>
        <w:t>Über das Web gemeldete Anfragen erfolgen auf Bedarfsbasis und werden über das Web, per E-Mail und</w:t>
      </w:r>
      <w:r w:rsidR="00C67DDA">
        <w:rPr>
          <w:rFonts w:ascii="Tahoma" w:hAnsi="Tahoma" w:cs="Tahoma"/>
          <w:sz w:val="18"/>
          <w:szCs w:val="18"/>
          <w:lang w:val="de-DE"/>
        </w:rPr>
        <w:t> </w:t>
      </w:r>
      <w:r w:rsidRPr="00C83DF5">
        <w:rPr>
          <w:rFonts w:ascii="Tahoma" w:hAnsi="Tahoma" w:cs="Tahoma"/>
          <w:sz w:val="18"/>
          <w:szCs w:val="18"/>
          <w:lang w:val="de-DE"/>
        </w:rPr>
        <w:t>mithilfe anderer elektronischer Mittel vorgenommen.</w:t>
      </w:r>
      <w:r w:rsidR="00E71F46" w:rsidRPr="00C83DF5">
        <w:rPr>
          <w:rFonts w:ascii="Tahoma" w:hAnsi="Tahoma" w:cs="Tahoma"/>
          <w:sz w:val="18"/>
          <w:szCs w:val="18"/>
          <w:lang w:val="de-DE"/>
        </w:rPr>
        <w:t xml:space="preserve"> </w:t>
      </w:r>
      <w:r w:rsidRPr="00C83DF5">
        <w:rPr>
          <w:rFonts w:ascii="Tahoma" w:hAnsi="Tahoma" w:cs="Tahoma"/>
          <w:sz w:val="18"/>
          <w:szCs w:val="18"/>
          <w:lang w:val="de-DE"/>
        </w:rPr>
        <w:t>Über das Web gemeldete Anfragen, die anschließend vom</w:t>
      </w:r>
      <w:r w:rsidR="00C67DDA">
        <w:rPr>
          <w:rFonts w:ascii="Tahoma" w:hAnsi="Tahoma" w:cs="Tahoma"/>
          <w:sz w:val="18"/>
          <w:szCs w:val="18"/>
          <w:lang w:val="de-DE"/>
        </w:rPr>
        <w:t> </w:t>
      </w:r>
      <w:r w:rsidRPr="00C83DF5">
        <w:rPr>
          <w:rFonts w:ascii="Tahoma" w:hAnsi="Tahoma" w:cs="Tahoma"/>
          <w:sz w:val="18"/>
          <w:szCs w:val="18"/>
          <w:lang w:val="de-DE"/>
        </w:rPr>
        <w:t>Kunden in eine telefonische Behebung umgewandelt werden, werden nach Behebung mit den verfügbaren telefonischen Supportanfragen verrechnet.</w:t>
      </w:r>
      <w:r w:rsidR="00E71F46" w:rsidRPr="00C83DF5">
        <w:rPr>
          <w:rFonts w:ascii="Tahoma" w:hAnsi="Tahoma" w:cs="Tahoma"/>
          <w:sz w:val="18"/>
          <w:szCs w:val="18"/>
          <w:lang w:val="de-DE"/>
        </w:rPr>
        <w:t xml:space="preserve"> </w:t>
      </w:r>
      <w:r w:rsidRPr="00C83DF5">
        <w:rPr>
          <w:rFonts w:ascii="Tahoma" w:hAnsi="Tahoma" w:cs="Tahoma"/>
          <w:sz w:val="18"/>
          <w:szCs w:val="18"/>
          <w:lang w:val="de-DE"/>
        </w:rPr>
        <w:t>Über das Web gemeldete Anfragen, die anschließend von Microsoft telefonisch bearbeitet werden, werden nicht mit den verfügbaren telefonischen Supportanfragen verrechnet, wenn</w:t>
      </w:r>
      <w:r w:rsidR="00C67DDA">
        <w:rPr>
          <w:rFonts w:ascii="Tahoma" w:hAnsi="Tahoma" w:cs="Tahoma"/>
          <w:sz w:val="18"/>
          <w:szCs w:val="18"/>
          <w:lang w:val="de-DE"/>
        </w:rPr>
        <w:t> </w:t>
      </w:r>
      <w:r w:rsidRPr="00C83DF5">
        <w:rPr>
          <w:rFonts w:ascii="Tahoma" w:hAnsi="Tahoma" w:cs="Tahoma"/>
          <w:sz w:val="18"/>
          <w:szCs w:val="18"/>
          <w:lang w:val="de-DE"/>
        </w:rPr>
        <w:t>die Behebung im Web, per E-Mail und mit anderen elektronischen Mitteln fortgesetzt wird.</w:t>
      </w:r>
      <w:r w:rsidR="00E71F46" w:rsidRPr="00C83DF5">
        <w:rPr>
          <w:rFonts w:ascii="Tahoma" w:hAnsi="Tahoma" w:cs="Tahoma"/>
          <w:sz w:val="18"/>
          <w:szCs w:val="18"/>
          <w:lang w:val="de-DE"/>
        </w:rPr>
        <w:t xml:space="preserve"> </w:t>
      </w:r>
    </w:p>
    <w:p w:rsidR="00023FE7" w:rsidRPr="00C01202" w:rsidRDefault="00023FE7" w:rsidP="00F42FB8">
      <w:pPr>
        <w:pStyle w:val="AppendixBodyText"/>
        <w:spacing w:after="0"/>
        <w:rPr>
          <w:rFonts w:ascii="Tahoma" w:hAnsi="Tahoma" w:cs="Tahoma"/>
          <w:sz w:val="18"/>
          <w:szCs w:val="18"/>
          <w:lang w:val="de-DE"/>
        </w:rPr>
      </w:pPr>
    </w:p>
    <w:p w:rsidR="00023FE7" w:rsidRPr="00C83DF5" w:rsidRDefault="00023FE7" w:rsidP="00F42FB8">
      <w:pPr>
        <w:pStyle w:val="AppendixBodyText"/>
        <w:spacing w:after="0"/>
        <w:rPr>
          <w:lang w:val="de-DE"/>
        </w:rPr>
      </w:pPr>
      <w:r w:rsidRPr="00C83DF5">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023FE7" w:rsidRPr="008B3D04" w:rsidRDefault="00023FE7" w:rsidP="00F42FB8">
      <w:pPr>
        <w:pStyle w:val="AppendixBodyText"/>
        <w:spacing w:after="0"/>
        <w:rPr>
          <w:rFonts w:ascii="Tahoma" w:hAnsi="Tahoma" w:cs="Tahoma"/>
          <w:sz w:val="18"/>
          <w:szCs w:val="18"/>
          <w:lang w:val="de-DE"/>
        </w:rPr>
      </w:pPr>
    </w:p>
    <w:p w:rsidR="00023FE7" w:rsidRPr="00C83DF5" w:rsidRDefault="00023FE7" w:rsidP="00F42FB8">
      <w:pPr>
        <w:pStyle w:val="AppendixBodyText"/>
        <w:spacing w:after="0"/>
        <w:rPr>
          <w:lang w:val="de-DE"/>
        </w:rPr>
      </w:pPr>
      <w:r w:rsidRPr="00C83DF5">
        <w:rPr>
          <w:rFonts w:ascii="Tahoma" w:hAnsi="Tahoma" w:cs="Tahoma"/>
          <w:sz w:val="18"/>
          <w:szCs w:val="18"/>
          <w:lang w:val="de-DE"/>
        </w:rPr>
        <w:t>Web-basierte Supportanfragen können nicht von einer Lizenz auf eine andere übertragen werden.</w:t>
      </w:r>
      <w:r w:rsidR="00E71F46" w:rsidRPr="00C83DF5">
        <w:rPr>
          <w:rFonts w:ascii="Tahoma" w:hAnsi="Tahoma" w:cs="Tahoma"/>
          <w:sz w:val="18"/>
          <w:szCs w:val="18"/>
          <w:lang w:val="de-DE"/>
        </w:rPr>
        <w:t xml:space="preserve"> </w:t>
      </w:r>
      <w:r w:rsidRPr="00C83DF5">
        <w:rPr>
          <w:rFonts w:ascii="Tahoma" w:hAnsi="Tahoma" w:cs="Tahoma"/>
          <w:sz w:val="18"/>
          <w:szCs w:val="18"/>
          <w:lang w:val="de-DE"/>
        </w:rPr>
        <w:t>Weitere Informationen zur Zuweisung oder Neuzuweisung von Lizenzen für physische Server finden Sie in den Produktbenutzungsrechten.</w:t>
      </w:r>
    </w:p>
    <w:p w:rsidR="00697E59" w:rsidRPr="008B3D04" w:rsidRDefault="00697E59" w:rsidP="00C67DDA">
      <w:pPr>
        <w:pStyle w:val="AppendixBodyText"/>
        <w:spacing w:after="0"/>
        <w:rPr>
          <w:rFonts w:ascii="Tahoma" w:hAnsi="Tahoma" w:cs="Tahoma"/>
          <w:sz w:val="18"/>
          <w:szCs w:val="18"/>
          <w:lang w:val="de-DE"/>
        </w:rPr>
      </w:pPr>
      <w:bookmarkStart w:id="732" w:name="_Toc240899165"/>
    </w:p>
    <w:p w:rsidR="00023FE7" w:rsidRPr="00C83DF5" w:rsidRDefault="00023FE7" w:rsidP="00F93617">
      <w:pPr>
        <w:spacing w:after="60"/>
        <w:rPr>
          <w:lang w:val="de-DE"/>
        </w:rPr>
      </w:pPr>
      <w:r w:rsidRPr="00C83DF5">
        <w:rPr>
          <w:rFonts w:cs="Tahoma"/>
          <w:b/>
          <w:szCs w:val="20"/>
          <w:lang w:val="de-DE"/>
        </w:rPr>
        <w:t>Supportkontakte</w:t>
      </w:r>
      <w:bookmarkEnd w:id="732"/>
    </w:p>
    <w:p w:rsidR="00023FE7" w:rsidRPr="00C83DF5" w:rsidRDefault="00023FE7" w:rsidP="00C01202">
      <w:pPr>
        <w:pStyle w:val="AppendixBodyText"/>
        <w:spacing w:after="0"/>
        <w:rPr>
          <w:lang w:val="de-DE"/>
        </w:rPr>
      </w:pPr>
      <w:r w:rsidRPr="00C83DF5">
        <w:rPr>
          <w:rFonts w:ascii="Tahoma" w:hAnsi="Tahoma" w:cs="Tahoma"/>
          <w:sz w:val="18"/>
          <w:szCs w:val="18"/>
          <w:lang w:val="de-DE"/>
        </w:rPr>
        <w:t>Die Anzahl der zulässigen Supportkontakte variiert je nach Volumenlizenzprogramm und Anzahl der durch Software</w:t>
      </w:r>
      <w:r w:rsidR="00C01202">
        <w:rPr>
          <w:rFonts w:ascii="Tahoma" w:hAnsi="Tahoma" w:cs="Tahoma"/>
          <w:sz w:val="18"/>
          <w:szCs w:val="18"/>
          <w:lang w:val="de-DE"/>
        </w:rPr>
        <w:t> </w:t>
      </w:r>
      <w:r w:rsidRPr="00C83DF5">
        <w:rPr>
          <w:rFonts w:ascii="Tahoma" w:hAnsi="Tahoma" w:cs="Tahoma"/>
          <w:sz w:val="18"/>
          <w:szCs w:val="18"/>
          <w:lang w:val="de-DE"/>
        </w:rPr>
        <w:t>Assurance abgedeckten Lizenzen, wie unten dargestellt.</w:t>
      </w:r>
      <w:r w:rsidR="00E71F46" w:rsidRPr="00C83DF5">
        <w:rPr>
          <w:rFonts w:ascii="Tahoma" w:hAnsi="Tahoma" w:cs="Tahoma"/>
          <w:sz w:val="18"/>
          <w:szCs w:val="18"/>
          <w:lang w:val="de-DE"/>
        </w:rPr>
        <w:t xml:space="preserve"> </w:t>
      </w:r>
      <w:r w:rsidRPr="00C83DF5">
        <w:rPr>
          <w:rFonts w:ascii="Tahoma" w:hAnsi="Tahoma" w:cs="Tahoma"/>
          <w:sz w:val="18"/>
          <w:szCs w:val="18"/>
          <w:lang w:val="de-DE"/>
        </w:rPr>
        <w:t>Die Kontaktpersonen müssen namentlich benannt</w:t>
      </w:r>
      <w:r w:rsidR="00C01202">
        <w:rPr>
          <w:rFonts w:ascii="Tahoma" w:hAnsi="Tahoma" w:cs="Tahoma"/>
          <w:sz w:val="18"/>
          <w:szCs w:val="18"/>
          <w:lang w:val="de-DE"/>
        </w:rPr>
        <w:t> </w:t>
      </w:r>
      <w:r w:rsidRPr="00C83DF5">
        <w:rPr>
          <w:rFonts w:ascii="Tahoma" w:hAnsi="Tahoma" w:cs="Tahoma"/>
          <w:sz w:val="18"/>
          <w:szCs w:val="18"/>
          <w:lang w:val="de-DE"/>
        </w:rPr>
        <w:t>sein und können Personen außerhalb des Unternehmens des Kunden einschließen.</w:t>
      </w:r>
      <w:r w:rsidR="00E71F46" w:rsidRPr="00C83DF5">
        <w:rPr>
          <w:rFonts w:ascii="Tahoma" w:hAnsi="Tahoma" w:cs="Tahoma"/>
          <w:sz w:val="18"/>
          <w:szCs w:val="18"/>
          <w:lang w:val="de-DE"/>
        </w:rPr>
        <w:t xml:space="preserve"> </w:t>
      </w:r>
      <w:r w:rsidRPr="00C83DF5">
        <w:rPr>
          <w:rFonts w:ascii="Tahoma" w:hAnsi="Tahoma" w:cs="Tahoma"/>
          <w:sz w:val="18"/>
          <w:szCs w:val="18"/>
          <w:lang w:val="de-DE"/>
        </w:rPr>
        <w:t>Ein Unternehmen, eine</w:t>
      </w:r>
      <w:r w:rsidR="00C01202">
        <w:rPr>
          <w:rFonts w:ascii="Tahoma" w:hAnsi="Tahoma" w:cs="Tahoma"/>
          <w:sz w:val="18"/>
          <w:szCs w:val="18"/>
          <w:lang w:val="de-DE"/>
        </w:rPr>
        <w:t> </w:t>
      </w:r>
      <w:r w:rsidRPr="00C83DF5">
        <w:rPr>
          <w:rFonts w:ascii="Tahoma" w:hAnsi="Tahoma" w:cs="Tahoma"/>
          <w:sz w:val="18"/>
          <w:szCs w:val="18"/>
          <w:lang w:val="de-DE"/>
        </w:rPr>
        <w:t>Abteilung oder eine Gruppe kann jedoch nicht als Kontaktperson genannt werden.</w:t>
      </w:r>
    </w:p>
    <w:p w:rsidR="002A5CC2" w:rsidRPr="008B3D04" w:rsidRDefault="002A5CC2" w:rsidP="0033621D">
      <w:pPr>
        <w:pStyle w:val="AppendixBodyText"/>
        <w:spacing w:after="0"/>
        <w:rPr>
          <w:rFonts w:ascii="Tahoma" w:hAnsi="Tahoma" w:cs="Tahoma"/>
          <w:sz w:val="18"/>
          <w:szCs w:val="18"/>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C83DF5"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83DF5" w:rsidRDefault="00023FE7">
            <w:pPr>
              <w:pStyle w:val="AppendixBodyText"/>
              <w:rPr>
                <w:rFonts w:ascii="Tahoma" w:hAnsi="Tahoma" w:cs="Tahoma"/>
                <w:b/>
                <w:bCs/>
              </w:rPr>
            </w:pPr>
            <w:r w:rsidRPr="00C83DF5">
              <w:rPr>
                <w:rFonts w:ascii="Tahoma" w:hAnsi="Tahoma" w:cs="Tahoma"/>
                <w:b/>
                <w:bCs/>
              </w:rPr>
              <w:t>Vergünstigungen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83DF5" w:rsidRDefault="00023FE7">
            <w:pPr>
              <w:pStyle w:val="AppendixBodyText"/>
              <w:rPr>
                <w:rFonts w:ascii="Tahoma" w:hAnsi="Tahoma" w:cs="Tahoma"/>
                <w:b/>
                <w:bCs/>
              </w:rPr>
            </w:pPr>
            <w:r w:rsidRPr="00C83DF5">
              <w:rPr>
                <w:rFonts w:ascii="Tahoma" w:hAnsi="Tahoma" w:cs="Tahoma"/>
                <w:b/>
                <w:bCs/>
              </w:rPr>
              <w:t>Open-Lizenz</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83DF5" w:rsidRDefault="00023FE7" w:rsidP="007E466C">
            <w:pPr>
              <w:pStyle w:val="AppendixBodyText"/>
              <w:spacing w:before="120" w:after="120"/>
              <w:rPr>
                <w:rFonts w:ascii="Tahoma" w:hAnsi="Tahoma" w:cs="Tahoma"/>
                <w:b/>
              </w:rPr>
            </w:pPr>
            <w:r w:rsidRPr="00C83DF5">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83DF5" w:rsidRDefault="00023FE7">
            <w:pPr>
              <w:pStyle w:val="AppendixBodyText"/>
            </w:pPr>
            <w:r w:rsidRPr="00C83DF5">
              <w:rPr>
                <w:rFonts w:ascii="Tahoma" w:hAnsi="Tahoma" w:cs="Tahoma"/>
                <w:b/>
                <w:bCs/>
              </w:rPr>
              <w:t>Select-Lizenz/</w:t>
            </w:r>
            <w:r w:rsidR="0033621D">
              <w:rPr>
                <w:rFonts w:ascii="Tahoma" w:hAnsi="Tahoma" w:cs="Tahoma"/>
                <w:b/>
                <w:bCs/>
              </w:rPr>
              <w:br/>
            </w:r>
            <w:r w:rsidRPr="00C83DF5">
              <w:rPr>
                <w:rFonts w:ascii="Tahoma" w:hAnsi="Tahoma" w:cs="Tahoma"/>
                <w:b/>
                <w:bCs/>
              </w:rPr>
              <w:t>Select Plus/EA</w:t>
            </w:r>
          </w:p>
          <w:p w:rsidR="00023FE7" w:rsidRPr="00C83DF5" w:rsidRDefault="00023FE7">
            <w:pPr>
              <w:pStyle w:val="AppendixBodyText"/>
              <w:rPr>
                <w:rFonts w:ascii="Tahoma" w:hAnsi="Tahoma" w:cs="Tahoma"/>
                <w:b/>
                <w:bCs/>
              </w:rPr>
            </w:pPr>
            <w:r w:rsidRPr="00C83DF5">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83DF5" w:rsidRDefault="00023FE7">
            <w:pPr>
              <w:pStyle w:val="AppendixBodyText"/>
            </w:pPr>
            <w:r w:rsidRPr="00C83DF5">
              <w:rPr>
                <w:rFonts w:ascii="Tahoma" w:hAnsi="Tahoma" w:cs="Tahoma"/>
                <w:b/>
                <w:bCs/>
              </w:rPr>
              <w:t>Select-Lizenz/</w:t>
            </w:r>
            <w:r w:rsidR="0033621D">
              <w:rPr>
                <w:rFonts w:ascii="Tahoma" w:hAnsi="Tahoma" w:cs="Tahoma"/>
                <w:b/>
                <w:bCs/>
              </w:rPr>
              <w:br/>
            </w:r>
            <w:r w:rsidRPr="00C83DF5">
              <w:rPr>
                <w:rFonts w:ascii="Tahoma" w:hAnsi="Tahoma" w:cs="Tahoma"/>
                <w:b/>
                <w:bCs/>
              </w:rPr>
              <w:t>Select Plus/EA</w:t>
            </w:r>
          </w:p>
          <w:p w:rsidR="00023FE7" w:rsidRPr="00C83DF5" w:rsidRDefault="00023FE7">
            <w:pPr>
              <w:pStyle w:val="AppendixBodyText"/>
              <w:rPr>
                <w:rFonts w:ascii="Tahoma" w:hAnsi="Tahoma" w:cs="Tahoma"/>
                <w:b/>
                <w:bCs/>
              </w:rPr>
            </w:pPr>
            <w:r w:rsidRPr="00C83DF5">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83DF5" w:rsidRDefault="00023FE7">
            <w:pPr>
              <w:pStyle w:val="AppendixBodyText"/>
            </w:pPr>
            <w:r w:rsidRPr="00C83DF5">
              <w:rPr>
                <w:rFonts w:ascii="Tahoma" w:hAnsi="Tahoma" w:cs="Tahoma"/>
                <w:b/>
                <w:bCs/>
              </w:rPr>
              <w:t>Select-Lizenz/</w:t>
            </w:r>
            <w:r w:rsidR="0033621D">
              <w:rPr>
                <w:rFonts w:ascii="Tahoma" w:hAnsi="Tahoma" w:cs="Tahoma"/>
                <w:b/>
                <w:bCs/>
              </w:rPr>
              <w:br/>
            </w:r>
            <w:r w:rsidRPr="00C83DF5">
              <w:rPr>
                <w:rFonts w:ascii="Tahoma" w:hAnsi="Tahoma" w:cs="Tahoma"/>
                <w:b/>
                <w:bCs/>
              </w:rPr>
              <w:t>Select Plus/EA</w:t>
            </w:r>
          </w:p>
          <w:p w:rsidR="00023FE7" w:rsidRPr="00C83DF5" w:rsidRDefault="00023FE7">
            <w:pPr>
              <w:pStyle w:val="AppendixBodyText"/>
              <w:rPr>
                <w:rFonts w:ascii="Tahoma" w:hAnsi="Tahoma" w:cs="Tahoma"/>
                <w:b/>
                <w:bCs/>
              </w:rPr>
            </w:pPr>
            <w:r w:rsidRPr="00C83DF5">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83DF5" w:rsidRDefault="00023FE7">
            <w:pPr>
              <w:pStyle w:val="AppendixBodyText"/>
            </w:pPr>
            <w:r w:rsidRPr="00C83DF5">
              <w:rPr>
                <w:rFonts w:ascii="Tahoma" w:hAnsi="Tahoma" w:cs="Tahoma"/>
                <w:b/>
                <w:bCs/>
              </w:rPr>
              <w:t>Select-Lizenz/</w:t>
            </w:r>
            <w:r w:rsidR="0033621D">
              <w:rPr>
                <w:rFonts w:ascii="Tahoma" w:hAnsi="Tahoma" w:cs="Tahoma"/>
                <w:b/>
                <w:bCs/>
              </w:rPr>
              <w:br/>
            </w:r>
            <w:r w:rsidRPr="00C83DF5">
              <w:rPr>
                <w:rFonts w:ascii="Tahoma" w:hAnsi="Tahoma" w:cs="Tahoma"/>
                <w:b/>
                <w:bCs/>
              </w:rPr>
              <w:t>Select Plus/EA</w:t>
            </w:r>
          </w:p>
          <w:p w:rsidR="00023FE7" w:rsidRPr="00C83DF5" w:rsidRDefault="00023FE7">
            <w:pPr>
              <w:pStyle w:val="AppendixBodyText"/>
              <w:rPr>
                <w:rFonts w:ascii="Tahoma" w:hAnsi="Tahoma" w:cs="Tahoma"/>
                <w:b/>
                <w:bCs/>
              </w:rPr>
            </w:pPr>
            <w:r w:rsidRPr="00C83DF5">
              <w:rPr>
                <w:rFonts w:ascii="Tahoma" w:hAnsi="Tahoma" w:cs="Tahoma"/>
                <w:b/>
                <w:bCs/>
              </w:rPr>
              <w:t>Level D</w:t>
            </w:r>
          </w:p>
        </w:tc>
      </w:tr>
      <w:tr w:rsidR="00023FE7" w:rsidRPr="00C83DF5" w:rsidTr="002A6416">
        <w:trPr>
          <w:trHeight w:val="236"/>
        </w:trPr>
        <w:tc>
          <w:tcPr>
            <w:tcW w:w="2700" w:type="dxa"/>
            <w:vAlign w:val="center"/>
          </w:tcPr>
          <w:p w:rsidR="00023FE7" w:rsidRPr="00C83DF5" w:rsidRDefault="00023FE7" w:rsidP="0033621D">
            <w:pPr>
              <w:pStyle w:val="AppendixBodyText"/>
              <w:rPr>
                <w:rFonts w:ascii="Tahoma" w:hAnsi="Tahoma" w:cs="Tahoma"/>
                <w:sz w:val="18"/>
                <w:szCs w:val="18"/>
                <w:lang w:val="de-DE"/>
              </w:rPr>
            </w:pPr>
            <w:r w:rsidRPr="0033621D">
              <w:rPr>
                <w:rFonts w:ascii="Tahoma" w:hAnsi="Tahoma" w:cs="Tahoma"/>
                <w:sz w:val="18"/>
                <w:szCs w:val="18"/>
                <w:lang w:val="de-DE"/>
              </w:rPr>
              <w:t>Anzahl der Ko</w:t>
            </w:r>
            <w:r w:rsidRPr="00C83DF5">
              <w:rPr>
                <w:rFonts w:ascii="Tahoma" w:hAnsi="Tahoma" w:cs="Tahoma"/>
                <w:sz w:val="18"/>
                <w:szCs w:val="18"/>
                <w:lang w:val="de-DE"/>
              </w:rPr>
              <w:t>ntakte für</w:t>
            </w:r>
            <w:r w:rsidR="0033621D">
              <w:rPr>
                <w:rFonts w:ascii="Tahoma" w:hAnsi="Tahoma" w:cs="Tahoma"/>
                <w:sz w:val="18"/>
                <w:szCs w:val="18"/>
                <w:lang w:val="de-DE"/>
              </w:rPr>
              <w:t> </w:t>
            </w:r>
            <w:r w:rsidRPr="00C83DF5">
              <w:rPr>
                <w:rFonts w:ascii="Tahoma" w:hAnsi="Tahoma" w:cs="Tahoma"/>
                <w:sz w:val="18"/>
                <w:szCs w:val="18"/>
                <w:lang w:val="de-DE"/>
              </w:rPr>
              <w:t>telefonischen Problembehebungssupport</w:t>
            </w:r>
          </w:p>
        </w:tc>
        <w:tc>
          <w:tcPr>
            <w:tcW w:w="1087" w:type="dxa"/>
            <w:vAlign w:val="center"/>
          </w:tcPr>
          <w:p w:rsidR="00023FE7" w:rsidRPr="00C83DF5" w:rsidRDefault="00620185">
            <w:pPr>
              <w:pStyle w:val="AppendixBodyText"/>
              <w:rPr>
                <w:rFonts w:ascii="Tahoma" w:hAnsi="Tahoma" w:cs="Tahoma"/>
                <w:sz w:val="18"/>
                <w:szCs w:val="18"/>
              </w:rPr>
            </w:pPr>
            <w:r w:rsidRPr="00C83DF5">
              <w:rPr>
                <w:rFonts w:ascii="Tahoma" w:hAnsi="Tahoma" w:cs="Tahoma"/>
                <w:sz w:val="18"/>
                <w:szCs w:val="18"/>
              </w:rPr>
              <w:t>Nach Bedarf</w:t>
            </w:r>
          </w:p>
        </w:tc>
        <w:tc>
          <w:tcPr>
            <w:tcW w:w="108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Nach Bedarf</w:t>
            </w:r>
          </w:p>
        </w:tc>
        <w:tc>
          <w:tcPr>
            <w:tcW w:w="117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Nach Bedarf</w:t>
            </w:r>
          </w:p>
        </w:tc>
        <w:tc>
          <w:tcPr>
            <w:tcW w:w="117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Nach Bedarf</w:t>
            </w:r>
          </w:p>
        </w:tc>
        <w:tc>
          <w:tcPr>
            <w:tcW w:w="117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Nach Bedarf</w:t>
            </w:r>
          </w:p>
        </w:tc>
        <w:tc>
          <w:tcPr>
            <w:tcW w:w="117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Nach Bedarf</w:t>
            </w:r>
          </w:p>
        </w:tc>
      </w:tr>
      <w:tr w:rsidR="00023FE7" w:rsidRPr="00C83DF5" w:rsidTr="002A6416">
        <w:trPr>
          <w:trHeight w:val="236"/>
        </w:trPr>
        <w:tc>
          <w:tcPr>
            <w:tcW w:w="2700" w:type="dxa"/>
            <w:vAlign w:val="center"/>
          </w:tcPr>
          <w:p w:rsidR="00023FE7" w:rsidRPr="00C83DF5" w:rsidRDefault="00023FE7">
            <w:pPr>
              <w:pStyle w:val="AppendixBodyText"/>
              <w:rPr>
                <w:rFonts w:ascii="Tahoma" w:hAnsi="Tahoma" w:cs="Tahoma"/>
                <w:sz w:val="18"/>
                <w:szCs w:val="18"/>
                <w:lang w:val="de-DE"/>
              </w:rPr>
            </w:pPr>
            <w:r w:rsidRPr="00C83DF5">
              <w:rPr>
                <w:rFonts w:ascii="Tahoma" w:hAnsi="Tahoma" w:cs="Tahoma"/>
                <w:sz w:val="18"/>
                <w:szCs w:val="18"/>
                <w:lang w:val="de-DE"/>
              </w:rPr>
              <w:t>Anzahl der autorisierten Kontakte für Web-basierten Support</w:t>
            </w:r>
          </w:p>
        </w:tc>
        <w:tc>
          <w:tcPr>
            <w:tcW w:w="1087"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w:t>
            </w:r>
          </w:p>
        </w:tc>
        <w:tc>
          <w:tcPr>
            <w:tcW w:w="108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1</w:t>
            </w:r>
          </w:p>
        </w:tc>
        <w:tc>
          <w:tcPr>
            <w:tcW w:w="117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2</w:t>
            </w:r>
          </w:p>
        </w:tc>
        <w:tc>
          <w:tcPr>
            <w:tcW w:w="117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4</w:t>
            </w:r>
          </w:p>
        </w:tc>
        <w:tc>
          <w:tcPr>
            <w:tcW w:w="117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8</w:t>
            </w:r>
          </w:p>
        </w:tc>
        <w:tc>
          <w:tcPr>
            <w:tcW w:w="1170" w:type="dxa"/>
            <w:vAlign w:val="cente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16</w:t>
            </w:r>
          </w:p>
        </w:tc>
      </w:tr>
    </w:tbl>
    <w:p w:rsidR="00023FE7" w:rsidRDefault="00023FE7" w:rsidP="00F42FB8">
      <w:pPr>
        <w:pStyle w:val="AppendixBodyText"/>
        <w:spacing w:after="0"/>
      </w:pPr>
    </w:p>
    <w:p w:rsidR="0033621D" w:rsidRDefault="0033621D" w:rsidP="00F42FB8">
      <w:pPr>
        <w:pStyle w:val="AppendixBodyText"/>
        <w:spacing w:after="0"/>
      </w:pPr>
    </w:p>
    <w:p w:rsidR="0033621D" w:rsidRPr="00C83DF5" w:rsidRDefault="0033621D" w:rsidP="00F42FB8">
      <w:pPr>
        <w:pStyle w:val="AppendixBodyText"/>
        <w:spacing w:after="0"/>
      </w:pPr>
    </w:p>
    <w:p w:rsidR="001C20C9" w:rsidRPr="00947EEF" w:rsidRDefault="00023FE7" w:rsidP="00F93617">
      <w:pPr>
        <w:spacing w:after="60"/>
        <w:rPr>
          <w:lang w:val="de-DE"/>
        </w:rPr>
      </w:pPr>
      <w:bookmarkStart w:id="733" w:name="_Toc240899166"/>
      <w:r w:rsidRPr="00947EEF">
        <w:rPr>
          <w:rFonts w:cs="Tahoma"/>
          <w:b/>
          <w:szCs w:val="20"/>
          <w:lang w:val="de-DE"/>
        </w:rPr>
        <w:lastRenderedPageBreak/>
        <w:t>Servicelevel für Software Assurance-Kunden</w:t>
      </w:r>
      <w:bookmarkEnd w:id="733"/>
    </w:p>
    <w:p w:rsidR="00023FE7" w:rsidRPr="00C83DF5" w:rsidRDefault="00023FE7" w:rsidP="003A5978">
      <w:pPr>
        <w:pStyle w:val="AppendixBodyText"/>
        <w:spacing w:after="0"/>
        <w:rPr>
          <w:lang w:val="de-DE"/>
        </w:rPr>
      </w:pPr>
      <w:r w:rsidRPr="00C83DF5">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3A5978">
        <w:rPr>
          <w:rFonts w:ascii="Tahoma" w:hAnsi="Tahoma" w:cs="Tahoma"/>
          <w:sz w:val="18"/>
          <w:szCs w:val="18"/>
          <w:lang w:val="de-DE"/>
        </w:rPr>
        <w:t> </w:t>
      </w:r>
      <w:r w:rsidRPr="00C83DF5">
        <w:rPr>
          <w:rFonts w:ascii="Tahoma" w:hAnsi="Tahoma" w:cs="Tahoma"/>
          <w:sz w:val="18"/>
          <w:szCs w:val="18"/>
          <w:lang w:val="de-DE"/>
        </w:rPr>
        <w:t xml:space="preserve">weiter unten dargelegt. </w:t>
      </w:r>
    </w:p>
    <w:p w:rsidR="00023FE7" w:rsidRPr="00D203C1" w:rsidRDefault="00023FE7" w:rsidP="00F42FB8">
      <w:pPr>
        <w:pStyle w:val="AppendixBodyText"/>
        <w:spacing w:after="0"/>
        <w:rPr>
          <w:rFonts w:ascii="Tahoma" w:hAnsi="Tahoma" w:cs="Tahoma"/>
          <w:sz w:val="18"/>
          <w:szCs w:val="18"/>
          <w:lang w:val="de-DE"/>
        </w:rPr>
      </w:pPr>
    </w:p>
    <w:p w:rsidR="00023FE7" w:rsidRPr="00C83DF5" w:rsidRDefault="00023FE7" w:rsidP="00F93617">
      <w:pPr>
        <w:pStyle w:val="AppendixBodyText"/>
        <w:spacing w:after="0"/>
        <w:rPr>
          <w:lang w:val="de-DE"/>
        </w:rPr>
      </w:pPr>
      <w:r w:rsidRPr="00C83DF5">
        <w:rPr>
          <w:rFonts w:ascii="Tahoma" w:hAnsi="Tahoma" w:cs="Tahoma"/>
          <w:sz w:val="18"/>
          <w:szCs w:val="18"/>
          <w:lang w:val="de-DE"/>
        </w:rPr>
        <w:t>Die Kunden sind dafür verantwortlich, den anfänglichen Schweregrad in Absprache mit uns festzulegen, und können jederzeit eine Änderung des Schweregrades verlangen.</w:t>
      </w:r>
      <w:r w:rsidR="00E71F46" w:rsidRPr="00C83DF5">
        <w:rPr>
          <w:rFonts w:ascii="Tahoma" w:hAnsi="Tahoma" w:cs="Tahoma"/>
          <w:sz w:val="18"/>
          <w:szCs w:val="18"/>
          <w:lang w:val="de-DE"/>
        </w:rPr>
        <w:t xml:space="preserve"> </w:t>
      </w:r>
      <w:r w:rsidRPr="00C83DF5">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rsidR="00F42FB8" w:rsidRPr="008B3D04" w:rsidRDefault="00F42FB8" w:rsidP="00F93617">
      <w:pPr>
        <w:pStyle w:val="AppendixBodyText"/>
        <w:spacing w:after="0"/>
        <w:rPr>
          <w:rFonts w:ascii="Tahoma" w:hAnsi="Tahoma" w:cs="Tahoma"/>
          <w:sz w:val="18"/>
          <w:szCs w:val="18"/>
          <w:lang w:val="de-DE"/>
        </w:rPr>
      </w:pPr>
    </w:p>
    <w:p w:rsidR="00947EEF" w:rsidRPr="008B3D04" w:rsidRDefault="00947EEF" w:rsidP="00F93617">
      <w:pPr>
        <w:pStyle w:val="AppendixBodyText"/>
        <w:spacing w:after="0"/>
        <w:rPr>
          <w:rFonts w:ascii="Tahoma" w:hAnsi="Tahoma" w:cs="Tahoma"/>
          <w:sz w:val="4"/>
          <w:szCs w:val="4"/>
          <w:lang w:val="de-DE"/>
        </w:rPr>
      </w:pPr>
    </w:p>
    <w:tbl>
      <w:tblPr>
        <w:tblW w:w="9560" w:type="dxa"/>
        <w:tblInd w:w="108" w:type="dxa"/>
        <w:tblLayout w:type="fixed"/>
        <w:tblCellMar>
          <w:left w:w="0" w:type="dxa"/>
          <w:right w:w="0" w:type="dxa"/>
        </w:tblCellMar>
        <w:tblLook w:val="0000" w:firstRow="0" w:lastRow="0" w:firstColumn="0" w:lastColumn="0" w:noHBand="0" w:noVBand="0"/>
      </w:tblPr>
      <w:tblGrid>
        <w:gridCol w:w="1566"/>
        <w:gridCol w:w="2745"/>
        <w:gridCol w:w="2475"/>
        <w:gridCol w:w="2774"/>
      </w:tblGrid>
      <w:tr w:rsidR="00023FE7" w:rsidRPr="00C83DF5" w:rsidTr="00D203C1">
        <w:trPr>
          <w:trHeight w:val="477"/>
          <w:tblHeader/>
        </w:trPr>
        <w:tc>
          <w:tcPr>
            <w:tcW w:w="1566"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C83DF5" w:rsidRDefault="00023FE7">
            <w:pPr>
              <w:pStyle w:val="AppendixBodyText"/>
              <w:spacing w:after="0"/>
              <w:jc w:val="center"/>
              <w:rPr>
                <w:rFonts w:ascii="Tahoma" w:hAnsi="Tahoma" w:cs="Tahoma"/>
                <w:b/>
                <w:bCs/>
              </w:rPr>
            </w:pPr>
            <w:r w:rsidRPr="00C83DF5">
              <w:rPr>
                <w:rFonts w:ascii="Tahoma" w:hAnsi="Tahoma" w:cs="Tahoma"/>
                <w:b/>
                <w:bCs/>
              </w:rPr>
              <w:t>Schweregrad</w:t>
            </w:r>
          </w:p>
        </w:tc>
        <w:tc>
          <w:tcPr>
            <w:tcW w:w="274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C83DF5" w:rsidRDefault="00023FE7">
            <w:pPr>
              <w:pStyle w:val="AppendixBodyText"/>
              <w:spacing w:after="0"/>
              <w:jc w:val="center"/>
              <w:rPr>
                <w:rFonts w:ascii="Tahoma" w:hAnsi="Tahoma" w:cs="Tahoma"/>
                <w:b/>
                <w:bCs/>
              </w:rPr>
            </w:pPr>
            <w:r w:rsidRPr="00C83DF5">
              <w:rPr>
                <w:rFonts w:ascii="Tahoma" w:hAnsi="Tahoma" w:cs="Tahoma"/>
                <w:b/>
                <w:bCs/>
              </w:rPr>
              <w:t>Situation</w:t>
            </w:r>
          </w:p>
        </w:tc>
        <w:tc>
          <w:tcPr>
            <w:tcW w:w="247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C83DF5" w:rsidRDefault="00023FE7">
            <w:pPr>
              <w:pStyle w:val="AppendixBodyText"/>
              <w:spacing w:after="0"/>
              <w:jc w:val="center"/>
              <w:rPr>
                <w:rFonts w:ascii="Tahoma" w:hAnsi="Tahoma" w:cs="Tahoma"/>
                <w:b/>
                <w:bCs/>
              </w:rPr>
            </w:pPr>
            <w:r w:rsidRPr="00C83DF5">
              <w:rPr>
                <w:rFonts w:ascii="Tahoma" w:hAnsi="Tahoma" w:cs="Tahoma"/>
                <w:b/>
                <w:bCs/>
              </w:rPr>
              <w:t>Unsere erwartete Reaktion</w:t>
            </w:r>
          </w:p>
        </w:tc>
        <w:tc>
          <w:tcPr>
            <w:tcW w:w="277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C83DF5" w:rsidRDefault="00023FE7">
            <w:pPr>
              <w:pStyle w:val="AppendixBodyText"/>
              <w:spacing w:after="0"/>
              <w:jc w:val="center"/>
              <w:rPr>
                <w:rFonts w:ascii="Tahoma" w:hAnsi="Tahoma" w:cs="Tahoma"/>
                <w:b/>
                <w:bCs/>
              </w:rPr>
            </w:pPr>
            <w:r w:rsidRPr="00C83DF5">
              <w:rPr>
                <w:rFonts w:ascii="Tahoma" w:hAnsi="Tahoma" w:cs="Tahoma"/>
                <w:b/>
                <w:bCs/>
              </w:rPr>
              <w:t>Vom Kunden erwartete Reaktion</w:t>
            </w:r>
          </w:p>
        </w:tc>
      </w:tr>
      <w:tr w:rsidR="00023FE7" w:rsidRPr="00C83DF5" w:rsidTr="00D203C1">
        <w:tc>
          <w:tcPr>
            <w:tcW w:w="156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 xml:space="preserve">A Einreichung per Telefon </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27028A">
            <w:pPr>
              <w:pStyle w:val="AppendixBodyText"/>
              <w:numPr>
                <w:ilvl w:val="0"/>
                <w:numId w:val="2"/>
              </w:numPr>
              <w:tabs>
                <w:tab w:val="clear" w:pos="1440"/>
                <w:tab w:val="num" w:pos="612"/>
              </w:tabs>
              <w:ind w:left="612"/>
              <w:rPr>
                <w:lang w:val="de-DE"/>
              </w:rPr>
            </w:pPr>
            <w:r w:rsidRPr="00C83DF5">
              <w:rPr>
                <w:rFonts w:ascii="Tahoma" w:hAnsi="Tahoma" w:cs="Tahoma"/>
                <w:sz w:val="18"/>
                <w:szCs w:val="18"/>
                <w:lang w:val="de-DE"/>
              </w:rPr>
              <w:t xml:space="preserve">Kritische Auswirkungen auf das Geschäft: </w:t>
            </w:r>
          </w:p>
          <w:p w:rsidR="00023FE7" w:rsidRPr="00C83DF5" w:rsidRDefault="00023FE7" w:rsidP="00D203C1">
            <w:pPr>
              <w:pStyle w:val="AppendixBodyText"/>
              <w:numPr>
                <w:ilvl w:val="0"/>
                <w:numId w:val="2"/>
              </w:numPr>
              <w:tabs>
                <w:tab w:val="clear" w:pos="1440"/>
                <w:tab w:val="num" w:pos="612"/>
              </w:tabs>
              <w:ind w:left="612"/>
              <w:rPr>
                <w:rFonts w:ascii="Tahoma" w:hAnsi="Tahoma" w:cs="Tahoma"/>
                <w:sz w:val="18"/>
                <w:szCs w:val="18"/>
                <w:lang w:val="de-DE"/>
              </w:rPr>
            </w:pPr>
            <w:r w:rsidRPr="00C83DF5">
              <w:rPr>
                <w:rFonts w:ascii="Tahoma" w:hAnsi="Tahoma" w:cs="Tahoma"/>
                <w:sz w:val="18"/>
                <w:szCs w:val="18"/>
                <w:lang w:val="de-DE"/>
              </w:rPr>
              <w:t>Das Geschäft des Kunden erlebt einen erheblichen Verlust oder eine erhebliche Beeinträchtigung von</w:t>
            </w:r>
            <w:r w:rsidR="00D203C1">
              <w:rPr>
                <w:rFonts w:ascii="Tahoma" w:hAnsi="Tahoma" w:cs="Tahoma"/>
                <w:sz w:val="18"/>
                <w:szCs w:val="18"/>
                <w:lang w:val="de-DE"/>
              </w:rPr>
              <w:t> </w:t>
            </w:r>
            <w:r w:rsidRPr="00C83DF5">
              <w:rPr>
                <w:rFonts w:ascii="Tahoma" w:hAnsi="Tahoma" w:cs="Tahoma"/>
                <w:sz w:val="18"/>
                <w:szCs w:val="18"/>
                <w:lang w:val="de-DE"/>
              </w:rPr>
              <w:t>Diensten.</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D203C1">
            <w:pPr>
              <w:pStyle w:val="AppendixBodyText"/>
              <w:numPr>
                <w:ilvl w:val="0"/>
                <w:numId w:val="2"/>
              </w:numPr>
              <w:tabs>
                <w:tab w:val="clear" w:pos="1440"/>
                <w:tab w:val="num" w:pos="522"/>
              </w:tabs>
              <w:ind w:left="522"/>
              <w:rPr>
                <w:lang w:val="de-DE"/>
              </w:rPr>
            </w:pPr>
            <w:r w:rsidRPr="00C83DF5">
              <w:rPr>
                <w:rFonts w:ascii="Tahoma" w:hAnsi="Tahoma" w:cs="Tahoma"/>
                <w:sz w:val="18"/>
                <w:szCs w:val="18"/>
                <w:lang w:val="de-DE"/>
              </w:rPr>
              <w:t>1. Reaktion auf Anruf</w:t>
            </w:r>
            <w:r w:rsidR="00D203C1">
              <w:rPr>
                <w:rFonts w:ascii="Tahoma" w:hAnsi="Tahoma" w:cs="Tahoma"/>
                <w:sz w:val="18"/>
                <w:szCs w:val="18"/>
                <w:lang w:val="de-DE"/>
              </w:rPr>
              <w:t> </w:t>
            </w:r>
            <w:r w:rsidRPr="00C83DF5">
              <w:rPr>
                <w:rFonts w:ascii="Tahoma" w:hAnsi="Tahoma" w:cs="Tahoma"/>
                <w:sz w:val="18"/>
                <w:szCs w:val="18"/>
                <w:lang w:val="de-DE"/>
              </w:rPr>
              <w:t>in 2 Stunden oder weniger, basierend auf dem Supportangebot</w:t>
            </w:r>
          </w:p>
          <w:p w:rsidR="00023FE7" w:rsidRPr="00C83DF5" w:rsidRDefault="00023FE7" w:rsidP="0027028A">
            <w:pPr>
              <w:pStyle w:val="AppendixBodyText"/>
              <w:numPr>
                <w:ilvl w:val="0"/>
                <w:numId w:val="2"/>
              </w:numPr>
              <w:tabs>
                <w:tab w:val="clear" w:pos="1440"/>
                <w:tab w:val="num" w:pos="522"/>
              </w:tabs>
              <w:ind w:left="522"/>
              <w:rPr>
                <w:lang w:val="de-DE"/>
              </w:rPr>
            </w:pPr>
            <w:r w:rsidRPr="00C83DF5">
              <w:rPr>
                <w:rFonts w:ascii="Tahoma" w:hAnsi="Tahoma" w:cs="Tahoma"/>
                <w:sz w:val="18"/>
                <w:szCs w:val="18"/>
                <w:lang w:val="de-DE"/>
              </w:rPr>
              <w:t>Microsoft-Ressourcen nach Bedarf am Standort des Kunden</w:t>
            </w:r>
          </w:p>
          <w:p w:rsidR="00023FE7" w:rsidRPr="00C83DF5" w:rsidRDefault="00023FE7" w:rsidP="00D203C1">
            <w:pPr>
              <w:pStyle w:val="AppendixBodyText"/>
              <w:numPr>
                <w:ilvl w:val="0"/>
                <w:numId w:val="2"/>
              </w:numPr>
              <w:tabs>
                <w:tab w:val="clear" w:pos="1440"/>
                <w:tab w:val="num" w:pos="522"/>
              </w:tabs>
              <w:ind w:left="522"/>
              <w:rPr>
                <w:lang w:val="de-DE"/>
              </w:rPr>
            </w:pPr>
            <w:r w:rsidRPr="00C83DF5">
              <w:rPr>
                <w:rFonts w:ascii="Tahoma" w:hAnsi="Tahoma" w:cs="Tahoma"/>
                <w:sz w:val="18"/>
                <w:szCs w:val="18"/>
                <w:lang w:val="de-DE"/>
              </w:rPr>
              <w:t>Durchgehende Bemühungen rund</w:t>
            </w:r>
            <w:r w:rsidR="00D203C1">
              <w:rPr>
                <w:rFonts w:ascii="Tahoma" w:hAnsi="Tahoma" w:cs="Tahoma"/>
                <w:sz w:val="18"/>
                <w:szCs w:val="18"/>
                <w:lang w:val="de-DE"/>
              </w:rPr>
              <w:t> </w:t>
            </w:r>
            <w:r w:rsidRPr="00C83DF5">
              <w:rPr>
                <w:rFonts w:ascii="Tahoma" w:hAnsi="Tahoma" w:cs="Tahoma"/>
                <w:sz w:val="18"/>
                <w:szCs w:val="18"/>
                <w:lang w:val="de-DE"/>
              </w:rPr>
              <w:t>um die Uhr</w:t>
            </w:r>
          </w:p>
          <w:p w:rsidR="00023FE7" w:rsidRPr="00C83DF5"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C83DF5">
              <w:rPr>
                <w:rFonts w:ascii="Tahoma" w:hAnsi="Tahoma" w:cs="Tahoma"/>
                <w:sz w:val="18"/>
                <w:szCs w:val="18"/>
                <w:lang w:val="de-DE"/>
              </w:rPr>
              <w:t>Benachrichtigung der leitenden Manager bei Microsoft, basierend auf dem Supportangebot</w:t>
            </w:r>
          </w:p>
        </w:tc>
        <w:tc>
          <w:tcPr>
            <w:tcW w:w="2774"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D203C1">
            <w:pPr>
              <w:pStyle w:val="AppendixBodyText"/>
              <w:numPr>
                <w:ilvl w:val="0"/>
                <w:numId w:val="2"/>
              </w:numPr>
              <w:tabs>
                <w:tab w:val="clear" w:pos="1440"/>
              </w:tabs>
              <w:ind w:left="432"/>
              <w:rPr>
                <w:lang w:val="de-DE"/>
              </w:rPr>
            </w:pPr>
            <w:r w:rsidRPr="00C83DF5">
              <w:rPr>
                <w:rFonts w:ascii="Tahoma" w:hAnsi="Tahoma" w:cs="Tahoma"/>
                <w:sz w:val="18"/>
                <w:szCs w:val="18"/>
                <w:lang w:val="de-DE"/>
              </w:rPr>
              <w:t>Zuweisung geeigneter Ressourcen zur Aufrechterhaltung durchgehender Bemühungen rund um</w:t>
            </w:r>
            <w:r w:rsidR="00D203C1">
              <w:rPr>
                <w:rFonts w:ascii="Tahoma" w:hAnsi="Tahoma" w:cs="Tahoma"/>
                <w:sz w:val="18"/>
                <w:szCs w:val="18"/>
                <w:lang w:val="de-DE"/>
              </w:rPr>
              <w:t> </w:t>
            </w:r>
            <w:r w:rsidRPr="00C83DF5">
              <w:rPr>
                <w:rFonts w:ascii="Tahoma" w:hAnsi="Tahoma" w:cs="Tahoma"/>
                <w:sz w:val="18"/>
                <w:szCs w:val="18"/>
                <w:lang w:val="de-DE"/>
              </w:rPr>
              <w:t>die</w:t>
            </w:r>
            <w:r w:rsidR="00D203C1">
              <w:rPr>
                <w:rFonts w:ascii="Tahoma" w:hAnsi="Tahoma" w:cs="Tahoma"/>
                <w:sz w:val="18"/>
                <w:szCs w:val="18"/>
                <w:lang w:val="de-DE"/>
              </w:rPr>
              <w:t> </w:t>
            </w:r>
            <w:r w:rsidRPr="00C83DF5">
              <w:rPr>
                <w:rFonts w:ascii="Tahoma" w:hAnsi="Tahoma" w:cs="Tahoma"/>
                <w:sz w:val="18"/>
                <w:szCs w:val="18"/>
                <w:lang w:val="de-DE"/>
              </w:rPr>
              <w:t>Uhr</w:t>
            </w:r>
            <w:r w:rsidRPr="00C83DF5">
              <w:rPr>
                <w:rFonts w:ascii="Tahoma" w:hAnsi="Tahoma" w:cs="Tahoma"/>
                <w:sz w:val="18"/>
                <w:szCs w:val="18"/>
                <w:vertAlign w:val="superscript"/>
                <w:lang w:val="de-DE"/>
              </w:rPr>
              <w:t>2</w:t>
            </w:r>
          </w:p>
          <w:p w:rsidR="00023FE7" w:rsidRPr="00C83DF5" w:rsidRDefault="00023FE7" w:rsidP="0027028A">
            <w:pPr>
              <w:pStyle w:val="AppendixBodyText"/>
              <w:numPr>
                <w:ilvl w:val="0"/>
                <w:numId w:val="2"/>
              </w:numPr>
              <w:tabs>
                <w:tab w:val="clear" w:pos="1440"/>
              </w:tabs>
              <w:ind w:left="432"/>
              <w:rPr>
                <w:lang w:val="de-DE"/>
              </w:rPr>
            </w:pPr>
            <w:r w:rsidRPr="00C83DF5">
              <w:rPr>
                <w:rFonts w:ascii="Tahoma" w:hAnsi="Tahoma" w:cs="Tahoma"/>
                <w:sz w:val="18"/>
                <w:szCs w:val="18"/>
                <w:lang w:val="de-DE"/>
              </w:rPr>
              <w:t>Schneller Zugriff und schnelle Reaktion durch Änderungskontrollautorität</w:t>
            </w:r>
          </w:p>
          <w:p w:rsidR="00023FE7" w:rsidRPr="00C83DF5" w:rsidRDefault="00023FE7" w:rsidP="0027028A">
            <w:pPr>
              <w:pStyle w:val="AppendixBodyText"/>
              <w:numPr>
                <w:ilvl w:val="0"/>
                <w:numId w:val="2"/>
              </w:numPr>
              <w:tabs>
                <w:tab w:val="clear" w:pos="1440"/>
              </w:tabs>
              <w:ind w:left="432"/>
              <w:rPr>
                <w:rFonts w:ascii="Tahoma" w:hAnsi="Tahoma" w:cs="Tahoma"/>
                <w:sz w:val="18"/>
                <w:szCs w:val="18"/>
              </w:rPr>
            </w:pPr>
            <w:r w:rsidRPr="00C83DF5">
              <w:rPr>
                <w:rFonts w:ascii="Tahoma" w:hAnsi="Tahoma" w:cs="Tahoma"/>
                <w:sz w:val="18"/>
                <w:szCs w:val="18"/>
              </w:rPr>
              <w:t>Benachrichtigung des Managements</w:t>
            </w:r>
          </w:p>
        </w:tc>
      </w:tr>
      <w:tr w:rsidR="00023FE7" w:rsidRPr="004D388E" w:rsidTr="00D203C1">
        <w:tc>
          <w:tcPr>
            <w:tcW w:w="156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C83DF5" w:rsidRDefault="00023FE7">
            <w:pPr>
              <w:pStyle w:val="AppendixBodyText"/>
              <w:rPr>
                <w:rFonts w:ascii="Tahoma" w:hAnsi="Tahoma" w:cs="Tahoma"/>
                <w:sz w:val="18"/>
                <w:szCs w:val="18"/>
              </w:rPr>
            </w:pPr>
            <w:r w:rsidRPr="00C83DF5">
              <w:rPr>
                <w:rFonts w:ascii="Tahoma" w:hAnsi="Tahoma" w:cs="Tahoma"/>
                <w:sz w:val="18"/>
                <w:szCs w:val="18"/>
              </w:rPr>
              <w:t xml:space="preserve">B Einreichung per Telefon </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D203C1">
            <w:pPr>
              <w:pStyle w:val="AppendixBodyText"/>
              <w:numPr>
                <w:ilvl w:val="0"/>
                <w:numId w:val="2"/>
              </w:numPr>
              <w:tabs>
                <w:tab w:val="clear" w:pos="1440"/>
                <w:tab w:val="num" w:pos="612"/>
              </w:tabs>
              <w:ind w:left="612"/>
              <w:rPr>
                <w:lang w:val="de-DE"/>
              </w:rPr>
            </w:pPr>
            <w:r w:rsidRPr="00C83DF5">
              <w:rPr>
                <w:rFonts w:ascii="Tahoma" w:hAnsi="Tahoma" w:cs="Tahoma"/>
                <w:sz w:val="18"/>
                <w:szCs w:val="18"/>
                <w:lang w:val="de-DE"/>
              </w:rPr>
              <w:t>Mittelschwere Auswirkungen auf das</w:t>
            </w:r>
            <w:r w:rsidR="00D203C1">
              <w:rPr>
                <w:rFonts w:ascii="Tahoma" w:hAnsi="Tahoma" w:cs="Tahoma"/>
                <w:sz w:val="18"/>
                <w:szCs w:val="18"/>
                <w:lang w:val="de-DE"/>
              </w:rPr>
              <w:t> </w:t>
            </w:r>
            <w:r w:rsidRPr="00C83DF5">
              <w:rPr>
                <w:rFonts w:ascii="Tahoma" w:hAnsi="Tahoma" w:cs="Tahoma"/>
                <w:sz w:val="18"/>
                <w:szCs w:val="18"/>
                <w:lang w:val="de-DE"/>
              </w:rPr>
              <w:t xml:space="preserve">Geschäft: </w:t>
            </w:r>
          </w:p>
          <w:p w:rsidR="00023FE7" w:rsidRPr="00C83DF5" w:rsidRDefault="00023FE7" w:rsidP="00D203C1">
            <w:pPr>
              <w:pStyle w:val="AppendixBodyText"/>
              <w:numPr>
                <w:ilvl w:val="0"/>
                <w:numId w:val="2"/>
              </w:numPr>
              <w:tabs>
                <w:tab w:val="clear" w:pos="1440"/>
                <w:tab w:val="num" w:pos="612"/>
              </w:tabs>
              <w:ind w:left="612"/>
              <w:rPr>
                <w:rFonts w:ascii="Tahoma" w:hAnsi="Tahoma" w:cs="Tahoma"/>
                <w:sz w:val="18"/>
                <w:szCs w:val="18"/>
                <w:lang w:val="de-DE"/>
              </w:rPr>
            </w:pPr>
            <w:r w:rsidRPr="00C83DF5">
              <w:rPr>
                <w:rFonts w:ascii="Tahoma" w:hAnsi="Tahoma" w:cs="Tahoma"/>
                <w:sz w:val="18"/>
                <w:szCs w:val="18"/>
                <w:lang w:val="de-DE"/>
              </w:rPr>
              <w:t>Das Geschäft des Kunden erlebt einen mittelschweren Verlust oder eine mittelschwere Beeinträchtigung von</w:t>
            </w:r>
            <w:r w:rsidR="00D203C1">
              <w:rPr>
                <w:rFonts w:ascii="Tahoma" w:hAnsi="Tahoma" w:cs="Tahoma"/>
                <w:sz w:val="18"/>
                <w:szCs w:val="18"/>
                <w:lang w:val="de-DE"/>
              </w:rPr>
              <w:t> </w:t>
            </w:r>
            <w:r w:rsidRPr="00C83DF5">
              <w:rPr>
                <w:rFonts w:ascii="Tahoma" w:hAnsi="Tahoma" w:cs="Tahoma"/>
                <w:sz w:val="18"/>
                <w:szCs w:val="18"/>
                <w:lang w:val="de-DE"/>
              </w:rPr>
              <w:t>Diensten, die Arbeit</w:t>
            </w:r>
            <w:r w:rsidR="00D203C1">
              <w:rPr>
                <w:rFonts w:ascii="Tahoma" w:hAnsi="Tahoma" w:cs="Tahoma"/>
                <w:sz w:val="18"/>
                <w:szCs w:val="18"/>
                <w:lang w:val="de-DE"/>
              </w:rPr>
              <w:t> </w:t>
            </w:r>
            <w:r w:rsidRPr="00C83DF5">
              <w:rPr>
                <w:rFonts w:ascii="Tahoma" w:hAnsi="Tahoma" w:cs="Tahoma"/>
                <w:sz w:val="18"/>
                <w:szCs w:val="18"/>
                <w:lang w:val="de-DE"/>
              </w:rPr>
              <w:t>kann jedoch vernünftigerweise mit Beeinträchtigungen fortgesetzt werden.</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D203C1">
            <w:pPr>
              <w:pStyle w:val="AppendixBodyText"/>
              <w:numPr>
                <w:ilvl w:val="0"/>
                <w:numId w:val="2"/>
              </w:numPr>
              <w:tabs>
                <w:tab w:val="num" w:pos="522"/>
              </w:tabs>
              <w:ind w:left="522"/>
              <w:rPr>
                <w:lang w:val="de-DE"/>
              </w:rPr>
            </w:pPr>
            <w:r w:rsidRPr="00C83DF5">
              <w:rPr>
                <w:rFonts w:ascii="Tahoma" w:hAnsi="Tahoma" w:cs="Tahoma"/>
                <w:sz w:val="18"/>
                <w:szCs w:val="18"/>
                <w:lang w:val="de-DE"/>
              </w:rPr>
              <w:t>1</w:t>
            </w:r>
            <w:r w:rsidRPr="00C83DF5">
              <w:rPr>
                <w:rFonts w:ascii="Tahoma" w:hAnsi="Tahoma" w:cs="Tahoma"/>
                <w:sz w:val="18"/>
                <w:szCs w:val="18"/>
                <w:vertAlign w:val="superscript"/>
                <w:lang w:val="de-DE"/>
              </w:rPr>
              <w:t>.</w:t>
            </w:r>
            <w:r w:rsidRPr="00C83DF5">
              <w:rPr>
                <w:rFonts w:ascii="Tahoma" w:hAnsi="Tahoma" w:cs="Tahoma"/>
                <w:sz w:val="18"/>
                <w:szCs w:val="18"/>
                <w:lang w:val="de-DE"/>
              </w:rPr>
              <w:t xml:space="preserve"> Reaktion auf Anruf</w:t>
            </w:r>
            <w:r w:rsidR="00D203C1">
              <w:rPr>
                <w:rFonts w:ascii="Tahoma" w:hAnsi="Tahoma" w:cs="Tahoma"/>
                <w:sz w:val="18"/>
                <w:szCs w:val="18"/>
                <w:lang w:val="de-DE"/>
              </w:rPr>
              <w:t> </w:t>
            </w:r>
            <w:r w:rsidRPr="00C83DF5">
              <w:rPr>
                <w:rFonts w:ascii="Tahoma" w:hAnsi="Tahoma" w:cs="Tahoma"/>
                <w:sz w:val="18"/>
                <w:szCs w:val="18"/>
                <w:lang w:val="de-DE"/>
              </w:rPr>
              <w:t>in 4 Stunden oder weniger, basierend auf dem Supportangebot</w:t>
            </w:r>
          </w:p>
          <w:p w:rsidR="00023FE7" w:rsidRPr="00C83DF5" w:rsidRDefault="00023FE7" w:rsidP="0027028A">
            <w:pPr>
              <w:pStyle w:val="AppendixBodyText"/>
              <w:numPr>
                <w:ilvl w:val="0"/>
                <w:numId w:val="2"/>
              </w:numPr>
              <w:tabs>
                <w:tab w:val="num" w:pos="522"/>
              </w:tabs>
              <w:ind w:left="522"/>
            </w:pPr>
            <w:r w:rsidRPr="00C83DF5">
              <w:rPr>
                <w:rFonts w:ascii="Tahoma" w:hAnsi="Tahoma" w:cs="Tahoma"/>
                <w:sz w:val="18"/>
                <w:szCs w:val="18"/>
              </w:rPr>
              <w:t xml:space="preserve">Bemühungen nur während der </w:t>
            </w:r>
            <w:r w:rsidRPr="00C83DF5">
              <w:rPr>
                <w:rFonts w:ascii="Tahoma" w:hAnsi="Tahoma" w:cs="Tahoma"/>
                <w:bCs/>
                <w:sz w:val="18"/>
                <w:szCs w:val="18"/>
              </w:rPr>
              <w:t>Geschäftszeiten</w:t>
            </w:r>
            <w:r w:rsidRPr="00C83DF5">
              <w:rPr>
                <w:rFonts w:ascii="Tahoma" w:hAnsi="Tahoma" w:cs="Tahoma"/>
                <w:sz w:val="18"/>
                <w:szCs w:val="18"/>
                <w:vertAlign w:val="superscript"/>
              </w:rPr>
              <w:t>1</w:t>
            </w:r>
          </w:p>
          <w:p w:rsidR="00023FE7" w:rsidRPr="00C83DF5" w:rsidRDefault="00023FE7">
            <w:pPr>
              <w:pStyle w:val="AppendixBodyText"/>
              <w:tabs>
                <w:tab w:val="num" w:pos="522"/>
              </w:tabs>
              <w:ind w:left="522" w:hanging="360"/>
              <w:rPr>
                <w:rFonts w:ascii="Tahoma" w:hAnsi="Tahoma" w:cs="Tahoma"/>
                <w:sz w:val="18"/>
                <w:szCs w:val="18"/>
              </w:rPr>
            </w:pPr>
          </w:p>
        </w:tc>
        <w:tc>
          <w:tcPr>
            <w:tcW w:w="2774"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D203C1">
            <w:pPr>
              <w:pStyle w:val="AppendixBodyText"/>
              <w:numPr>
                <w:ilvl w:val="0"/>
                <w:numId w:val="2"/>
              </w:numPr>
              <w:tabs>
                <w:tab w:val="clear" w:pos="1440"/>
                <w:tab w:val="num" w:pos="432"/>
              </w:tabs>
              <w:ind w:left="432" w:hanging="270"/>
              <w:rPr>
                <w:lang w:val="de-DE"/>
              </w:rPr>
            </w:pPr>
            <w:r w:rsidRPr="00C83DF5">
              <w:rPr>
                <w:rFonts w:ascii="Tahoma" w:hAnsi="Tahoma" w:cs="Tahoma"/>
                <w:sz w:val="18"/>
                <w:szCs w:val="18"/>
                <w:lang w:val="de-DE"/>
              </w:rPr>
              <w:t>Zuweisung geeigneter Ressourcen zur Aufrechterhaltung durchgehender Bemühungen während der</w:t>
            </w:r>
            <w:r w:rsidR="00D203C1">
              <w:rPr>
                <w:rFonts w:ascii="Tahoma" w:hAnsi="Tahoma" w:cs="Tahoma"/>
                <w:sz w:val="18"/>
                <w:szCs w:val="18"/>
                <w:lang w:val="de-DE"/>
              </w:rPr>
              <w:t> </w:t>
            </w:r>
            <w:r w:rsidRPr="00C83DF5">
              <w:rPr>
                <w:rFonts w:ascii="Tahoma" w:hAnsi="Tahoma" w:cs="Tahoma"/>
                <w:sz w:val="18"/>
                <w:szCs w:val="18"/>
                <w:lang w:val="de-DE"/>
              </w:rPr>
              <w:t>Geschäftszeiten</w:t>
            </w:r>
            <w:r w:rsidRPr="00C83DF5">
              <w:rPr>
                <w:rFonts w:ascii="Tahoma" w:hAnsi="Tahoma" w:cs="Tahoma"/>
                <w:sz w:val="18"/>
                <w:szCs w:val="18"/>
                <w:vertAlign w:val="superscript"/>
                <w:lang w:val="de-DE"/>
              </w:rPr>
              <w:t xml:space="preserve"> </w:t>
            </w:r>
          </w:p>
          <w:p w:rsidR="00023FE7" w:rsidRPr="00C83DF5" w:rsidRDefault="00023FE7" w:rsidP="00A26786">
            <w:pPr>
              <w:pStyle w:val="AppendixBodyText"/>
              <w:numPr>
                <w:ilvl w:val="0"/>
                <w:numId w:val="2"/>
              </w:numPr>
              <w:tabs>
                <w:tab w:val="clear" w:pos="1440"/>
                <w:tab w:val="num" w:pos="432"/>
              </w:tabs>
              <w:ind w:left="432" w:hanging="270"/>
              <w:rPr>
                <w:rFonts w:ascii="Tahoma" w:hAnsi="Tahoma" w:cs="Tahoma"/>
                <w:sz w:val="18"/>
                <w:szCs w:val="18"/>
                <w:lang w:val="de-DE"/>
              </w:rPr>
            </w:pPr>
            <w:r w:rsidRPr="00C83DF5">
              <w:rPr>
                <w:rFonts w:ascii="Tahoma" w:hAnsi="Tahoma" w:cs="Tahoma"/>
                <w:sz w:val="18"/>
                <w:szCs w:val="18"/>
                <w:lang w:val="de-DE"/>
              </w:rPr>
              <w:t>Zugriff und Reaktion von Änderungskontrollautorität innerhalb von 4</w:t>
            </w:r>
            <w:r w:rsidR="00A26786">
              <w:rPr>
                <w:rFonts w:ascii="Tahoma" w:hAnsi="Tahoma" w:cs="Tahoma"/>
                <w:sz w:val="18"/>
                <w:szCs w:val="18"/>
                <w:lang w:val="de-DE"/>
              </w:rPr>
              <w:t> </w:t>
            </w:r>
            <w:r w:rsidRPr="00C83DF5">
              <w:rPr>
                <w:rFonts w:ascii="Tahoma" w:hAnsi="Tahoma" w:cs="Tahoma"/>
                <w:sz w:val="18"/>
                <w:szCs w:val="18"/>
                <w:lang w:val="de-DE"/>
              </w:rPr>
              <w:t>Geschäftsstunden</w:t>
            </w:r>
          </w:p>
        </w:tc>
      </w:tr>
      <w:tr w:rsidR="00023FE7" w:rsidRPr="00C83DF5" w:rsidTr="00D203C1">
        <w:tc>
          <w:tcPr>
            <w:tcW w:w="156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C83DF5" w:rsidRDefault="00023FE7" w:rsidP="00882AF9">
            <w:pPr>
              <w:pStyle w:val="AppendixBodyText"/>
              <w:rPr>
                <w:rFonts w:ascii="Tahoma" w:hAnsi="Tahoma" w:cs="Tahoma"/>
                <w:sz w:val="18"/>
                <w:szCs w:val="18"/>
                <w:lang w:val="de-DE"/>
              </w:rPr>
            </w:pPr>
            <w:r w:rsidRPr="00C83DF5">
              <w:rPr>
                <w:rFonts w:ascii="Tahoma" w:hAnsi="Tahoma" w:cs="Tahoma"/>
                <w:sz w:val="18"/>
                <w:szCs w:val="18"/>
                <w:lang w:val="de-DE"/>
              </w:rPr>
              <w:t>C Einreichung per Telefon oder</w:t>
            </w:r>
            <w:r w:rsidR="00882AF9">
              <w:rPr>
                <w:rFonts w:ascii="Tahoma" w:hAnsi="Tahoma" w:cs="Tahoma"/>
                <w:sz w:val="18"/>
                <w:szCs w:val="18"/>
                <w:lang w:val="de-DE"/>
              </w:rPr>
              <w:t> </w:t>
            </w:r>
            <w:r w:rsidRPr="00C83DF5">
              <w:rPr>
                <w:rFonts w:ascii="Tahoma" w:hAnsi="Tahoma" w:cs="Tahoma"/>
                <w:sz w:val="18"/>
                <w:szCs w:val="18"/>
                <w:lang w:val="de-DE"/>
              </w:rPr>
              <w:t>Web</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27028A">
            <w:pPr>
              <w:pStyle w:val="AppendixBodyText"/>
              <w:numPr>
                <w:ilvl w:val="0"/>
                <w:numId w:val="2"/>
              </w:numPr>
              <w:tabs>
                <w:tab w:val="clear" w:pos="1440"/>
                <w:tab w:val="num" w:pos="612"/>
              </w:tabs>
              <w:ind w:left="612"/>
              <w:rPr>
                <w:lang w:val="de-DE"/>
              </w:rPr>
            </w:pPr>
            <w:r w:rsidRPr="00C83DF5">
              <w:rPr>
                <w:rFonts w:ascii="Tahoma" w:hAnsi="Tahoma" w:cs="Tahoma"/>
                <w:sz w:val="18"/>
                <w:szCs w:val="18"/>
                <w:lang w:val="de-DE"/>
              </w:rPr>
              <w:t xml:space="preserve">Minimale Auswirkungen auf das Geschäft: </w:t>
            </w:r>
          </w:p>
          <w:p w:rsidR="00023FE7" w:rsidRPr="00C83DF5" w:rsidRDefault="00023FE7" w:rsidP="00D203C1">
            <w:pPr>
              <w:pStyle w:val="AppendixBodyText"/>
              <w:numPr>
                <w:ilvl w:val="0"/>
                <w:numId w:val="2"/>
              </w:numPr>
              <w:tabs>
                <w:tab w:val="clear" w:pos="1440"/>
                <w:tab w:val="num" w:pos="612"/>
              </w:tabs>
              <w:ind w:left="612"/>
              <w:rPr>
                <w:rFonts w:ascii="Tahoma" w:hAnsi="Tahoma" w:cs="Tahoma"/>
                <w:sz w:val="18"/>
                <w:szCs w:val="18"/>
                <w:lang w:val="de-DE"/>
              </w:rPr>
            </w:pPr>
            <w:r w:rsidRPr="00C83DF5">
              <w:rPr>
                <w:rFonts w:ascii="Tahoma" w:hAnsi="Tahoma" w:cs="Tahoma"/>
                <w:sz w:val="18"/>
                <w:szCs w:val="18"/>
                <w:lang w:val="de-DE"/>
              </w:rPr>
              <w:t>Das Geschäft des Kunden ist im Wesentlichen funktionsfähig, mit geringen oder keinen Beeinträchtigungen von</w:t>
            </w:r>
            <w:r w:rsidR="00D203C1">
              <w:rPr>
                <w:rFonts w:ascii="Tahoma" w:hAnsi="Tahoma" w:cs="Tahoma"/>
                <w:sz w:val="18"/>
                <w:szCs w:val="18"/>
                <w:lang w:val="de-DE"/>
              </w:rPr>
              <w:t> </w:t>
            </w:r>
            <w:r w:rsidRPr="00C83DF5">
              <w:rPr>
                <w:rFonts w:ascii="Tahoma" w:hAnsi="Tahoma" w:cs="Tahoma"/>
                <w:sz w:val="18"/>
                <w:szCs w:val="18"/>
                <w:lang w:val="de-DE"/>
              </w:rPr>
              <w:t>Diensten.</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D203C1">
            <w:pPr>
              <w:pStyle w:val="AppendixBodyText"/>
              <w:numPr>
                <w:ilvl w:val="0"/>
                <w:numId w:val="2"/>
              </w:numPr>
              <w:tabs>
                <w:tab w:val="num" w:pos="522"/>
              </w:tabs>
              <w:ind w:left="522"/>
              <w:rPr>
                <w:lang w:val="de-DE"/>
              </w:rPr>
            </w:pPr>
            <w:r w:rsidRPr="00C83DF5">
              <w:rPr>
                <w:rFonts w:ascii="Tahoma" w:hAnsi="Tahoma" w:cs="Tahoma"/>
                <w:sz w:val="18"/>
                <w:szCs w:val="18"/>
                <w:lang w:val="de-DE"/>
              </w:rPr>
              <w:t>1</w:t>
            </w:r>
            <w:r w:rsidRPr="00C83DF5">
              <w:rPr>
                <w:rFonts w:ascii="Tahoma" w:hAnsi="Tahoma" w:cs="Tahoma"/>
                <w:sz w:val="18"/>
                <w:szCs w:val="18"/>
                <w:vertAlign w:val="superscript"/>
                <w:lang w:val="de-DE"/>
              </w:rPr>
              <w:t>.</w:t>
            </w:r>
            <w:r w:rsidRPr="00C83DF5">
              <w:rPr>
                <w:rFonts w:ascii="Tahoma" w:hAnsi="Tahoma" w:cs="Tahoma"/>
                <w:sz w:val="18"/>
                <w:szCs w:val="18"/>
                <w:lang w:val="de-DE"/>
              </w:rPr>
              <w:t xml:space="preserve"> Reaktion auf Anruf</w:t>
            </w:r>
            <w:r w:rsidR="00D203C1">
              <w:rPr>
                <w:rFonts w:ascii="Tahoma" w:hAnsi="Tahoma" w:cs="Tahoma"/>
                <w:sz w:val="18"/>
                <w:szCs w:val="18"/>
                <w:lang w:val="de-DE"/>
              </w:rPr>
              <w:t> </w:t>
            </w:r>
            <w:r w:rsidRPr="00C83DF5">
              <w:rPr>
                <w:rFonts w:ascii="Tahoma" w:hAnsi="Tahoma" w:cs="Tahoma"/>
                <w:sz w:val="18"/>
                <w:szCs w:val="18"/>
                <w:lang w:val="de-DE"/>
              </w:rPr>
              <w:t>innerhalb von einem Geschäftstag oder weniger, basierend auf dem Supportangebot</w:t>
            </w:r>
          </w:p>
          <w:p w:rsidR="00023FE7" w:rsidRPr="008B3D04" w:rsidRDefault="00023FE7" w:rsidP="00D203C1">
            <w:pPr>
              <w:pStyle w:val="AppendixBodyText"/>
              <w:numPr>
                <w:ilvl w:val="0"/>
                <w:numId w:val="2"/>
              </w:numPr>
              <w:tabs>
                <w:tab w:val="num" w:pos="522"/>
              </w:tabs>
              <w:ind w:left="522"/>
              <w:rPr>
                <w:rFonts w:ascii="Tahoma" w:hAnsi="Tahoma" w:cs="Tahoma"/>
                <w:sz w:val="18"/>
                <w:szCs w:val="18"/>
                <w:lang w:val="de-DE"/>
              </w:rPr>
            </w:pPr>
            <w:r w:rsidRPr="008B3D04">
              <w:rPr>
                <w:rFonts w:ascii="Tahoma" w:hAnsi="Tahoma" w:cs="Tahoma"/>
                <w:sz w:val="18"/>
                <w:szCs w:val="18"/>
                <w:lang w:val="de-DE"/>
              </w:rPr>
              <w:t xml:space="preserve">Bemühungen nur während der </w:t>
            </w:r>
            <w:r w:rsidRPr="008B3D04">
              <w:rPr>
                <w:rFonts w:ascii="Tahoma" w:hAnsi="Tahoma" w:cs="Tahoma"/>
                <w:bCs/>
                <w:sz w:val="18"/>
                <w:szCs w:val="18"/>
                <w:lang w:val="de-DE"/>
              </w:rPr>
              <w:t>Geschäftszeiten</w:t>
            </w:r>
          </w:p>
        </w:tc>
        <w:tc>
          <w:tcPr>
            <w:tcW w:w="2774" w:type="dxa"/>
            <w:tcBorders>
              <w:top w:val="nil"/>
              <w:left w:val="nil"/>
              <w:bottom w:val="single" w:sz="8" w:space="0" w:color="auto"/>
              <w:right w:val="single" w:sz="8" w:space="0" w:color="auto"/>
            </w:tcBorders>
            <w:tcMar>
              <w:top w:w="0" w:type="dxa"/>
              <w:left w:w="108" w:type="dxa"/>
              <w:bottom w:w="0" w:type="dxa"/>
              <w:right w:w="108" w:type="dxa"/>
            </w:tcMar>
          </w:tcPr>
          <w:p w:rsidR="00023FE7" w:rsidRPr="00C83DF5" w:rsidRDefault="00023FE7" w:rsidP="00D203C1">
            <w:pPr>
              <w:pStyle w:val="AppendixBodyText"/>
              <w:numPr>
                <w:ilvl w:val="0"/>
                <w:numId w:val="2"/>
              </w:numPr>
              <w:tabs>
                <w:tab w:val="clear" w:pos="1440"/>
                <w:tab w:val="num" w:pos="432"/>
              </w:tabs>
              <w:ind w:left="432"/>
            </w:pPr>
            <w:r w:rsidRPr="00C83DF5">
              <w:rPr>
                <w:rFonts w:ascii="Tahoma" w:hAnsi="Tahoma" w:cs="Tahoma"/>
                <w:sz w:val="18"/>
                <w:szCs w:val="18"/>
              </w:rPr>
              <w:t>Genaue Kontaktinformationen zum</w:t>
            </w:r>
            <w:r w:rsidR="00D203C1">
              <w:rPr>
                <w:rFonts w:ascii="Tahoma" w:hAnsi="Tahoma" w:cs="Tahoma"/>
                <w:sz w:val="18"/>
                <w:szCs w:val="18"/>
              </w:rPr>
              <w:t> </w:t>
            </w:r>
            <w:r w:rsidRPr="00C83DF5">
              <w:rPr>
                <w:rFonts w:ascii="Tahoma" w:hAnsi="Tahoma" w:cs="Tahoma"/>
                <w:sz w:val="18"/>
                <w:szCs w:val="18"/>
              </w:rPr>
              <w:t>Fallinhaber</w:t>
            </w:r>
          </w:p>
          <w:p w:rsidR="00023FE7" w:rsidRPr="00C83DF5" w:rsidRDefault="00023FE7" w:rsidP="0027028A">
            <w:pPr>
              <w:pStyle w:val="AppendixBodyText"/>
              <w:numPr>
                <w:ilvl w:val="0"/>
                <w:numId w:val="2"/>
              </w:numPr>
              <w:tabs>
                <w:tab w:val="clear" w:pos="1440"/>
                <w:tab w:val="num" w:pos="432"/>
              </w:tabs>
              <w:ind w:left="432"/>
              <w:rPr>
                <w:rFonts w:ascii="Tahoma" w:hAnsi="Tahoma" w:cs="Tahoma"/>
                <w:sz w:val="18"/>
                <w:szCs w:val="18"/>
              </w:rPr>
            </w:pPr>
            <w:r w:rsidRPr="00C83DF5">
              <w:rPr>
                <w:rFonts w:ascii="Tahoma" w:hAnsi="Tahoma" w:cs="Tahoma"/>
                <w:sz w:val="18"/>
                <w:szCs w:val="18"/>
              </w:rPr>
              <w:t>Reaktion innerhalb eines Geschäftstages</w:t>
            </w:r>
          </w:p>
        </w:tc>
      </w:tr>
    </w:tbl>
    <w:p w:rsidR="00023FE7" w:rsidRPr="00C83DF5" w:rsidRDefault="00023FE7">
      <w:pPr>
        <w:pStyle w:val="AppendixBodyText"/>
        <w:ind w:left="90" w:right="2160"/>
        <w:rPr>
          <w:lang w:val="de-DE"/>
        </w:rPr>
      </w:pPr>
      <w:r w:rsidRPr="003A279C">
        <w:rPr>
          <w:rFonts w:ascii="Tahoma" w:hAnsi="Tahoma" w:cs="Tahoma"/>
          <w:i/>
          <w:sz w:val="16"/>
          <w:szCs w:val="16"/>
          <w:vertAlign w:val="superscript"/>
          <w:lang w:val="de-DE"/>
        </w:rPr>
        <w:t>1</w:t>
      </w:r>
      <w:r w:rsidRPr="00C83DF5">
        <w:rPr>
          <w:rFonts w:ascii="Tahoma" w:hAnsi="Tahoma" w:cs="Tahoma"/>
          <w:i/>
          <w:sz w:val="16"/>
          <w:szCs w:val="16"/>
          <w:lang w:val="de-DE"/>
        </w:rPr>
        <w:t xml:space="preserve"> Wenden Sie sich bezüglich der örtlichen Geschäftszeiten an Ihren Microsoft-Vertreter.</w:t>
      </w:r>
    </w:p>
    <w:p w:rsidR="00023FE7" w:rsidRPr="00C83DF5" w:rsidRDefault="00023FE7" w:rsidP="00A32CC3">
      <w:pPr>
        <w:pStyle w:val="AppendixBodyText"/>
        <w:ind w:left="225" w:hanging="135"/>
        <w:rPr>
          <w:lang w:val="de-DE"/>
        </w:rPr>
      </w:pPr>
      <w:r w:rsidRPr="003A279C">
        <w:rPr>
          <w:rFonts w:ascii="Tahoma" w:hAnsi="Tahoma" w:cs="Tahoma"/>
          <w:i/>
          <w:sz w:val="16"/>
          <w:szCs w:val="16"/>
          <w:vertAlign w:val="superscript"/>
          <w:lang w:val="de-DE"/>
        </w:rPr>
        <w:t>2</w:t>
      </w:r>
      <w:r w:rsidR="003A279C">
        <w:rPr>
          <w:rFonts w:ascii="Tahoma" w:hAnsi="Tahoma" w:cs="Tahoma"/>
          <w:i/>
          <w:sz w:val="16"/>
          <w:szCs w:val="16"/>
          <w:lang w:val="de-DE"/>
        </w:rPr>
        <w:t xml:space="preserve"> </w:t>
      </w:r>
      <w:r w:rsidRPr="00C83DF5">
        <w:rPr>
          <w:rFonts w:ascii="Tahoma" w:hAnsi="Tahoma" w:cs="Tahoma"/>
          <w:i/>
          <w:sz w:val="16"/>
          <w:szCs w:val="16"/>
          <w:lang w:val="de-DE"/>
        </w:rPr>
        <w:t>Möglicherweise müssen wir den Schweregrad herunterstufen, falls der Kunde nicht in der Lage ist, angemessene Ressourcen oder Reaktionen bereitzustellen, um uns die Fortsetzung der Bemühungen zur Problembehebung zu ermöglichen.</w:t>
      </w:r>
    </w:p>
    <w:p w:rsidR="00023FE7" w:rsidRPr="00C83DF5" w:rsidRDefault="00023FE7" w:rsidP="00F42FB8">
      <w:pPr>
        <w:pStyle w:val="AppendixBodyText"/>
        <w:spacing w:after="0"/>
        <w:ind w:right="2160"/>
        <w:rPr>
          <w:lang w:val="de-DE"/>
        </w:rPr>
      </w:pPr>
    </w:p>
    <w:p w:rsidR="00023FE7" w:rsidRPr="00C83DF5" w:rsidRDefault="00023FE7" w:rsidP="00CF066C">
      <w:pPr>
        <w:pStyle w:val="AppendixBodyText"/>
        <w:spacing w:after="0"/>
        <w:rPr>
          <w:lang w:val="de-DE"/>
        </w:rPr>
      </w:pPr>
      <w:r w:rsidRPr="00C83DF5">
        <w:rPr>
          <w:rFonts w:ascii="Tahoma" w:hAnsi="Tahoma" w:cs="Tahoma"/>
          <w:bCs/>
          <w:sz w:val="18"/>
          <w:szCs w:val="18"/>
          <w:lang w:val="de-DE"/>
        </w:rPr>
        <w:lastRenderedPageBreak/>
        <w:t>Möglicherweise müssen die Kunden Aktivitäten zur Problembestimmung und -behebung ausführen, die</w:t>
      </w:r>
      <w:r w:rsidR="00CF066C">
        <w:rPr>
          <w:rFonts w:ascii="Tahoma" w:hAnsi="Tahoma" w:cs="Tahoma"/>
          <w:bCs/>
          <w:sz w:val="18"/>
          <w:szCs w:val="18"/>
          <w:lang w:val="de-DE"/>
        </w:rPr>
        <w:t> </w:t>
      </w:r>
      <w:r w:rsidRPr="00C83DF5">
        <w:rPr>
          <w:rFonts w:ascii="Tahoma" w:hAnsi="Tahoma" w:cs="Tahoma"/>
          <w:bCs/>
          <w:sz w:val="18"/>
          <w:szCs w:val="18"/>
          <w:lang w:val="de-DE"/>
        </w:rPr>
        <w:t>von</w:t>
      </w:r>
      <w:r w:rsidR="00CF066C">
        <w:rPr>
          <w:rFonts w:ascii="Tahoma" w:hAnsi="Tahoma" w:cs="Tahoma"/>
          <w:bCs/>
          <w:sz w:val="18"/>
          <w:szCs w:val="18"/>
          <w:lang w:val="de-DE"/>
        </w:rPr>
        <w:t> </w:t>
      </w:r>
      <w:r w:rsidRPr="00C83DF5">
        <w:rPr>
          <w:rFonts w:ascii="Tahoma" w:hAnsi="Tahoma" w:cs="Tahoma"/>
          <w:bCs/>
          <w:sz w:val="18"/>
          <w:szCs w:val="18"/>
          <w:lang w:val="de-DE"/>
        </w:rPr>
        <w:t>uns</w:t>
      </w:r>
      <w:r w:rsidR="00CF066C">
        <w:rPr>
          <w:rFonts w:ascii="Tahoma" w:hAnsi="Tahoma" w:cs="Tahoma"/>
          <w:bCs/>
          <w:sz w:val="18"/>
          <w:szCs w:val="18"/>
          <w:lang w:val="de-DE"/>
        </w:rPr>
        <w:t> </w:t>
      </w:r>
      <w:r w:rsidRPr="00C83DF5">
        <w:rPr>
          <w:rFonts w:ascii="Tahoma" w:hAnsi="Tahoma" w:cs="Tahoma"/>
          <w:bCs/>
          <w:sz w:val="18"/>
          <w:szCs w:val="18"/>
          <w:lang w:val="de-DE"/>
        </w:rPr>
        <w:t>verlangt werden.</w:t>
      </w:r>
      <w:r w:rsidR="00E71F46" w:rsidRPr="00C83DF5">
        <w:rPr>
          <w:rFonts w:ascii="Tahoma" w:hAnsi="Tahoma" w:cs="Tahoma"/>
          <w:bCs/>
          <w:sz w:val="18"/>
          <w:szCs w:val="18"/>
          <w:lang w:val="de-DE"/>
        </w:rPr>
        <w:t xml:space="preserve"> </w:t>
      </w:r>
      <w:r w:rsidRPr="00C83DF5">
        <w:rPr>
          <w:rFonts w:ascii="Tahoma" w:hAnsi="Tahoma" w:cs="Tahoma"/>
          <w:bCs/>
          <w:sz w:val="18"/>
          <w:szCs w:val="18"/>
          <w:lang w:val="de-DE"/>
        </w:rPr>
        <w:t>Aktivitäten zur Problembestimmung und -behebung können das Ausführen von Netzwerkverfolgungen, das Erfassen von Fehlermeldungen, das Sammeln von Konfigurationsinformationen, das</w:t>
      </w:r>
      <w:r w:rsidR="00CF066C">
        <w:rPr>
          <w:rFonts w:ascii="Tahoma" w:hAnsi="Tahoma" w:cs="Tahoma"/>
          <w:bCs/>
          <w:sz w:val="18"/>
          <w:szCs w:val="18"/>
          <w:lang w:val="de-DE"/>
        </w:rPr>
        <w:t> </w:t>
      </w:r>
      <w:r w:rsidRPr="00C83DF5">
        <w:rPr>
          <w:rFonts w:ascii="Tahoma" w:hAnsi="Tahoma" w:cs="Tahoma"/>
          <w:bCs/>
          <w:sz w:val="18"/>
          <w:szCs w:val="18"/>
          <w:lang w:val="de-DE"/>
        </w:rPr>
        <w:t>Ändern von Produktkonfigurationen, das Installieren neuer Softwareversionen oder neuer Komponenten oder</w:t>
      </w:r>
      <w:r w:rsidR="00CF066C">
        <w:rPr>
          <w:rFonts w:ascii="Tahoma" w:hAnsi="Tahoma" w:cs="Tahoma"/>
          <w:bCs/>
          <w:sz w:val="18"/>
          <w:szCs w:val="18"/>
          <w:lang w:val="de-DE"/>
        </w:rPr>
        <w:t> </w:t>
      </w:r>
      <w:r w:rsidRPr="00C83DF5">
        <w:rPr>
          <w:rFonts w:ascii="Tahoma" w:hAnsi="Tahoma" w:cs="Tahoma"/>
          <w:bCs/>
          <w:sz w:val="18"/>
          <w:szCs w:val="18"/>
          <w:lang w:val="de-DE"/>
        </w:rPr>
        <w:t>das</w:t>
      </w:r>
      <w:r w:rsidR="00CF066C">
        <w:rPr>
          <w:rFonts w:ascii="Tahoma" w:hAnsi="Tahoma" w:cs="Tahoma"/>
          <w:bCs/>
          <w:sz w:val="18"/>
          <w:szCs w:val="18"/>
          <w:lang w:val="de-DE"/>
        </w:rPr>
        <w:t> </w:t>
      </w:r>
      <w:r w:rsidRPr="00C83DF5">
        <w:rPr>
          <w:rFonts w:ascii="Tahoma" w:hAnsi="Tahoma" w:cs="Tahoma"/>
          <w:bCs/>
          <w:sz w:val="18"/>
          <w:szCs w:val="18"/>
          <w:lang w:val="de-DE"/>
        </w:rPr>
        <w:t xml:space="preserve">Ändern von Prozessen umfassen. </w:t>
      </w:r>
    </w:p>
    <w:p w:rsidR="00077CE5" w:rsidRPr="008B3D04" w:rsidRDefault="00077CE5" w:rsidP="00F42FB8">
      <w:pPr>
        <w:pStyle w:val="AppendixBodyText"/>
        <w:spacing w:after="0"/>
        <w:rPr>
          <w:rFonts w:ascii="Tahoma" w:hAnsi="Tahoma" w:cs="Tahoma"/>
          <w:sz w:val="18"/>
          <w:szCs w:val="18"/>
          <w:lang w:val="de-DE"/>
        </w:rPr>
      </w:pPr>
    </w:p>
    <w:p w:rsidR="00023FE7" w:rsidRPr="00C83DF5" w:rsidRDefault="00023FE7" w:rsidP="00174F3A">
      <w:pPr>
        <w:pStyle w:val="AppendixBodyText"/>
        <w:spacing w:after="0"/>
        <w:rPr>
          <w:lang w:val="de-DE"/>
        </w:rPr>
      </w:pPr>
      <w:r w:rsidRPr="00C83DF5">
        <w:rPr>
          <w:rFonts w:ascii="Tahoma" w:hAnsi="Tahoma" w:cs="Tahoma"/>
          <w:bCs/>
          <w:sz w:val="18"/>
          <w:szCs w:val="18"/>
          <w:lang w:val="de-DE"/>
        </w:rPr>
        <w:t>Die Kunden sind für die Implementierung der Verfahren verantwortlich, die notwendig sind, um die Integrität und</w:t>
      </w:r>
      <w:r w:rsidR="00174F3A">
        <w:rPr>
          <w:rFonts w:ascii="Tahoma" w:hAnsi="Tahoma" w:cs="Tahoma"/>
          <w:bCs/>
          <w:sz w:val="18"/>
          <w:szCs w:val="18"/>
          <w:lang w:val="de-DE"/>
        </w:rPr>
        <w:t> </w:t>
      </w:r>
      <w:r w:rsidRPr="00C83DF5">
        <w:rPr>
          <w:rFonts w:ascii="Tahoma" w:hAnsi="Tahoma" w:cs="Tahoma"/>
          <w:bCs/>
          <w:sz w:val="18"/>
          <w:szCs w:val="18"/>
          <w:lang w:val="de-DE"/>
        </w:rPr>
        <w:t>Sicherheit ihrer Software und Daten vor nicht autorisiertem Zugriff zu schützen und infolge katastrophaler Fehler</w:t>
      </w:r>
      <w:r w:rsidR="00174F3A">
        <w:rPr>
          <w:rFonts w:ascii="Tahoma" w:hAnsi="Tahoma" w:cs="Tahoma"/>
          <w:bCs/>
          <w:sz w:val="18"/>
          <w:szCs w:val="18"/>
          <w:lang w:val="de-DE"/>
        </w:rPr>
        <w:t> </w:t>
      </w:r>
      <w:r w:rsidRPr="00C83DF5">
        <w:rPr>
          <w:rFonts w:ascii="Tahoma" w:hAnsi="Tahoma" w:cs="Tahoma"/>
          <w:bCs/>
          <w:sz w:val="18"/>
          <w:szCs w:val="18"/>
          <w:lang w:val="de-DE"/>
        </w:rPr>
        <w:t>verloren gegangene oder geänderte Dateien zu rekonstruieren.</w:t>
      </w:r>
    </w:p>
    <w:p w:rsidR="00077CE5" w:rsidRPr="008B3D04" w:rsidRDefault="00077CE5" w:rsidP="00F42FB8">
      <w:pPr>
        <w:pStyle w:val="AppendixBodyText"/>
        <w:spacing w:after="0"/>
        <w:rPr>
          <w:rFonts w:ascii="Tahoma" w:hAnsi="Tahoma" w:cs="Tahoma"/>
          <w:bCs/>
          <w:sz w:val="18"/>
          <w:szCs w:val="18"/>
          <w:lang w:val="de-DE"/>
        </w:rPr>
      </w:pPr>
    </w:p>
    <w:p w:rsidR="00023FE7" w:rsidRPr="00C83DF5" w:rsidRDefault="00023FE7" w:rsidP="00174F3A">
      <w:pPr>
        <w:pStyle w:val="AppendixBodyText"/>
        <w:spacing w:after="0"/>
        <w:rPr>
          <w:lang w:val="de-DE"/>
        </w:rPr>
      </w:pPr>
      <w:r w:rsidRPr="00C83DF5">
        <w:rPr>
          <w:rFonts w:ascii="Tahoma" w:hAnsi="Tahoma" w:cs="Tahoma"/>
          <w:bCs/>
          <w:sz w:val="18"/>
          <w:szCs w:val="18"/>
          <w:lang w:val="de-DE"/>
        </w:rPr>
        <w:t>Diese Supportvergünstigung ist an die SA-Investition geknüpft, nicht an die Version. Kunden können die neueste Version erwerben, um eine ältere Version mit Downgraderechten zu nutzen, haben jedoch nur Anspruch auf Support</w:t>
      </w:r>
      <w:r w:rsidR="00174F3A">
        <w:rPr>
          <w:rFonts w:ascii="Tahoma" w:hAnsi="Tahoma" w:cs="Tahoma"/>
          <w:bCs/>
          <w:sz w:val="18"/>
          <w:szCs w:val="18"/>
          <w:lang w:val="de-DE"/>
        </w:rPr>
        <w:t> </w:t>
      </w:r>
      <w:r w:rsidRPr="00C83DF5">
        <w:rPr>
          <w:rFonts w:ascii="Tahoma" w:hAnsi="Tahoma" w:cs="Tahoma"/>
          <w:bCs/>
          <w:sz w:val="18"/>
          <w:szCs w:val="18"/>
          <w:lang w:val="de-DE"/>
        </w:rPr>
        <w:t>für dieses Produkt, wenn es als unterstütztes Produkt auf der Microsoft-Produktlebenszyklus-Website aufgeführt ist.</w:t>
      </w:r>
      <w:r w:rsidR="00E71F46" w:rsidRPr="00C83DF5">
        <w:rPr>
          <w:rFonts w:ascii="Tahoma" w:hAnsi="Tahoma" w:cs="Tahoma"/>
          <w:bCs/>
          <w:sz w:val="18"/>
          <w:szCs w:val="18"/>
          <w:lang w:val="de-DE"/>
        </w:rPr>
        <w:t xml:space="preserve"> </w:t>
      </w:r>
      <w:r w:rsidRPr="00C83DF5">
        <w:rPr>
          <w:rFonts w:ascii="Tahoma" w:hAnsi="Tahoma" w:cs="Tahoma"/>
          <w:bCs/>
          <w:sz w:val="18"/>
          <w:szCs w:val="18"/>
          <w:lang w:val="de-DE"/>
        </w:rPr>
        <w:t xml:space="preserve">Die aktuelle Microsoft-Produktlebenszyklus-Website befindet sich unter </w:t>
      </w:r>
      <w:hyperlink r:id="rId26" w:history="1">
        <w:r w:rsidRPr="00C83DF5">
          <w:rPr>
            <w:rStyle w:val="Hyperlink"/>
            <w:rFonts w:ascii="Tahoma" w:hAnsi="Tahoma" w:cs="Tahoma"/>
            <w:bCs/>
            <w:sz w:val="18"/>
            <w:szCs w:val="18"/>
            <w:lang w:val="de-DE"/>
          </w:rPr>
          <w:t>http://support.microsoft.com/common/international.aspx?rdpath=dm;en-us;lifecycle</w:t>
        </w:r>
      </w:hyperlink>
      <w:r w:rsidRPr="00C83DF5">
        <w:rPr>
          <w:rFonts w:ascii="Tahoma" w:hAnsi="Tahoma" w:cs="Tahoma"/>
          <w:bCs/>
          <w:sz w:val="18"/>
          <w:szCs w:val="18"/>
          <w:lang w:val="de-DE"/>
        </w:rPr>
        <w:t xml:space="preserve">. </w:t>
      </w:r>
    </w:p>
    <w:p w:rsidR="00023FE7" w:rsidRPr="008B3D04" w:rsidRDefault="00023FE7" w:rsidP="00F42FB8">
      <w:pPr>
        <w:pStyle w:val="AppendixBodyText"/>
        <w:spacing w:after="0"/>
        <w:rPr>
          <w:rFonts w:ascii="Tahoma" w:hAnsi="Tahoma" w:cs="Tahoma"/>
          <w:color w:val="000000"/>
          <w:sz w:val="18"/>
          <w:szCs w:val="18"/>
          <w:lang w:val="de-DE"/>
        </w:rPr>
      </w:pPr>
    </w:p>
    <w:p w:rsidR="00077CE5" w:rsidRPr="00C83DF5" w:rsidRDefault="00AF539A" w:rsidP="00DA2788">
      <w:pPr>
        <w:pStyle w:val="AppendixBodyText"/>
        <w:rPr>
          <w:lang w:val="de-DE"/>
        </w:rPr>
      </w:pPr>
      <w:r w:rsidRPr="00C83DF5">
        <w:rPr>
          <w:rFonts w:ascii="Tahoma" w:hAnsi="Tahoma" w:cs="Tahoma"/>
          <w:b/>
          <w:bCs/>
          <w:color w:val="000000"/>
          <w:sz w:val="18"/>
          <w:szCs w:val="18"/>
          <w:lang w:val="de-DE"/>
        </w:rPr>
        <w:t>Umwandlung von Software Assurance-24x7-Problembehebungssupport-Anfragen in Premier-Supportleistungen</w:t>
      </w:r>
    </w:p>
    <w:p w:rsidR="00077CE5" w:rsidRPr="00C83DF5" w:rsidRDefault="00AF539A" w:rsidP="00CF066C">
      <w:pPr>
        <w:pStyle w:val="AppendixBodyText"/>
        <w:spacing w:after="0"/>
        <w:rPr>
          <w:lang w:val="de-DE"/>
        </w:rPr>
      </w:pPr>
      <w:r w:rsidRPr="00C83DF5">
        <w:rPr>
          <w:rFonts w:ascii="Tahoma" w:hAnsi="Tahoma" w:cs="Tahoma"/>
          <w:color w:val="000000"/>
          <w:sz w:val="18"/>
          <w:szCs w:val="18"/>
          <w:lang w:val="de-DE"/>
        </w:rPr>
        <w:t>Kunden können sich dafür entscheiden, Software Assurance-24x7-Problembehebungssupport-Anfragen umzuwandeln</w:t>
      </w:r>
      <w:r w:rsidR="00CF066C">
        <w:rPr>
          <w:rFonts w:ascii="Tahoma" w:hAnsi="Tahoma" w:cs="Tahoma"/>
          <w:color w:val="000000"/>
          <w:sz w:val="18"/>
          <w:szCs w:val="18"/>
          <w:lang w:val="de-DE"/>
        </w:rPr>
        <w:t> </w:t>
      </w:r>
      <w:r w:rsidRPr="00C83DF5">
        <w:rPr>
          <w:rFonts w:ascii="Tahoma" w:hAnsi="Tahoma" w:cs="Tahoma"/>
          <w:color w:val="000000"/>
          <w:sz w:val="18"/>
          <w:szCs w:val="18"/>
          <w:lang w:val="de-DE"/>
        </w:rPr>
        <w:t>in:</w:t>
      </w:r>
    </w:p>
    <w:p w:rsidR="00077CE5" w:rsidRPr="008B3D04" w:rsidRDefault="00077CE5" w:rsidP="00DA2788">
      <w:pPr>
        <w:pStyle w:val="AppendixBodyText"/>
        <w:spacing w:after="0"/>
        <w:rPr>
          <w:rFonts w:ascii="Tahoma" w:hAnsi="Tahoma" w:cs="Tahoma"/>
          <w:color w:val="000000"/>
          <w:sz w:val="18"/>
          <w:szCs w:val="18"/>
          <w:lang w:val="de-DE" w:eastAsia="ja-JP"/>
        </w:rPr>
      </w:pPr>
    </w:p>
    <w:p w:rsidR="00AF539A" w:rsidRPr="00C83DF5" w:rsidRDefault="00AF539A" w:rsidP="00346F4B">
      <w:pPr>
        <w:pStyle w:val="AppendixBodyText"/>
        <w:numPr>
          <w:ilvl w:val="0"/>
          <w:numId w:val="28"/>
        </w:numPr>
        <w:tabs>
          <w:tab w:val="left" w:pos="1440"/>
        </w:tabs>
        <w:ind w:left="1440"/>
      </w:pPr>
      <w:r w:rsidRPr="00C83DF5">
        <w:rPr>
          <w:rFonts w:ascii="Tahoma" w:hAnsi="Tahoma" w:cs="Tahoma"/>
          <w:color w:val="000000"/>
          <w:sz w:val="18"/>
          <w:szCs w:val="18"/>
        </w:rPr>
        <w:t>Premier-Problembehebungssupport-Stunden</w:t>
      </w:r>
    </w:p>
    <w:p w:rsidR="00AF539A" w:rsidRPr="00C83DF5" w:rsidRDefault="00AF539A" w:rsidP="00346F4B">
      <w:pPr>
        <w:pStyle w:val="AppendixBodyText"/>
        <w:numPr>
          <w:ilvl w:val="0"/>
          <w:numId w:val="28"/>
        </w:numPr>
        <w:tabs>
          <w:tab w:val="left" w:pos="1440"/>
        </w:tabs>
        <w:ind w:left="1440"/>
        <w:rPr>
          <w:lang w:val="de-DE"/>
        </w:rPr>
      </w:pPr>
      <w:r w:rsidRPr="00C83DF5">
        <w:rPr>
          <w:rFonts w:ascii="Tahoma" w:hAnsi="Tahoma" w:cs="Tahoma"/>
          <w:color w:val="000000"/>
          <w:sz w:val="18"/>
          <w:szCs w:val="18"/>
          <w:lang w:val="de-DE"/>
        </w:rPr>
        <w:t>Dedicated Support Engineer (DSE)-Stunden – gilt nur für Aktivitäten im Rahmen des reaktiven Supports</w:t>
      </w:r>
    </w:p>
    <w:p w:rsidR="00077CE5" w:rsidRPr="008B3D04" w:rsidRDefault="00077CE5" w:rsidP="00DA2788">
      <w:pPr>
        <w:pStyle w:val="AppendixBodyText"/>
        <w:tabs>
          <w:tab w:val="left" w:pos="1440"/>
        </w:tabs>
        <w:spacing w:after="0"/>
        <w:rPr>
          <w:rFonts w:ascii="Tahoma" w:hAnsi="Tahoma" w:cs="Tahoma"/>
          <w:color w:val="000000"/>
          <w:sz w:val="18"/>
          <w:szCs w:val="18"/>
          <w:lang w:val="de-DE" w:eastAsia="ja-JP"/>
        </w:rPr>
      </w:pPr>
    </w:p>
    <w:p w:rsidR="00AF539A" w:rsidRPr="00C83DF5" w:rsidRDefault="00AF539A" w:rsidP="00CF066C">
      <w:pPr>
        <w:rPr>
          <w:lang w:val="de-DE"/>
        </w:rPr>
      </w:pPr>
      <w:r w:rsidRPr="00C83DF5">
        <w:rPr>
          <w:rFonts w:cs="Tahoma"/>
          <w:color w:val="000000"/>
          <w:szCs w:val="18"/>
          <w:lang w:val="de-DE"/>
        </w:rPr>
        <w:t>Diese Services sind zur Nutzung in Übereinstimmung mit ihrem Premier-Serviceplan zum Zeitpunkt der Übertragung</w:t>
      </w:r>
      <w:r w:rsidR="00CF066C">
        <w:rPr>
          <w:rFonts w:cs="Tahoma"/>
          <w:color w:val="000000"/>
          <w:szCs w:val="18"/>
          <w:lang w:val="de-DE"/>
        </w:rPr>
        <w:t> </w:t>
      </w:r>
      <w:r w:rsidRPr="00C83DF5">
        <w:rPr>
          <w:rFonts w:cs="Tahoma"/>
          <w:color w:val="000000"/>
          <w:szCs w:val="18"/>
          <w:lang w:val="de-DE"/>
        </w:rPr>
        <w:t xml:space="preserve">bestimmt. Die Umwandlung basiert auf einer Berechnung des örtlichen Tarifs, die von ihrem </w:t>
      </w:r>
      <w:r w:rsidR="00CF066C">
        <w:rPr>
          <w:rFonts w:cs="Tahoma"/>
          <w:color w:val="000000"/>
          <w:szCs w:val="18"/>
          <w:lang w:val="de-DE"/>
        </w:rPr>
        <w:br/>
      </w:r>
      <w:r w:rsidRPr="00C83DF5">
        <w:rPr>
          <w:rFonts w:cs="Tahoma"/>
          <w:color w:val="000000"/>
          <w:szCs w:val="18"/>
          <w:lang w:val="de-DE"/>
        </w:rPr>
        <w:t>Premier-Kundenteam bereitgestellt wird.</w:t>
      </w:r>
      <w:r w:rsidR="00E71F46" w:rsidRPr="00C83DF5">
        <w:rPr>
          <w:rFonts w:cs="Tahoma"/>
          <w:color w:val="000000"/>
          <w:szCs w:val="18"/>
          <w:lang w:val="de-DE"/>
        </w:rPr>
        <w:t xml:space="preserve"> </w:t>
      </w:r>
      <w:r w:rsidRPr="00C83DF5">
        <w:rPr>
          <w:rFonts w:cs="Tahoma"/>
          <w:color w:val="000000"/>
          <w:szCs w:val="18"/>
          <w:lang w:val="de-DE"/>
        </w:rPr>
        <w:t>Möglicherweise müssen die Kunden vor der Umwandlung von Software</w:t>
      </w:r>
      <w:r w:rsidR="00CF066C">
        <w:rPr>
          <w:rFonts w:cs="Tahoma"/>
          <w:color w:val="000000"/>
          <w:szCs w:val="18"/>
          <w:lang w:val="de-DE"/>
        </w:rPr>
        <w:t> </w:t>
      </w:r>
      <w:r w:rsidRPr="00C83DF5">
        <w:rPr>
          <w:rFonts w:cs="Tahoma"/>
          <w:color w:val="000000"/>
          <w:szCs w:val="18"/>
          <w:lang w:val="de-DE"/>
        </w:rPr>
        <w:t>Assurance-24x7-Problembehebungssupport-Stunden zusätzliche Supportaccountverwaltungs-Stunden erwerben.</w:t>
      </w:r>
      <w:r w:rsidR="00E71F46" w:rsidRPr="00C83DF5">
        <w:rPr>
          <w:rFonts w:cs="Tahoma"/>
          <w:color w:val="000000"/>
          <w:szCs w:val="18"/>
          <w:lang w:val="de-DE"/>
        </w:rPr>
        <w:t xml:space="preserve"> </w:t>
      </w:r>
      <w:r w:rsidRPr="00C83DF5">
        <w:rPr>
          <w:rFonts w:cs="Tahoma"/>
          <w:color w:val="000000"/>
          <w:szCs w:val="18"/>
          <w:lang w:val="de-DE"/>
        </w:rPr>
        <w:t>SA-24x7-Problembehebungssupport-Anfragen, die in Premier umgewandelt werden, gelten als Premier-Problembehebungssupport-Stunden und unterliegen der Premier-Services-Beschreibung.</w:t>
      </w:r>
      <w:r w:rsidR="00E71F46" w:rsidRPr="00C83DF5">
        <w:rPr>
          <w:rFonts w:cs="Tahoma"/>
          <w:color w:val="000000"/>
          <w:szCs w:val="18"/>
          <w:lang w:val="de-DE"/>
        </w:rPr>
        <w:t xml:space="preserve"> </w:t>
      </w:r>
      <w:r w:rsidRPr="00C83DF5">
        <w:rPr>
          <w:rFonts w:cs="Tahoma"/>
          <w:color w:val="000000"/>
          <w:szCs w:val="18"/>
          <w:lang w:val="de-DE"/>
        </w:rPr>
        <w:t>Nach der Umwandlung können Fälle nicht in die SA-Zuteilung eines Kunden zurückgeführt werden.</w:t>
      </w:r>
    </w:p>
    <w:p w:rsidR="00023FE7" w:rsidRPr="008B3D04" w:rsidRDefault="00023FE7" w:rsidP="00F42FB8">
      <w:pPr>
        <w:pStyle w:val="AppendixBodyText"/>
        <w:spacing w:after="0"/>
        <w:rPr>
          <w:rFonts w:ascii="Tahoma" w:hAnsi="Tahoma" w:cs="Tahoma"/>
          <w:color w:val="000000"/>
          <w:lang w:val="de-DE"/>
        </w:rPr>
      </w:pPr>
    </w:p>
    <w:p w:rsidR="00077CE5" w:rsidRPr="00C83DF5" w:rsidRDefault="00077CE5" w:rsidP="00862623">
      <w:pPr>
        <w:pStyle w:val="AppendixBodyText"/>
        <w:keepNext/>
        <w:rPr>
          <w:lang w:val="de-DE"/>
        </w:rPr>
      </w:pPr>
      <w:r w:rsidRPr="00C83DF5">
        <w:rPr>
          <w:rFonts w:ascii="Tahoma" w:hAnsi="Tahoma" w:cs="Tahoma"/>
          <w:b/>
          <w:color w:val="000000"/>
          <w:sz w:val="18"/>
          <w:lang w:val="de-DE"/>
        </w:rPr>
        <w:t>Zusätzliche Geschäftsbestimmungen</w:t>
      </w:r>
    </w:p>
    <w:p w:rsidR="00023FE7" w:rsidRPr="00C83DF5" w:rsidRDefault="00023FE7" w:rsidP="00F42FB8">
      <w:pPr>
        <w:pStyle w:val="AppendixBodyText"/>
        <w:spacing w:after="0"/>
        <w:rPr>
          <w:lang w:val="de-DE"/>
        </w:rPr>
      </w:pPr>
      <w:r w:rsidRPr="00C83DF5">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00E71F46" w:rsidRPr="00C83DF5">
        <w:rPr>
          <w:rFonts w:ascii="Tahoma" w:hAnsi="Tahoma" w:cs="Tahoma"/>
          <w:sz w:val="18"/>
          <w:szCs w:val="18"/>
          <w:lang w:val="de-DE"/>
        </w:rPr>
        <w:t xml:space="preserve"> </w:t>
      </w:r>
      <w:r w:rsidRPr="00C83DF5">
        <w:rPr>
          <w:rFonts w:ascii="Tahoma" w:hAnsi="Tahoma" w:cs="Tahoma"/>
          <w:sz w:val="18"/>
          <w:szCs w:val="18"/>
          <w:lang w:val="de-DE"/>
        </w:rPr>
        <w:t>Die Ausgaben innerhalb jedes Beitritts oder Vertrages werden zur Bestimmung der Gewährung für den betreffenden Beitritt oder Vertrag verwendet.</w:t>
      </w:r>
    </w:p>
    <w:p w:rsidR="00077CE5" w:rsidRPr="008B3D04" w:rsidRDefault="00077CE5" w:rsidP="00F42FB8">
      <w:pPr>
        <w:pStyle w:val="AppendixBodyText"/>
        <w:spacing w:after="0"/>
        <w:rPr>
          <w:rFonts w:ascii="Tahoma" w:hAnsi="Tahoma" w:cs="Tahoma"/>
          <w:sz w:val="18"/>
          <w:szCs w:val="18"/>
          <w:lang w:val="de-DE"/>
        </w:rPr>
      </w:pPr>
    </w:p>
    <w:p w:rsidR="00023FE7" w:rsidRPr="00C83DF5" w:rsidRDefault="00023FE7" w:rsidP="00F42FB8">
      <w:pPr>
        <w:pStyle w:val="AppendixBodyText"/>
        <w:tabs>
          <w:tab w:val="left" w:pos="1440"/>
        </w:tabs>
        <w:spacing w:after="0"/>
        <w:rPr>
          <w:lang w:val="de-DE"/>
        </w:rPr>
      </w:pPr>
      <w:r w:rsidRPr="00C83DF5">
        <w:rPr>
          <w:rFonts w:ascii="Tahoma" w:hAnsi="Tahoma" w:cs="Tahoma"/>
          <w:sz w:val="18"/>
          <w:szCs w:val="18"/>
          <w:lang w:val="de-DE"/>
        </w:rPr>
        <w:t>Eine Verringerung d</w:t>
      </w:r>
      <w:r w:rsidRPr="00C83DF5">
        <w:rPr>
          <w:rFonts w:ascii="Tahoma" w:hAnsi="Tahoma" w:cs="Tahoma"/>
          <w:bCs/>
          <w:sz w:val="18"/>
          <w:szCs w:val="18"/>
          <w:lang w:val="de-DE"/>
        </w:rPr>
        <w:t>er</w:t>
      </w:r>
      <w:r w:rsidRPr="00C83DF5">
        <w:rPr>
          <w:rFonts w:ascii="Tahoma" w:hAnsi="Tahoma" w:cs="Tahoma"/>
          <w:sz w:val="18"/>
          <w:szCs w:val="18"/>
          <w:lang w:val="de-DE"/>
        </w:rPr>
        <w:t xml:space="preserve"> SA-Ausgaben infolge von Rückgaben und anderen Abrechnungsanpassungen,</w:t>
      </w:r>
      <w:r w:rsidRPr="00C83DF5">
        <w:rPr>
          <w:rFonts w:ascii="Tahoma" w:hAnsi="Tahoma" w:cs="Tahoma"/>
          <w:bCs/>
          <w:sz w:val="18"/>
          <w:szCs w:val="18"/>
          <w:lang w:val="de-DE"/>
        </w:rPr>
        <w:t>,</w:t>
      </w:r>
      <w:r w:rsidRPr="00C83DF5">
        <w:rPr>
          <w:rFonts w:ascii="Tahoma" w:hAnsi="Tahoma" w:cs="Tahoma"/>
          <w:sz w:val="18"/>
          <w:szCs w:val="18"/>
          <w:lang w:val="de-DE"/>
        </w:rPr>
        <w:t xml:space="preserve"> sofern zulässig, </w:t>
      </w:r>
      <w:r w:rsidRPr="00C83DF5">
        <w:rPr>
          <w:rFonts w:ascii="Tahoma" w:hAnsi="Tahoma" w:cs="Tahoma"/>
          <w:bCs/>
          <w:sz w:val="18"/>
          <w:szCs w:val="18"/>
          <w:lang w:val="de-DE"/>
        </w:rPr>
        <w:t>kann</w:t>
      </w:r>
      <w:r w:rsidRPr="00C83DF5">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rsidR="0036654E" w:rsidRPr="008B3D04" w:rsidRDefault="0036654E" w:rsidP="00F42FB8">
      <w:pPr>
        <w:pStyle w:val="Heading3"/>
        <w:rPr>
          <w:rFonts w:ascii="Tahoma" w:hAnsi="Tahoma" w:cs="Tahoma"/>
          <w:b w:val="0"/>
          <w:sz w:val="18"/>
          <w:lang w:val="de-DE"/>
        </w:rPr>
      </w:pPr>
    </w:p>
    <w:p w:rsidR="00613BBB" w:rsidRPr="00C83DF5" w:rsidRDefault="00613BBB" w:rsidP="00F0652C">
      <w:pPr>
        <w:pStyle w:val="Heading3"/>
        <w:spacing w:after="60"/>
        <w:rPr>
          <w:lang w:val="de-DE"/>
        </w:rPr>
      </w:pPr>
      <w:bookmarkStart w:id="734" w:name="_Toc336338237"/>
      <w:bookmarkStart w:id="735" w:name="_Toc370983346"/>
      <w:r w:rsidRPr="00C83DF5">
        <w:rPr>
          <w:rFonts w:ascii="Tahoma" w:hAnsi="Tahoma" w:cs="Tahoma"/>
          <w:sz w:val="18"/>
          <w:lang w:val="de-DE"/>
        </w:rPr>
        <w:t>Unbegrenzter 24x7-Problembehebungssupport</w:t>
      </w:r>
      <w:bookmarkEnd w:id="734"/>
      <w:bookmarkEnd w:id="735"/>
    </w:p>
    <w:p w:rsidR="00A17E03" w:rsidRPr="00C83DF5" w:rsidRDefault="00A17E03" w:rsidP="00F42FB8">
      <w:pPr>
        <w:jc w:val="both"/>
        <w:rPr>
          <w:lang w:val="de-DE"/>
        </w:rPr>
      </w:pPr>
      <w:r w:rsidRPr="00C83DF5">
        <w:rPr>
          <w:rFonts w:cs="Tahoma"/>
          <w:szCs w:val="18"/>
          <w:lang w:val="de-DE"/>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A17E03" w:rsidRPr="008B3D04" w:rsidRDefault="00A17E03" w:rsidP="00F42FB8">
      <w:pPr>
        <w:jc w:val="both"/>
        <w:rPr>
          <w:rFonts w:cs="Tahoma"/>
          <w:szCs w:val="18"/>
          <w:lang w:val="de-DE"/>
        </w:rPr>
      </w:pPr>
    </w:p>
    <w:p w:rsidR="00EB3A5F" w:rsidRPr="00C83DF5" w:rsidRDefault="00EB3A5F" w:rsidP="00EB3A5F">
      <w:pPr>
        <w:spacing w:line="276" w:lineRule="auto"/>
        <w:jc w:val="both"/>
        <w:rPr>
          <w:lang w:val="de-DE"/>
        </w:rPr>
      </w:pPr>
      <w:r w:rsidRPr="00C83DF5">
        <w:rPr>
          <w:lang w:val="de-DE"/>
        </w:rP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E71F46" w:rsidRPr="00C83DF5">
        <w:rPr>
          <w:lang w:val="de-DE"/>
        </w:rPr>
        <w:t xml:space="preserve"> </w:t>
      </w:r>
      <w:r w:rsidRPr="00C83DF5">
        <w:rPr>
          <w:lang w:val="de-DE"/>
        </w:rPr>
        <w:t xml:space="preserve">Die unten aufgeführten Produkte, für die derzeit in Übereinstimmung mit dem Premier-Vertrag eines Kunden und wie in </w:t>
      </w:r>
      <w:hyperlink r:id="rId27" w:history="1">
        <w:r w:rsidRPr="00C83DF5">
          <w:rPr>
            <w:rStyle w:val="Hyperlink"/>
            <w:rFonts w:cs="Tahoma"/>
            <w:szCs w:val="18"/>
            <w:lang w:val="de-DE"/>
          </w:rPr>
          <w:t>Microsofts Support Lifecycle Policy</w:t>
        </w:r>
      </w:hyperlink>
      <w:r w:rsidRPr="00CF066C">
        <w:rPr>
          <w:rStyle w:val="Hyperlink"/>
          <w:rFonts w:cs="Tahoma"/>
          <w:szCs w:val="18"/>
          <w:u w:val="none"/>
          <w:lang w:val="de-DE"/>
        </w:rPr>
        <w:t xml:space="preserve"> </w:t>
      </w:r>
      <w:r w:rsidRPr="00C83DF5">
        <w:rPr>
          <w:color w:val="000000"/>
          <w:lang w:val="de-DE"/>
        </w:rPr>
        <w:t>aufgeführt Mainstream- oder Erweiterter Support geleistet wird, sind in dieser Vergünstigung enthalten.</w:t>
      </w:r>
    </w:p>
    <w:p w:rsidR="00077CE5" w:rsidRDefault="00077CE5" w:rsidP="00DA2788">
      <w:pPr>
        <w:spacing w:line="276" w:lineRule="auto"/>
        <w:jc w:val="both"/>
        <w:rPr>
          <w:lang w:val="de-DE"/>
        </w:rPr>
      </w:pPr>
    </w:p>
    <w:p w:rsidR="00D731EB" w:rsidRPr="00C83DF5" w:rsidRDefault="00D731EB" w:rsidP="00DA2788">
      <w:pPr>
        <w:spacing w:line="276" w:lineRule="auto"/>
        <w:jc w:val="both"/>
        <w:rPr>
          <w:lang w:val="de-DE"/>
        </w:rPr>
      </w:pPr>
    </w:p>
    <w:p w:rsidR="00A17E03" w:rsidRPr="00C83DF5" w:rsidRDefault="00A17E03" w:rsidP="00F42FB8">
      <w:pPr>
        <w:spacing w:line="276" w:lineRule="auto"/>
        <w:jc w:val="both"/>
        <w:rPr>
          <w:lang w:val="de-DE"/>
        </w:rPr>
      </w:pPr>
      <w:r w:rsidRPr="00C83DF5">
        <w:rPr>
          <w:rFonts w:eastAsia="Calibri" w:cs="Tahoma"/>
          <w:szCs w:val="18"/>
          <w:lang w:val="de-DE"/>
        </w:rPr>
        <w:lastRenderedPageBreak/>
        <w:t>Die qualifizierenden Anwendungsplattform-Produkte sind:</w:t>
      </w:r>
    </w:p>
    <w:p w:rsidR="00613BBB" w:rsidRPr="008B3D04" w:rsidRDefault="00613BBB" w:rsidP="00077CE5">
      <w:pPr>
        <w:rPr>
          <w:rFonts w:cs="Tahoma"/>
          <w:szCs w:val="18"/>
          <w:lang w:val="de-DE"/>
        </w:rPr>
      </w:pPr>
    </w:p>
    <w:p w:rsidR="00613BBB" w:rsidRPr="00C83DF5" w:rsidRDefault="00613BBB" w:rsidP="00346F4B">
      <w:pPr>
        <w:numPr>
          <w:ilvl w:val="0"/>
          <w:numId w:val="73"/>
        </w:numPr>
        <w:spacing w:after="60"/>
      </w:pPr>
      <w:r w:rsidRPr="00C83DF5">
        <w:rPr>
          <w:rFonts w:cs="Tahoma"/>
          <w:szCs w:val="18"/>
        </w:rPr>
        <w:t>SQL-CAL</w:t>
      </w:r>
    </w:p>
    <w:p w:rsidR="00613BBB" w:rsidRPr="00C83DF5" w:rsidRDefault="00613BBB" w:rsidP="00346F4B">
      <w:pPr>
        <w:numPr>
          <w:ilvl w:val="0"/>
          <w:numId w:val="73"/>
        </w:numPr>
        <w:spacing w:after="60"/>
      </w:pPr>
      <w:r w:rsidRPr="00C83DF5">
        <w:rPr>
          <w:rFonts w:cs="Tahoma"/>
          <w:szCs w:val="18"/>
        </w:rPr>
        <w:t>SQL Server Standard</w:t>
      </w:r>
    </w:p>
    <w:p w:rsidR="00613BBB" w:rsidRPr="00C83DF5" w:rsidRDefault="00613BBB" w:rsidP="00346F4B">
      <w:pPr>
        <w:numPr>
          <w:ilvl w:val="0"/>
          <w:numId w:val="73"/>
        </w:numPr>
        <w:spacing w:after="60"/>
      </w:pPr>
      <w:r w:rsidRPr="00C83DF5">
        <w:rPr>
          <w:rFonts w:cs="Tahoma"/>
          <w:szCs w:val="18"/>
        </w:rPr>
        <w:t xml:space="preserve">SQL Server Standard pro Core </w:t>
      </w:r>
    </w:p>
    <w:p w:rsidR="00613BBB" w:rsidRPr="00C83DF5" w:rsidRDefault="00613BBB" w:rsidP="00346F4B">
      <w:pPr>
        <w:numPr>
          <w:ilvl w:val="0"/>
          <w:numId w:val="73"/>
        </w:numPr>
        <w:spacing w:after="60"/>
      </w:pPr>
      <w:r w:rsidRPr="00C83DF5">
        <w:rPr>
          <w:rFonts w:cs="Tahoma"/>
          <w:szCs w:val="18"/>
        </w:rPr>
        <w:t xml:space="preserve">SQL Server Enterprise pro Core </w:t>
      </w:r>
    </w:p>
    <w:p w:rsidR="00894563" w:rsidRPr="00C83DF5" w:rsidRDefault="00894563" w:rsidP="00346F4B">
      <w:pPr>
        <w:numPr>
          <w:ilvl w:val="0"/>
          <w:numId w:val="73"/>
        </w:numPr>
        <w:spacing w:after="60"/>
      </w:pPr>
      <w:r w:rsidRPr="00C83DF5">
        <w:rPr>
          <w:rFonts w:cs="Tahoma"/>
          <w:szCs w:val="18"/>
        </w:rPr>
        <w:t>SQL Server Business Intelligence</w:t>
      </w:r>
    </w:p>
    <w:p w:rsidR="00EB42F3" w:rsidRPr="00C83DF5" w:rsidRDefault="00EB42F3" w:rsidP="00346F4B">
      <w:pPr>
        <w:numPr>
          <w:ilvl w:val="0"/>
          <w:numId w:val="73"/>
        </w:numPr>
        <w:spacing w:after="60"/>
      </w:pPr>
      <w:r w:rsidRPr="00C83DF5">
        <w:rPr>
          <w:rFonts w:cs="Tahoma"/>
          <w:szCs w:val="18"/>
        </w:rPr>
        <w:t>SQL Server Parallel Data Warehouse</w:t>
      </w:r>
    </w:p>
    <w:p w:rsidR="00613BBB" w:rsidRPr="00C83DF5" w:rsidRDefault="00613BBB" w:rsidP="00346F4B">
      <w:pPr>
        <w:numPr>
          <w:ilvl w:val="0"/>
          <w:numId w:val="73"/>
        </w:numPr>
        <w:spacing w:after="60"/>
      </w:pPr>
      <w:r w:rsidRPr="00C83DF5">
        <w:rPr>
          <w:rFonts w:cs="Tahoma"/>
          <w:szCs w:val="18"/>
        </w:rPr>
        <w:t>BizTalk Server Standard pro Core</w:t>
      </w:r>
    </w:p>
    <w:p w:rsidR="00613BBB" w:rsidRPr="00C83DF5" w:rsidRDefault="00613BBB" w:rsidP="00346F4B">
      <w:pPr>
        <w:numPr>
          <w:ilvl w:val="0"/>
          <w:numId w:val="73"/>
        </w:numPr>
        <w:spacing w:after="60"/>
      </w:pPr>
      <w:r w:rsidRPr="00C83DF5">
        <w:rPr>
          <w:rFonts w:cs="Tahoma"/>
          <w:szCs w:val="18"/>
        </w:rPr>
        <w:t>BizTalk Server Enterprise pro Core</w:t>
      </w:r>
    </w:p>
    <w:p w:rsidR="00613BBB" w:rsidRPr="00C83DF5" w:rsidRDefault="00613BBB" w:rsidP="00346F4B">
      <w:pPr>
        <w:numPr>
          <w:ilvl w:val="0"/>
          <w:numId w:val="73"/>
        </w:numPr>
        <w:spacing w:after="60"/>
      </w:pPr>
      <w:r w:rsidRPr="00C83DF5">
        <w:rPr>
          <w:rFonts w:cs="Tahoma"/>
          <w:szCs w:val="18"/>
        </w:rPr>
        <w:t>BizTalk Server Branch pro Core</w:t>
      </w:r>
    </w:p>
    <w:p w:rsidR="00613BBB" w:rsidRPr="00C83DF5" w:rsidRDefault="00613BBB" w:rsidP="00346F4B">
      <w:pPr>
        <w:numPr>
          <w:ilvl w:val="0"/>
          <w:numId w:val="73"/>
        </w:numPr>
        <w:spacing w:after="60"/>
      </w:pPr>
      <w:r w:rsidRPr="00C83DF5">
        <w:rPr>
          <w:rFonts w:cs="Tahoma"/>
          <w:szCs w:val="18"/>
        </w:rPr>
        <w:t>Office SharePoint Server</w:t>
      </w:r>
    </w:p>
    <w:p w:rsidR="00EB3A5F" w:rsidRPr="00C83DF5" w:rsidRDefault="00EB3A5F" w:rsidP="00EB3A5F">
      <w:pPr>
        <w:spacing w:line="276" w:lineRule="auto"/>
        <w:jc w:val="both"/>
        <w:rPr>
          <w:lang w:val="de-DE"/>
        </w:rPr>
      </w:pPr>
      <w:r w:rsidRPr="00C83DF5">
        <w:rPr>
          <w:lang w:val="de-DE"/>
        </w:rPr>
        <w:t>Die qualifizierenden Produkte aus der Core Infrastructure-Komponente sind folgende:</w:t>
      </w:r>
    </w:p>
    <w:p w:rsidR="00EB3A5F" w:rsidRPr="008B3D04" w:rsidRDefault="00EB3A5F" w:rsidP="00EB3A5F">
      <w:pPr>
        <w:rPr>
          <w:lang w:val="de-DE"/>
        </w:rPr>
      </w:pPr>
    </w:p>
    <w:p w:rsidR="00EB3A5F" w:rsidRPr="00C83DF5" w:rsidRDefault="00EB3A5F" w:rsidP="00EB3A5F">
      <w:pPr>
        <w:numPr>
          <w:ilvl w:val="0"/>
          <w:numId w:val="73"/>
        </w:numPr>
        <w:spacing w:after="60"/>
      </w:pPr>
      <w:r w:rsidRPr="00C83DF5">
        <w:t>CIS DataCenter (Windows Server Datacenter und System Center Datacenter)</w:t>
      </w:r>
    </w:p>
    <w:p w:rsidR="00EB3A5F" w:rsidRPr="00C83DF5" w:rsidRDefault="00EB3A5F" w:rsidP="00EB3A5F">
      <w:pPr>
        <w:numPr>
          <w:ilvl w:val="0"/>
          <w:numId w:val="73"/>
        </w:numPr>
        <w:spacing w:after="60"/>
      </w:pPr>
      <w:r w:rsidRPr="00C83DF5">
        <w:t>CIS Standard (Windows Server Standard und System Center Standard)</w:t>
      </w:r>
    </w:p>
    <w:p w:rsidR="00613BBB" w:rsidRPr="00D731EB" w:rsidRDefault="00613BBB" w:rsidP="00077CE5">
      <w:pPr>
        <w:rPr>
          <w:rFonts w:cs="Tahoma"/>
          <w:szCs w:val="18"/>
        </w:rPr>
      </w:pPr>
    </w:p>
    <w:p w:rsidR="00613BBB" w:rsidRPr="00C83DF5" w:rsidRDefault="00613BBB" w:rsidP="00FF1B2B">
      <w:pPr>
        <w:pStyle w:val="AppendixBodyText"/>
        <w:spacing w:after="0"/>
        <w:jc w:val="both"/>
        <w:rPr>
          <w:lang w:val="de-DE"/>
        </w:rPr>
      </w:pPr>
      <w:r w:rsidRPr="00C83DF5">
        <w:rPr>
          <w:rFonts w:ascii="Tahoma" w:hAnsi="Tahoma" w:cs="Tahoma"/>
          <w:sz w:val="18"/>
          <w:szCs w:val="18"/>
          <w:lang w:val="de-DE"/>
        </w:rPr>
        <w:t xml:space="preserve">Die folgende Tabelle enthält die umgerechneten Schwellenwerte für SA-Ausgaben für Verträge, die nicht auf </w:t>
      </w:r>
      <w:r w:rsidR="00311136">
        <w:rPr>
          <w:rFonts w:ascii="Tahoma" w:hAnsi="Tahoma" w:cs="Tahoma"/>
          <w:sz w:val="18"/>
          <w:szCs w:val="18"/>
          <w:lang w:val="de-DE"/>
        </w:rPr>
        <w:br/>
      </w:r>
      <w:r w:rsidRPr="00C83DF5">
        <w:rPr>
          <w:rFonts w:ascii="Tahoma" w:hAnsi="Tahoma" w:cs="Tahoma"/>
          <w:sz w:val="18"/>
          <w:szCs w:val="18"/>
          <w:lang w:val="de-DE"/>
        </w:rPr>
        <w:t>US-Dollar lauten.</w:t>
      </w:r>
      <w:r w:rsidR="00E71F46" w:rsidRPr="00C83DF5">
        <w:rPr>
          <w:rFonts w:ascii="Tahoma" w:hAnsi="Tahoma" w:cs="Tahoma"/>
          <w:sz w:val="18"/>
          <w:szCs w:val="18"/>
          <w:lang w:val="de-DE"/>
        </w:rPr>
        <w:t xml:space="preserve"> </w:t>
      </w:r>
      <w:r w:rsidRPr="00C83DF5">
        <w:rPr>
          <w:rFonts w:ascii="Tahoma" w:hAnsi="Tahoma" w:cs="Tahoma"/>
          <w:sz w:val="18"/>
          <w:szCs w:val="18"/>
          <w:lang w:val="de-DE"/>
        </w:rPr>
        <w:t>Aufgrund der Wechselkursschwankungen kann diese Tabelle ohne Ankündigung geändert werden.</w:t>
      </w:r>
    </w:p>
    <w:p w:rsidR="00E74270" w:rsidRPr="008B3D04" w:rsidRDefault="00E74270" w:rsidP="00FF1B2B">
      <w:pPr>
        <w:pStyle w:val="AppendixBodyText"/>
        <w:spacing w:after="0"/>
        <w:jc w:val="both"/>
        <w:rPr>
          <w:rFonts w:ascii="Tahoma" w:hAnsi="Tahoma" w:cs="Tahoma"/>
          <w:sz w:val="18"/>
          <w:szCs w:val="18"/>
          <w:lang w:val="de-DE"/>
        </w:rPr>
      </w:pPr>
    </w:p>
    <w:tbl>
      <w:tblPr>
        <w:tblW w:w="6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00"/>
        <w:gridCol w:w="1697"/>
        <w:gridCol w:w="2915"/>
      </w:tblGrid>
      <w:tr w:rsidR="00E74270" w:rsidRPr="004D388E" w:rsidTr="00D731EB">
        <w:trPr>
          <w:trHeight w:val="178"/>
          <w:tblHeader/>
          <w:jc w:val="center"/>
        </w:trPr>
        <w:tc>
          <w:tcPr>
            <w:tcW w:w="220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311136" w:rsidRDefault="00E74270" w:rsidP="00E74270">
            <w:pPr>
              <w:pStyle w:val="AppendixBodyText"/>
              <w:jc w:val="center"/>
              <w:rPr>
                <w:rFonts w:ascii="Tahoma" w:hAnsi="Tahoma" w:cs="Tahoma"/>
                <w:b/>
                <w:bCs/>
                <w:lang w:val="de-DE"/>
              </w:rPr>
            </w:pPr>
            <w:r w:rsidRPr="00311136">
              <w:rPr>
                <w:rFonts w:ascii="Tahoma" w:hAnsi="Tahoma" w:cs="Tahoma"/>
                <w:b/>
                <w:bCs/>
                <w:lang w:val="de-DE"/>
              </w:rPr>
              <w:t>Währung</w:t>
            </w:r>
          </w:p>
        </w:tc>
        <w:tc>
          <w:tcPr>
            <w:tcW w:w="169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311136" w:rsidRDefault="00E74270" w:rsidP="00E74270">
            <w:pPr>
              <w:pStyle w:val="AppendixBodyText"/>
              <w:jc w:val="center"/>
              <w:rPr>
                <w:rFonts w:ascii="Tahoma" w:hAnsi="Tahoma" w:cs="Tahoma"/>
                <w:b/>
                <w:bCs/>
                <w:lang w:val="de-DE"/>
              </w:rPr>
            </w:pPr>
            <w:r w:rsidRPr="00311136">
              <w:rPr>
                <w:rFonts w:ascii="Tahoma" w:hAnsi="Tahoma" w:cs="Tahoma"/>
                <w:b/>
                <w:bCs/>
                <w:lang w:val="de-DE"/>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C83DF5" w:rsidRDefault="00E74270" w:rsidP="00E74270">
            <w:pPr>
              <w:pStyle w:val="AppendixBodyText"/>
              <w:jc w:val="center"/>
              <w:rPr>
                <w:rFonts w:ascii="Tahoma" w:hAnsi="Tahoma" w:cs="Tahoma"/>
                <w:b/>
                <w:bCs/>
                <w:lang w:val="de-DE"/>
              </w:rPr>
            </w:pPr>
            <w:r w:rsidRPr="00C83DF5">
              <w:rPr>
                <w:rFonts w:ascii="Tahoma" w:hAnsi="Tahoma" w:cs="Tahoma"/>
                <w:b/>
                <w:bCs/>
                <w:lang w:val="de-DE"/>
              </w:rPr>
              <w:t>Durchschnittliche Mindestausgaben für SA pro Jahr zur Qualifizierung für Unbegrenzten 24x7-Problembehebungssupport</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US-Dollar</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USD</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250</w:t>
            </w:r>
            <w:r w:rsidR="00D731EB">
              <w:rPr>
                <w:rFonts w:ascii="Tahoma" w:hAnsi="Tahoma" w:cs="Tahoma"/>
                <w:color w:val="000000"/>
                <w:sz w:val="18"/>
                <w:szCs w:val="18"/>
              </w:rPr>
              <w:t>.</w:t>
            </w:r>
            <w:r w:rsidRPr="00C83DF5">
              <w:rPr>
                <w:rFonts w:ascii="Tahoma" w:hAnsi="Tahoma" w:cs="Tahoma"/>
                <w:color w:val="000000"/>
                <w:sz w:val="18"/>
                <w:szCs w:val="18"/>
              </w:rPr>
              <w:t xml:space="preserve">000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Australischer Dollar</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AUD</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375</w:t>
            </w:r>
            <w:r w:rsidR="00D731EB">
              <w:rPr>
                <w:rFonts w:ascii="Tahoma" w:hAnsi="Tahoma" w:cs="Tahoma"/>
                <w:color w:val="000000"/>
                <w:sz w:val="18"/>
                <w:szCs w:val="18"/>
              </w:rPr>
              <w:t>.</w:t>
            </w:r>
            <w:r w:rsidRPr="00C83DF5">
              <w:rPr>
                <w:rFonts w:ascii="Tahoma" w:hAnsi="Tahoma" w:cs="Tahoma"/>
                <w:color w:val="000000"/>
                <w:sz w:val="18"/>
                <w:szCs w:val="18"/>
              </w:rPr>
              <w:t xml:space="preserve">000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Kanadischer Dollar</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CAD</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337</w:t>
            </w:r>
            <w:r w:rsidR="00D731EB">
              <w:rPr>
                <w:rFonts w:ascii="Tahoma" w:hAnsi="Tahoma" w:cs="Tahoma"/>
                <w:color w:val="000000"/>
                <w:sz w:val="18"/>
                <w:szCs w:val="18"/>
              </w:rPr>
              <w:t>.</w:t>
            </w:r>
            <w:r w:rsidRPr="00C83DF5">
              <w:rPr>
                <w:rFonts w:ascii="Tahoma" w:hAnsi="Tahoma" w:cs="Tahoma"/>
                <w:color w:val="000000"/>
                <w:sz w:val="18"/>
                <w:szCs w:val="18"/>
              </w:rPr>
              <w:t xml:space="preserve">500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Schweizer Franken</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CHF</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412</w:t>
            </w:r>
            <w:r w:rsidR="00D731EB">
              <w:rPr>
                <w:rFonts w:ascii="Tahoma" w:hAnsi="Tahoma" w:cs="Tahoma"/>
                <w:color w:val="000000"/>
                <w:sz w:val="18"/>
                <w:szCs w:val="18"/>
              </w:rPr>
              <w:t>.</w:t>
            </w:r>
            <w:r w:rsidRPr="00C83DF5">
              <w:rPr>
                <w:rFonts w:ascii="Tahoma" w:hAnsi="Tahoma" w:cs="Tahoma"/>
                <w:color w:val="000000"/>
                <w:sz w:val="18"/>
                <w:szCs w:val="18"/>
              </w:rPr>
              <w:t xml:space="preserve">500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Chinesischer Renminbi</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CNY</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2</w:t>
            </w:r>
            <w:r w:rsidR="00D731EB">
              <w:rPr>
                <w:rFonts w:ascii="Tahoma" w:hAnsi="Tahoma" w:cs="Tahoma"/>
                <w:color w:val="000000"/>
                <w:sz w:val="18"/>
                <w:szCs w:val="18"/>
              </w:rPr>
              <w:t>.</w:t>
            </w:r>
            <w:r w:rsidRPr="00C83DF5">
              <w:rPr>
                <w:rFonts w:ascii="Tahoma" w:hAnsi="Tahoma" w:cs="Tahoma"/>
                <w:color w:val="000000"/>
                <w:sz w:val="18"/>
                <w:szCs w:val="18"/>
              </w:rPr>
              <w:t>062</w:t>
            </w:r>
            <w:r w:rsidR="00D731EB">
              <w:rPr>
                <w:rFonts w:ascii="Tahoma" w:hAnsi="Tahoma" w:cs="Tahoma"/>
                <w:color w:val="000000"/>
                <w:sz w:val="18"/>
                <w:szCs w:val="18"/>
              </w:rPr>
              <w:t>.</w:t>
            </w:r>
            <w:r w:rsidRPr="00C83DF5">
              <w:rPr>
                <w:rFonts w:ascii="Tahoma" w:hAnsi="Tahoma" w:cs="Tahoma"/>
                <w:color w:val="000000"/>
                <w:sz w:val="18"/>
                <w:szCs w:val="18"/>
              </w:rPr>
              <w:t xml:space="preserve">500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Dänische Krone</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DKK</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2</w:t>
            </w:r>
            <w:r w:rsidR="00D731EB">
              <w:rPr>
                <w:rFonts w:ascii="Tahoma" w:hAnsi="Tahoma" w:cs="Tahoma"/>
                <w:color w:val="000000"/>
                <w:sz w:val="18"/>
                <w:szCs w:val="18"/>
              </w:rPr>
              <w:t>.</w:t>
            </w:r>
            <w:r w:rsidRPr="00C83DF5">
              <w:rPr>
                <w:rFonts w:ascii="Tahoma" w:hAnsi="Tahoma" w:cs="Tahoma"/>
                <w:color w:val="000000"/>
                <w:sz w:val="18"/>
                <w:szCs w:val="18"/>
              </w:rPr>
              <w:t>000</w:t>
            </w:r>
            <w:r w:rsidR="00D731EB">
              <w:rPr>
                <w:rFonts w:ascii="Tahoma" w:hAnsi="Tahoma" w:cs="Tahoma"/>
                <w:color w:val="000000"/>
                <w:sz w:val="18"/>
                <w:szCs w:val="18"/>
              </w:rPr>
              <w:t>.</w:t>
            </w:r>
            <w:r w:rsidRPr="00C83DF5">
              <w:rPr>
                <w:rFonts w:ascii="Tahoma" w:hAnsi="Tahoma" w:cs="Tahoma"/>
                <w:color w:val="000000"/>
                <w:sz w:val="18"/>
                <w:szCs w:val="18"/>
              </w:rPr>
              <w:t xml:space="preserve">000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EURO</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EUR</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268</w:t>
            </w:r>
            <w:r w:rsidR="00D731EB">
              <w:rPr>
                <w:rFonts w:ascii="Tahoma" w:hAnsi="Tahoma" w:cs="Tahoma"/>
                <w:color w:val="000000"/>
                <w:sz w:val="18"/>
                <w:szCs w:val="18"/>
              </w:rPr>
              <w:t>.</w:t>
            </w:r>
            <w:r w:rsidRPr="00C83DF5">
              <w:rPr>
                <w:rFonts w:ascii="Tahoma" w:hAnsi="Tahoma" w:cs="Tahoma"/>
                <w:color w:val="000000"/>
                <w:sz w:val="18"/>
                <w:szCs w:val="18"/>
              </w:rPr>
              <w:t xml:space="preserve">750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Britisches Pfund</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GBP</w:t>
            </w:r>
          </w:p>
        </w:tc>
        <w:tc>
          <w:tcPr>
            <w:tcW w:w="2915" w:type="dxa"/>
            <w:vAlign w:val="bottom"/>
          </w:tcPr>
          <w:p w:rsidR="00E74270" w:rsidRPr="00C83DF5" w:rsidRDefault="00E74270" w:rsidP="00E74270">
            <w:pPr>
              <w:pStyle w:val="AppendixBodyText"/>
              <w:jc w:val="right"/>
              <w:rPr>
                <w:rFonts w:ascii="Tahoma" w:hAnsi="Tahoma" w:cs="Tahoma"/>
                <w:sz w:val="18"/>
                <w:szCs w:val="18"/>
              </w:rPr>
            </w:pPr>
            <w:r w:rsidRPr="00C83DF5">
              <w:rPr>
                <w:rFonts w:ascii="Tahoma" w:hAnsi="Tahoma" w:cs="Tahoma"/>
                <w:sz w:val="18"/>
                <w:szCs w:val="18"/>
              </w:rPr>
              <w:t xml:space="preserve"> </w:t>
            </w:r>
            <w:r w:rsidR="00D731EB">
              <w:rPr>
                <w:rFonts w:ascii="Tahoma" w:hAnsi="Tahoma" w:cs="Tahoma"/>
                <w:color w:val="000000"/>
                <w:sz w:val="18"/>
                <w:szCs w:val="18"/>
              </w:rPr>
              <w:t>168.</w:t>
            </w:r>
            <w:r w:rsidRPr="00C83DF5">
              <w:rPr>
                <w:rFonts w:ascii="Tahoma" w:hAnsi="Tahoma" w:cs="Tahoma"/>
                <w:color w:val="000000"/>
                <w:sz w:val="18"/>
                <w:szCs w:val="18"/>
              </w:rPr>
              <w:t xml:space="preserve">750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Japanischer Yen</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JPY</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30</w:t>
            </w:r>
            <w:r w:rsidR="00D731EB">
              <w:rPr>
                <w:rFonts w:ascii="Tahoma" w:hAnsi="Tahoma" w:cs="Tahoma"/>
                <w:color w:val="000000"/>
                <w:sz w:val="18"/>
                <w:szCs w:val="18"/>
              </w:rPr>
              <w:t>.</w:t>
            </w:r>
            <w:r w:rsidRPr="00C83DF5">
              <w:rPr>
                <w:rFonts w:ascii="Tahoma" w:hAnsi="Tahoma" w:cs="Tahoma"/>
                <w:color w:val="000000"/>
                <w:sz w:val="18"/>
                <w:szCs w:val="18"/>
              </w:rPr>
              <w:t>000</w:t>
            </w:r>
            <w:r w:rsidR="00D731EB">
              <w:rPr>
                <w:rFonts w:ascii="Tahoma" w:hAnsi="Tahoma" w:cs="Tahoma"/>
                <w:color w:val="000000"/>
                <w:sz w:val="18"/>
                <w:szCs w:val="18"/>
              </w:rPr>
              <w:t>.</w:t>
            </w:r>
            <w:r w:rsidRPr="00C83DF5">
              <w:rPr>
                <w:rFonts w:ascii="Tahoma" w:hAnsi="Tahoma" w:cs="Tahoma"/>
                <w:color w:val="000000"/>
                <w:sz w:val="18"/>
                <w:szCs w:val="18"/>
              </w:rPr>
              <w:t xml:space="preserve">000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Koreanischer Won</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KRW</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300</w:t>
            </w:r>
            <w:r w:rsidR="00D731EB">
              <w:rPr>
                <w:rFonts w:ascii="Tahoma" w:hAnsi="Tahoma" w:cs="Tahoma"/>
                <w:color w:val="000000"/>
                <w:sz w:val="18"/>
                <w:szCs w:val="18"/>
              </w:rPr>
              <w:t>.</w:t>
            </w:r>
            <w:r w:rsidRPr="00C83DF5">
              <w:rPr>
                <w:rFonts w:ascii="Tahoma" w:hAnsi="Tahoma" w:cs="Tahoma"/>
                <w:color w:val="000000"/>
                <w:sz w:val="18"/>
                <w:szCs w:val="18"/>
              </w:rPr>
              <w:t>000</w:t>
            </w:r>
            <w:r w:rsidR="00D731EB">
              <w:rPr>
                <w:rFonts w:ascii="Tahoma" w:hAnsi="Tahoma" w:cs="Tahoma"/>
                <w:color w:val="000000"/>
                <w:sz w:val="18"/>
                <w:szCs w:val="18"/>
              </w:rPr>
              <w:t>.</w:t>
            </w:r>
            <w:r w:rsidRPr="00C83DF5">
              <w:rPr>
                <w:rFonts w:ascii="Tahoma" w:hAnsi="Tahoma" w:cs="Tahoma"/>
                <w:color w:val="000000"/>
                <w:sz w:val="18"/>
                <w:szCs w:val="18"/>
              </w:rPr>
              <w:t xml:space="preserve">000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Norwegische Krone</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NOK</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2</w:t>
            </w:r>
            <w:r w:rsidR="00D731EB">
              <w:rPr>
                <w:rFonts w:ascii="Tahoma" w:hAnsi="Tahoma" w:cs="Tahoma"/>
                <w:color w:val="000000"/>
                <w:sz w:val="18"/>
                <w:szCs w:val="18"/>
              </w:rPr>
              <w:t>.</w:t>
            </w:r>
            <w:r w:rsidRPr="00C83DF5">
              <w:rPr>
                <w:rFonts w:ascii="Tahoma" w:hAnsi="Tahoma" w:cs="Tahoma"/>
                <w:color w:val="000000"/>
                <w:sz w:val="18"/>
                <w:szCs w:val="18"/>
              </w:rPr>
              <w:t>062</w:t>
            </w:r>
            <w:r w:rsidR="00D731EB">
              <w:rPr>
                <w:rFonts w:ascii="Tahoma" w:hAnsi="Tahoma" w:cs="Tahoma"/>
                <w:color w:val="000000"/>
                <w:sz w:val="18"/>
                <w:szCs w:val="18"/>
              </w:rPr>
              <w:t>.</w:t>
            </w:r>
            <w:r w:rsidRPr="00C83DF5">
              <w:rPr>
                <w:rFonts w:ascii="Tahoma" w:hAnsi="Tahoma" w:cs="Tahoma"/>
                <w:color w:val="000000"/>
                <w:sz w:val="18"/>
                <w:szCs w:val="18"/>
              </w:rPr>
              <w:t xml:space="preserve">500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Neuseeländischer Dollar</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NZD</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437</w:t>
            </w:r>
            <w:r w:rsidR="00D731EB">
              <w:rPr>
                <w:rFonts w:ascii="Tahoma" w:hAnsi="Tahoma" w:cs="Tahoma"/>
                <w:color w:val="000000"/>
                <w:sz w:val="18"/>
                <w:szCs w:val="18"/>
              </w:rPr>
              <w:t>.</w:t>
            </w:r>
            <w:r w:rsidRPr="00C83DF5">
              <w:rPr>
                <w:rFonts w:ascii="Tahoma" w:hAnsi="Tahoma" w:cs="Tahoma"/>
                <w:color w:val="000000"/>
                <w:sz w:val="18"/>
                <w:szCs w:val="18"/>
              </w:rPr>
              <w:t xml:space="preserve">500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Schwedische Krone</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SEK</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2</w:t>
            </w:r>
            <w:r w:rsidR="00D731EB">
              <w:rPr>
                <w:rFonts w:ascii="Tahoma" w:hAnsi="Tahoma" w:cs="Tahoma"/>
                <w:color w:val="000000"/>
                <w:sz w:val="18"/>
                <w:szCs w:val="18"/>
              </w:rPr>
              <w:t>.</w:t>
            </w:r>
            <w:r w:rsidRPr="00C83DF5">
              <w:rPr>
                <w:rFonts w:ascii="Tahoma" w:hAnsi="Tahoma" w:cs="Tahoma"/>
                <w:color w:val="000000"/>
                <w:sz w:val="18"/>
                <w:szCs w:val="18"/>
              </w:rPr>
              <w:t>500</w:t>
            </w:r>
            <w:r w:rsidR="00D731EB">
              <w:rPr>
                <w:rFonts w:ascii="Tahoma" w:hAnsi="Tahoma" w:cs="Tahoma"/>
                <w:color w:val="000000"/>
                <w:sz w:val="18"/>
                <w:szCs w:val="18"/>
              </w:rPr>
              <w:t>.</w:t>
            </w:r>
            <w:r w:rsidRPr="00C83DF5">
              <w:rPr>
                <w:rFonts w:ascii="Tahoma" w:hAnsi="Tahoma" w:cs="Tahoma"/>
                <w:color w:val="000000"/>
                <w:sz w:val="18"/>
                <w:szCs w:val="18"/>
              </w:rPr>
              <w:t xml:space="preserve">000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Neuer Taiwan-Dollar</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TWD</w:t>
            </w:r>
          </w:p>
        </w:tc>
        <w:tc>
          <w:tcPr>
            <w:tcW w:w="2915" w:type="dxa"/>
            <w:vAlign w:val="bottom"/>
          </w:tcPr>
          <w:p w:rsidR="00E74270" w:rsidRPr="00C83DF5" w:rsidRDefault="00E74270" w:rsidP="00D731EB">
            <w:pPr>
              <w:pStyle w:val="AppendixBodyText"/>
              <w:jc w:val="right"/>
              <w:rPr>
                <w:rFonts w:ascii="Tahoma" w:hAnsi="Tahoma" w:cs="Tahoma"/>
                <w:sz w:val="18"/>
                <w:szCs w:val="18"/>
              </w:rPr>
            </w:pPr>
            <w:r w:rsidRPr="00C83DF5">
              <w:rPr>
                <w:rFonts w:ascii="Tahoma" w:hAnsi="Tahoma" w:cs="Tahoma"/>
                <w:color w:val="000000"/>
                <w:sz w:val="18"/>
                <w:szCs w:val="18"/>
              </w:rPr>
              <w:t xml:space="preserve"> 8</w:t>
            </w:r>
            <w:r w:rsidR="00D731EB">
              <w:rPr>
                <w:rFonts w:ascii="Tahoma" w:hAnsi="Tahoma" w:cs="Tahoma"/>
                <w:color w:val="000000"/>
                <w:sz w:val="18"/>
                <w:szCs w:val="18"/>
              </w:rPr>
              <w:t>.</w:t>
            </w:r>
            <w:r w:rsidRPr="00C83DF5">
              <w:rPr>
                <w:rFonts w:ascii="Tahoma" w:hAnsi="Tahoma" w:cs="Tahoma"/>
                <w:color w:val="000000"/>
                <w:sz w:val="18"/>
                <w:szCs w:val="18"/>
              </w:rPr>
              <w:t>750</w:t>
            </w:r>
            <w:r w:rsidR="00D731EB">
              <w:rPr>
                <w:rFonts w:ascii="Tahoma" w:hAnsi="Tahoma" w:cs="Tahoma"/>
                <w:color w:val="000000"/>
                <w:sz w:val="18"/>
                <w:szCs w:val="18"/>
              </w:rPr>
              <w:t>.</w:t>
            </w:r>
            <w:r w:rsidRPr="00C83DF5">
              <w:rPr>
                <w:rFonts w:ascii="Tahoma" w:hAnsi="Tahoma" w:cs="Tahoma"/>
                <w:color w:val="000000"/>
                <w:sz w:val="18"/>
                <w:szCs w:val="18"/>
              </w:rPr>
              <w:t xml:space="preserve">000 </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Indische Rupie</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INR</w:t>
            </w:r>
          </w:p>
        </w:tc>
        <w:tc>
          <w:tcPr>
            <w:tcW w:w="2915" w:type="dxa"/>
            <w:vAlign w:val="bottom"/>
          </w:tcPr>
          <w:p w:rsidR="00E74270" w:rsidRPr="00C83DF5" w:rsidRDefault="00E74270" w:rsidP="00D731EB">
            <w:pPr>
              <w:pStyle w:val="AppendixBodyText"/>
              <w:jc w:val="right"/>
              <w:rPr>
                <w:rFonts w:ascii="Tahoma" w:hAnsi="Tahoma" w:cs="Tahoma"/>
                <w:color w:val="000000"/>
                <w:sz w:val="18"/>
                <w:szCs w:val="18"/>
              </w:rPr>
            </w:pPr>
            <w:r w:rsidRPr="00C83DF5">
              <w:rPr>
                <w:rFonts w:ascii="Tahoma" w:hAnsi="Tahoma" w:cs="Tahoma"/>
                <w:sz w:val="18"/>
                <w:szCs w:val="18"/>
              </w:rPr>
              <w:t>12</w:t>
            </w:r>
            <w:r w:rsidR="00D731EB">
              <w:rPr>
                <w:rFonts w:ascii="Tahoma" w:hAnsi="Tahoma" w:cs="Tahoma"/>
                <w:sz w:val="18"/>
                <w:szCs w:val="18"/>
              </w:rPr>
              <w:t>.</w:t>
            </w:r>
            <w:r w:rsidRPr="00C83DF5">
              <w:rPr>
                <w:rFonts w:ascii="Tahoma" w:hAnsi="Tahoma" w:cs="Tahoma"/>
                <w:sz w:val="18"/>
                <w:szCs w:val="18"/>
              </w:rPr>
              <w:t>500</w:t>
            </w:r>
            <w:r w:rsidR="00D731EB">
              <w:rPr>
                <w:rFonts w:ascii="Tahoma" w:hAnsi="Tahoma" w:cs="Tahoma"/>
                <w:sz w:val="18"/>
                <w:szCs w:val="18"/>
              </w:rPr>
              <w:t>.</w:t>
            </w:r>
            <w:r w:rsidRPr="00C83DF5">
              <w:rPr>
                <w:rFonts w:ascii="Tahoma" w:hAnsi="Tahoma" w:cs="Tahoma"/>
                <w:sz w:val="18"/>
                <w:szCs w:val="18"/>
              </w:rPr>
              <w:t>000</w:t>
            </w:r>
          </w:p>
        </w:tc>
      </w:tr>
      <w:tr w:rsidR="00E74270" w:rsidRPr="00C83DF5" w:rsidTr="00D731EB">
        <w:trPr>
          <w:trHeight w:val="236"/>
          <w:jc w:val="center"/>
        </w:trPr>
        <w:tc>
          <w:tcPr>
            <w:tcW w:w="2200" w:type="dxa"/>
            <w:vAlign w:val="bottom"/>
          </w:tcPr>
          <w:p w:rsidR="00E74270" w:rsidRPr="00C83DF5" w:rsidRDefault="00E74270" w:rsidP="00E74270">
            <w:pPr>
              <w:pStyle w:val="AppendixBodyText"/>
              <w:rPr>
                <w:rFonts w:ascii="Tahoma" w:hAnsi="Tahoma" w:cs="Tahoma"/>
                <w:sz w:val="18"/>
                <w:szCs w:val="18"/>
              </w:rPr>
            </w:pPr>
            <w:r w:rsidRPr="00C83DF5">
              <w:rPr>
                <w:rFonts w:ascii="Tahoma" w:hAnsi="Tahoma" w:cs="Tahoma"/>
                <w:sz w:val="18"/>
                <w:szCs w:val="18"/>
              </w:rPr>
              <w:t>Russischer Rubel</w:t>
            </w:r>
          </w:p>
        </w:tc>
        <w:tc>
          <w:tcPr>
            <w:tcW w:w="1697" w:type="dxa"/>
            <w:vAlign w:val="bottom"/>
          </w:tcPr>
          <w:p w:rsidR="00E74270" w:rsidRPr="00C83DF5" w:rsidRDefault="00E74270" w:rsidP="00E74270">
            <w:pPr>
              <w:pStyle w:val="AppendixBodyText"/>
              <w:jc w:val="center"/>
              <w:rPr>
                <w:rFonts w:ascii="Tahoma" w:hAnsi="Tahoma" w:cs="Tahoma"/>
                <w:sz w:val="18"/>
                <w:szCs w:val="18"/>
              </w:rPr>
            </w:pPr>
            <w:r w:rsidRPr="00C83DF5">
              <w:rPr>
                <w:rFonts w:ascii="Tahoma" w:hAnsi="Tahoma" w:cs="Tahoma"/>
                <w:sz w:val="18"/>
                <w:szCs w:val="18"/>
              </w:rPr>
              <w:t>RUB</w:t>
            </w:r>
          </w:p>
        </w:tc>
        <w:tc>
          <w:tcPr>
            <w:tcW w:w="2915" w:type="dxa"/>
            <w:vAlign w:val="bottom"/>
          </w:tcPr>
          <w:p w:rsidR="00E74270" w:rsidRPr="00C83DF5" w:rsidRDefault="00E74270" w:rsidP="00D731EB">
            <w:pPr>
              <w:pStyle w:val="AppendixBodyText"/>
              <w:jc w:val="right"/>
              <w:rPr>
                <w:rFonts w:ascii="Tahoma" w:hAnsi="Tahoma" w:cs="Tahoma"/>
                <w:color w:val="000000"/>
                <w:sz w:val="18"/>
                <w:szCs w:val="18"/>
              </w:rPr>
            </w:pPr>
            <w:r w:rsidRPr="00C83DF5">
              <w:rPr>
                <w:rFonts w:ascii="Tahoma" w:hAnsi="Tahoma" w:cs="Tahoma"/>
                <w:sz w:val="18"/>
                <w:szCs w:val="18"/>
              </w:rPr>
              <w:t>8</w:t>
            </w:r>
            <w:r w:rsidR="00D731EB">
              <w:rPr>
                <w:rFonts w:ascii="Tahoma" w:hAnsi="Tahoma" w:cs="Tahoma"/>
                <w:sz w:val="18"/>
                <w:szCs w:val="18"/>
              </w:rPr>
              <w:t>.</w:t>
            </w:r>
            <w:r w:rsidRPr="00C83DF5">
              <w:rPr>
                <w:rFonts w:ascii="Tahoma" w:hAnsi="Tahoma" w:cs="Tahoma"/>
                <w:sz w:val="18"/>
                <w:szCs w:val="18"/>
              </w:rPr>
              <w:t>250</w:t>
            </w:r>
            <w:r w:rsidR="00D731EB">
              <w:rPr>
                <w:rFonts w:ascii="Tahoma" w:hAnsi="Tahoma" w:cs="Tahoma"/>
                <w:sz w:val="18"/>
                <w:szCs w:val="18"/>
              </w:rPr>
              <w:t>.</w:t>
            </w:r>
            <w:r w:rsidRPr="00C83DF5">
              <w:rPr>
                <w:rFonts w:ascii="Tahoma" w:hAnsi="Tahoma" w:cs="Tahoma"/>
                <w:sz w:val="18"/>
                <w:szCs w:val="18"/>
              </w:rPr>
              <w:t>000</w:t>
            </w:r>
          </w:p>
        </w:tc>
      </w:tr>
    </w:tbl>
    <w:p w:rsidR="00EB3A5F" w:rsidRPr="00C83DF5" w:rsidRDefault="00EB3A5F" w:rsidP="00EB3A5F">
      <w:pPr>
        <w:jc w:val="both"/>
      </w:pPr>
    </w:p>
    <w:p w:rsidR="00EB3A5F" w:rsidRPr="00C83DF5" w:rsidRDefault="00EB3A5F" w:rsidP="00EB3A5F">
      <w:pPr>
        <w:jc w:val="both"/>
        <w:rPr>
          <w:lang w:val="de-DE"/>
        </w:rPr>
      </w:pPr>
      <w:r w:rsidRPr="00C83DF5">
        <w:rPr>
          <w:lang w:val="de-DE"/>
        </w:rPr>
        <w:t>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E71F46" w:rsidRPr="00C83DF5">
        <w:rPr>
          <w:lang w:val="de-DE"/>
        </w:rPr>
        <w:t xml:space="preserve"> </w:t>
      </w:r>
      <w:r w:rsidRPr="00C83DF5">
        <w:rPr>
          <w:lang w:val="de-DE"/>
        </w:rPr>
        <w:t xml:space="preserve">Anfragen im Rahmen von Unbegrenztem 24x7-Problembehebungssupport können nicht in Premier-Problembehebungssupport-Stunden oder -Anfragen umgewandelt werden. </w:t>
      </w:r>
    </w:p>
    <w:p w:rsidR="00EB3A5F" w:rsidRPr="00C83DF5" w:rsidRDefault="00EB3A5F" w:rsidP="004C5F35">
      <w:pPr>
        <w:spacing w:line="276" w:lineRule="auto"/>
        <w:rPr>
          <w:lang w:val="de-DE"/>
        </w:rPr>
      </w:pPr>
      <w:r w:rsidRPr="00C83DF5">
        <w:rPr>
          <w:lang w:val="de-DE"/>
        </w:rPr>
        <w:lastRenderedPageBreak/>
        <w:t>(2) Des Weiteren sind Kunden, die Lizenzen für Parallel Data Warehouse (PDW) erwerben und über einen aktiven Premier-Servicevertrag verfügen, zu Anfragen im Rahmen von Unbegrenztem 24x7-Problembehebungssupport berechtigt, und zwar unabhängig davon, ob Sie über einen SCE verfügen, sowie unabhängig von ihren SCE-Ausgaben.</w:t>
      </w:r>
      <w:r w:rsidR="00E71F46" w:rsidRPr="00C83DF5">
        <w:rPr>
          <w:lang w:val="de-DE"/>
        </w:rPr>
        <w:t xml:space="preserve"> </w:t>
      </w:r>
      <w:r w:rsidRPr="00C83DF5">
        <w:rPr>
          <w:lang w:val="de-DE"/>
        </w:rPr>
        <w:t>Wenn Kunden Lizenzen für Parallel Data Warehouse (PDW) erwerben, gewährt Microsoft Anfragen nicht</w:t>
      </w:r>
      <w:r w:rsidR="004C5F35">
        <w:rPr>
          <w:lang w:val="de-DE"/>
        </w:rPr>
        <w:t> </w:t>
      </w:r>
      <w:r w:rsidRPr="00C83DF5">
        <w:rPr>
          <w:lang w:val="de-DE"/>
        </w:rPr>
        <w:t xml:space="preserve">auf Grundlage tatsächlicher SA-Ausgaben für dieses Produkt. Anfragen im Rahmen von Unbegrenztem </w:t>
      </w:r>
      <w:r w:rsidR="004C5F35">
        <w:rPr>
          <w:lang w:val="de-DE"/>
        </w:rPr>
        <w:br/>
      </w:r>
      <w:r w:rsidRPr="00C83DF5">
        <w:rPr>
          <w:lang w:val="de-DE"/>
        </w:rPr>
        <w:t>24x7-Problembehebungssupport können nicht in Premier-Problembehebungssupport-Stunden oder -Anfragen umgewandelt</w:t>
      </w:r>
      <w:r w:rsidR="00311136">
        <w:rPr>
          <w:lang w:val="de-DE"/>
        </w:rPr>
        <w:t> </w:t>
      </w:r>
      <w:r w:rsidRPr="00C83DF5">
        <w:rPr>
          <w:lang w:val="de-DE"/>
        </w:rPr>
        <w:t xml:space="preserve">werden. </w:t>
      </w:r>
    </w:p>
    <w:p w:rsidR="00EB3A5F" w:rsidRPr="008B3D04" w:rsidRDefault="00EB3A5F" w:rsidP="00EB3A5F">
      <w:pPr>
        <w:jc w:val="both"/>
        <w:rPr>
          <w:color w:val="000000"/>
          <w:lang w:val="de-DE"/>
        </w:rPr>
      </w:pPr>
    </w:p>
    <w:p w:rsidR="00EB3A5F" w:rsidRPr="00C83DF5" w:rsidRDefault="00EB3A5F" w:rsidP="00436187">
      <w:pPr>
        <w:jc w:val="both"/>
        <w:rPr>
          <w:lang w:val="de-DE"/>
        </w:rPr>
      </w:pPr>
      <w:r w:rsidRPr="00C83DF5">
        <w:rPr>
          <w:color w:val="000000"/>
          <w:lang w:val="de-DE"/>
        </w:rPr>
        <w:t>Zwar erhalten alle Kunden mit der entsprechenden Qualifizierung eine unbegrenzte Anzahl von Anfragen im Rahmen</w:t>
      </w:r>
      <w:r w:rsidR="00436187">
        <w:rPr>
          <w:color w:val="000000"/>
          <w:lang w:val="de-DE"/>
        </w:rPr>
        <w:t> </w:t>
      </w:r>
      <w:r w:rsidRPr="00C83DF5">
        <w:rPr>
          <w:color w:val="000000"/>
          <w:lang w:val="de-DE"/>
        </w:rPr>
        <w:t>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E71F46" w:rsidRPr="00C83DF5">
        <w:rPr>
          <w:color w:val="000000"/>
          <w:lang w:val="de-DE"/>
        </w:rPr>
        <w:t xml:space="preserve"> </w:t>
      </w:r>
      <w:r w:rsidRPr="00C83DF5">
        <w:rPr>
          <w:color w:val="000000"/>
          <w:lang w:val="de-DE"/>
        </w:rPr>
        <w:t>Siehe folgende Tabelle:</w:t>
      </w:r>
    </w:p>
    <w:p w:rsidR="00EB3A5F" w:rsidRPr="008B3D04" w:rsidRDefault="00EB3A5F" w:rsidP="00EB3A5F">
      <w:pPr>
        <w:jc w:val="both"/>
        <w:rPr>
          <w:color w:val="000000"/>
          <w:lang w:val="de-DE"/>
        </w:rPr>
      </w:pPr>
    </w:p>
    <w:p w:rsidR="00EB3A5F" w:rsidRPr="00C83DF5" w:rsidRDefault="00EB3A5F" w:rsidP="00EB3A5F">
      <w:pPr>
        <w:jc w:val="both"/>
        <w:rPr>
          <w:lang w:val="de-DE"/>
        </w:rPr>
      </w:pPr>
      <w:r w:rsidRPr="00C83DF5">
        <w:rPr>
          <w:color w:val="000000"/>
          <w:lang w:val="de-DE"/>
        </w:rPr>
        <w:t>Die folgende Tabelle gilt für Kunden, die über einen SCE oder Lizenzen für PDW verfügen:</w:t>
      </w:r>
    </w:p>
    <w:p w:rsidR="00EB3A5F" w:rsidRPr="008B3D04" w:rsidRDefault="00EB3A5F" w:rsidP="00EB3A5F">
      <w:pPr>
        <w:rPr>
          <w:color w:val="000000"/>
          <w:lang w:val="de-DE"/>
        </w:rPr>
      </w:pPr>
    </w:p>
    <w:tbl>
      <w:tblPr>
        <w:tblW w:w="0" w:type="auto"/>
        <w:tblInd w:w="2196" w:type="dxa"/>
        <w:tblCellMar>
          <w:left w:w="0" w:type="dxa"/>
          <w:right w:w="0" w:type="dxa"/>
        </w:tblCellMar>
        <w:tblLook w:val="04A0" w:firstRow="1" w:lastRow="0" w:firstColumn="1" w:lastColumn="0" w:noHBand="0" w:noVBand="1"/>
      </w:tblPr>
      <w:tblGrid>
        <w:gridCol w:w="2272"/>
        <w:gridCol w:w="2520"/>
      </w:tblGrid>
      <w:tr w:rsidR="00EB3A5F" w:rsidRPr="00877F4A" w:rsidTr="00877F4A">
        <w:tc>
          <w:tcPr>
            <w:tcW w:w="227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EB3A5F" w:rsidRPr="00C83DF5" w:rsidRDefault="00EB3A5F" w:rsidP="00877F4A">
            <w:pPr>
              <w:spacing w:after="20"/>
              <w:jc w:val="center"/>
              <w:rPr>
                <w:color w:val="000000"/>
                <w:lang w:val="de-DE"/>
              </w:rPr>
            </w:pPr>
            <w:r w:rsidRPr="00C83DF5">
              <w:rPr>
                <w:b/>
                <w:bCs/>
                <w:color w:val="000000"/>
                <w:lang w:val="de-DE"/>
              </w:rPr>
              <w:t xml:space="preserve">Durchschnittliche </w:t>
            </w:r>
            <w:r w:rsidR="00877F4A">
              <w:rPr>
                <w:b/>
                <w:bCs/>
                <w:color w:val="000000"/>
                <w:lang w:val="de-DE"/>
              </w:rPr>
              <w:br/>
            </w:r>
            <w:r w:rsidRPr="00C83DF5">
              <w:rPr>
                <w:b/>
                <w:bCs/>
                <w:color w:val="000000"/>
                <w:lang w:val="de-DE"/>
              </w:rPr>
              <w:t>SA-Ausgaben pro Jahr</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EB3A5F" w:rsidRPr="00877F4A" w:rsidRDefault="00EB3A5F" w:rsidP="00877F4A">
            <w:pPr>
              <w:spacing w:after="20"/>
              <w:jc w:val="center"/>
              <w:rPr>
                <w:color w:val="000000"/>
                <w:lang w:val="de-DE"/>
              </w:rPr>
            </w:pPr>
            <w:r w:rsidRPr="00877F4A">
              <w:rPr>
                <w:b/>
                <w:bCs/>
                <w:color w:val="000000"/>
                <w:lang w:val="de-DE"/>
              </w:rPr>
              <w:t>Zulässige Supportkontaktpersonen</w:t>
            </w:r>
          </w:p>
        </w:tc>
      </w:tr>
      <w:tr w:rsidR="00EB3A5F" w:rsidRPr="00877F4A" w:rsidTr="00877F4A">
        <w:tc>
          <w:tcPr>
            <w:tcW w:w="22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877F4A" w:rsidRDefault="00EB3A5F" w:rsidP="00436187">
            <w:pPr>
              <w:jc w:val="center"/>
              <w:rPr>
                <w:color w:val="000000"/>
                <w:lang w:val="de-DE"/>
              </w:rPr>
            </w:pPr>
            <w:r w:rsidRPr="00877F4A">
              <w:rPr>
                <w:color w:val="000000"/>
                <w:lang w:val="de-DE"/>
              </w:rPr>
              <w:t>$250</w:t>
            </w:r>
            <w:r w:rsidR="00436187" w:rsidRPr="00877F4A">
              <w:rPr>
                <w:color w:val="000000"/>
                <w:lang w:val="de-DE"/>
              </w:rPr>
              <w:t>.</w:t>
            </w:r>
            <w:r w:rsidRPr="00877F4A">
              <w:rPr>
                <w:color w:val="000000"/>
                <w:lang w:val="de-DE"/>
              </w:rPr>
              <w:t>000 - $374</w:t>
            </w:r>
            <w:r w:rsidR="00436187" w:rsidRPr="00877F4A">
              <w:rPr>
                <w:color w:val="000000"/>
                <w:lang w:val="de-DE"/>
              </w:rPr>
              <w:t>.</w:t>
            </w:r>
            <w:r w:rsidRPr="00877F4A">
              <w:rPr>
                <w:color w:val="000000"/>
                <w:lang w:val="de-DE"/>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877F4A" w:rsidRDefault="00EB3A5F" w:rsidP="00892A1D">
            <w:pPr>
              <w:jc w:val="center"/>
              <w:rPr>
                <w:color w:val="000000"/>
                <w:lang w:val="de-DE"/>
              </w:rPr>
            </w:pPr>
            <w:r w:rsidRPr="00877F4A">
              <w:rPr>
                <w:color w:val="000000"/>
                <w:lang w:val="de-DE"/>
              </w:rPr>
              <w:t>4</w:t>
            </w:r>
          </w:p>
        </w:tc>
      </w:tr>
      <w:tr w:rsidR="00EB3A5F" w:rsidRPr="00877F4A" w:rsidTr="00877F4A">
        <w:tc>
          <w:tcPr>
            <w:tcW w:w="22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877F4A" w:rsidRDefault="00EB3A5F" w:rsidP="00436187">
            <w:pPr>
              <w:jc w:val="center"/>
              <w:rPr>
                <w:lang w:val="de-DE"/>
              </w:rPr>
            </w:pPr>
            <w:r w:rsidRPr="00877F4A">
              <w:rPr>
                <w:lang w:val="de-DE"/>
              </w:rPr>
              <w:t>$375</w:t>
            </w:r>
            <w:r w:rsidR="00436187" w:rsidRPr="00877F4A">
              <w:rPr>
                <w:lang w:val="de-DE"/>
              </w:rPr>
              <w:t>.</w:t>
            </w:r>
            <w:r w:rsidRPr="00877F4A">
              <w:rPr>
                <w:lang w:val="de-DE"/>
              </w:rPr>
              <w:t>000 - $499</w:t>
            </w:r>
            <w:r w:rsidR="00436187" w:rsidRPr="00877F4A">
              <w:rPr>
                <w:lang w:val="de-DE"/>
              </w:rPr>
              <w:t>.</w:t>
            </w:r>
            <w:r w:rsidRPr="00877F4A">
              <w:rPr>
                <w:lang w:val="de-DE"/>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877F4A" w:rsidRDefault="00EB3A5F" w:rsidP="00892A1D">
            <w:pPr>
              <w:jc w:val="center"/>
              <w:rPr>
                <w:lang w:val="de-DE"/>
              </w:rPr>
            </w:pPr>
            <w:r w:rsidRPr="00877F4A">
              <w:rPr>
                <w:lang w:val="de-DE"/>
              </w:rPr>
              <w:t>5</w:t>
            </w:r>
          </w:p>
        </w:tc>
      </w:tr>
      <w:tr w:rsidR="00EB3A5F" w:rsidRPr="00877F4A" w:rsidTr="00877F4A">
        <w:tc>
          <w:tcPr>
            <w:tcW w:w="22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36187" w:rsidRDefault="00EB3A5F" w:rsidP="00436187">
            <w:pPr>
              <w:jc w:val="center"/>
              <w:rPr>
                <w:lang w:val="de-DE"/>
              </w:rPr>
            </w:pPr>
            <w:r w:rsidRPr="00436187">
              <w:rPr>
                <w:lang w:val="de-DE"/>
              </w:rPr>
              <w:t>$500</w:t>
            </w:r>
            <w:r w:rsidR="00436187" w:rsidRPr="00436187">
              <w:rPr>
                <w:lang w:val="de-DE"/>
              </w:rPr>
              <w:t>.</w:t>
            </w:r>
            <w:r w:rsidRPr="00436187">
              <w:rPr>
                <w:lang w:val="de-DE"/>
              </w:rPr>
              <w:t>000 - $624</w:t>
            </w:r>
            <w:r w:rsidR="00436187" w:rsidRPr="00436187">
              <w:rPr>
                <w:lang w:val="de-DE"/>
              </w:rPr>
              <w:t>.</w:t>
            </w:r>
            <w:r w:rsidRPr="00436187">
              <w:rPr>
                <w:lang w:val="de-DE"/>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36187" w:rsidRDefault="00EB3A5F" w:rsidP="00892A1D">
            <w:pPr>
              <w:jc w:val="center"/>
              <w:rPr>
                <w:lang w:val="de-DE"/>
              </w:rPr>
            </w:pPr>
            <w:r w:rsidRPr="00436187">
              <w:rPr>
                <w:lang w:val="de-DE"/>
              </w:rPr>
              <w:t>6</w:t>
            </w:r>
          </w:p>
        </w:tc>
      </w:tr>
      <w:tr w:rsidR="00EB3A5F" w:rsidRPr="00877F4A" w:rsidTr="00877F4A">
        <w:tc>
          <w:tcPr>
            <w:tcW w:w="22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36187" w:rsidRDefault="00EB3A5F" w:rsidP="00436187">
            <w:pPr>
              <w:jc w:val="center"/>
              <w:rPr>
                <w:lang w:val="de-DE"/>
              </w:rPr>
            </w:pPr>
            <w:r w:rsidRPr="00436187">
              <w:rPr>
                <w:lang w:val="de-DE"/>
              </w:rPr>
              <w:t>$625</w:t>
            </w:r>
            <w:r w:rsidR="00436187" w:rsidRPr="00436187">
              <w:rPr>
                <w:lang w:val="de-DE"/>
              </w:rPr>
              <w:t>.</w:t>
            </w:r>
            <w:r w:rsidRPr="00436187">
              <w:rPr>
                <w:lang w:val="de-DE"/>
              </w:rPr>
              <w:t>000 - $749</w:t>
            </w:r>
            <w:r w:rsidR="00436187" w:rsidRPr="00436187">
              <w:rPr>
                <w:lang w:val="de-DE"/>
              </w:rPr>
              <w:t>.</w:t>
            </w:r>
            <w:r w:rsidRPr="00436187">
              <w:rPr>
                <w:lang w:val="de-DE"/>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36187" w:rsidRDefault="00EB3A5F" w:rsidP="00892A1D">
            <w:pPr>
              <w:jc w:val="center"/>
              <w:rPr>
                <w:lang w:val="de-DE"/>
              </w:rPr>
            </w:pPr>
            <w:r w:rsidRPr="00436187">
              <w:rPr>
                <w:lang w:val="de-DE"/>
              </w:rPr>
              <w:t>7</w:t>
            </w:r>
          </w:p>
        </w:tc>
      </w:tr>
      <w:tr w:rsidR="00EB3A5F" w:rsidRPr="00436187" w:rsidTr="00877F4A">
        <w:tc>
          <w:tcPr>
            <w:tcW w:w="22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36187" w:rsidRDefault="00EB3A5F" w:rsidP="00436187">
            <w:pPr>
              <w:jc w:val="center"/>
              <w:rPr>
                <w:lang w:val="de-DE"/>
              </w:rPr>
            </w:pPr>
            <w:r w:rsidRPr="00436187">
              <w:rPr>
                <w:lang w:val="de-DE"/>
              </w:rPr>
              <w:t>$750</w:t>
            </w:r>
            <w:r w:rsidR="00436187" w:rsidRPr="00436187">
              <w:rPr>
                <w:lang w:val="de-DE"/>
              </w:rPr>
              <w:t>.</w:t>
            </w:r>
            <w:r w:rsidRPr="00436187">
              <w:rPr>
                <w:lang w:val="de-DE"/>
              </w:rPr>
              <w:t>000 - $874</w:t>
            </w:r>
            <w:r w:rsidR="00436187" w:rsidRPr="00436187">
              <w:rPr>
                <w:lang w:val="de-DE"/>
              </w:rPr>
              <w:t>.</w:t>
            </w:r>
            <w:r w:rsidRPr="00436187">
              <w:rPr>
                <w:lang w:val="de-DE"/>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36187" w:rsidRDefault="00EB3A5F" w:rsidP="00892A1D">
            <w:pPr>
              <w:jc w:val="center"/>
              <w:rPr>
                <w:lang w:val="de-DE"/>
              </w:rPr>
            </w:pPr>
            <w:r w:rsidRPr="00436187">
              <w:rPr>
                <w:lang w:val="de-DE"/>
              </w:rPr>
              <w:t>8</w:t>
            </w:r>
          </w:p>
        </w:tc>
      </w:tr>
    </w:tbl>
    <w:p w:rsidR="00EB3A5F" w:rsidRPr="003A1629" w:rsidRDefault="00EB3A5F" w:rsidP="00EB3A5F">
      <w:pPr>
        <w:jc w:val="both"/>
        <w:rPr>
          <w:rFonts w:eastAsiaTheme="minorHAnsi" w:cs="Tahoma"/>
          <w:szCs w:val="18"/>
        </w:rPr>
      </w:pPr>
    </w:p>
    <w:p w:rsidR="00EB3A5F" w:rsidRPr="00C83DF5" w:rsidRDefault="00EB3A5F" w:rsidP="003A1629">
      <w:pPr>
        <w:jc w:val="both"/>
        <w:rPr>
          <w:lang w:val="de-DE"/>
        </w:rPr>
      </w:pPr>
      <w:r w:rsidRPr="00C83DF5">
        <w:rPr>
          <w:lang w:val="de-DE"/>
        </w:rPr>
        <w:t>Supportanfragen sollten von einer benannten Kontaktperson des Kunden telefonisch oder über die Website und nach der Vorgehensweise veranlasst werden, die im Premier-Servicevertrag des Kunden beschrieben ist. Die</w:t>
      </w:r>
      <w:r w:rsidR="003A1629">
        <w:rPr>
          <w:lang w:val="de-DE"/>
        </w:rPr>
        <w:t> </w:t>
      </w:r>
      <w:r w:rsidRPr="00C83DF5">
        <w:rPr>
          <w:lang w:val="de-DE"/>
        </w:rPr>
        <w:t xml:space="preserve">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023FE7" w:rsidRPr="008B3D04" w:rsidRDefault="00023FE7" w:rsidP="00F42FB8">
      <w:pPr>
        <w:pStyle w:val="Heading3"/>
        <w:rPr>
          <w:rFonts w:ascii="Tahoma" w:hAnsi="Tahoma" w:cs="Tahoma"/>
          <w:b w:val="0"/>
          <w:sz w:val="18"/>
          <w:lang w:val="de-DE"/>
        </w:rPr>
      </w:pPr>
    </w:p>
    <w:p w:rsidR="00620185" w:rsidRPr="00C83DF5" w:rsidRDefault="00620185" w:rsidP="00F42FB8">
      <w:pPr>
        <w:pStyle w:val="Heading3"/>
        <w:rPr>
          <w:lang w:val="de-DE"/>
        </w:rPr>
      </w:pPr>
      <w:bookmarkStart w:id="736" w:name="_Toc336338238"/>
      <w:bookmarkStart w:id="737" w:name="_Toc370983347"/>
      <w:r w:rsidRPr="00C83DF5">
        <w:rPr>
          <w:rFonts w:ascii="Tahoma" w:hAnsi="Tahoma" w:cs="Tahoma"/>
          <w:color w:val="000000"/>
          <w:sz w:val="24"/>
          <w:szCs w:val="18"/>
          <w:lang w:val="de-DE"/>
        </w:rPr>
        <w:t>System Center Advisor</w:t>
      </w:r>
      <w:bookmarkEnd w:id="736"/>
      <w:bookmarkEnd w:id="737"/>
    </w:p>
    <w:p w:rsidR="00620185" w:rsidRPr="008B3D04" w:rsidRDefault="00620185" w:rsidP="00F42FB8">
      <w:pPr>
        <w:rPr>
          <w:rFonts w:cs="Tahoma"/>
          <w:color w:val="000000"/>
          <w:szCs w:val="18"/>
          <w:lang w:val="de-DE"/>
        </w:rPr>
      </w:pPr>
    </w:p>
    <w:p w:rsidR="001C1727" w:rsidRPr="00C83DF5" w:rsidRDefault="00F56FC9">
      <w:pPr>
        <w:rPr>
          <w:lang w:val="de-DE"/>
        </w:rPr>
      </w:pPr>
      <w:r w:rsidRPr="00C83DF5">
        <w:rPr>
          <w:rFonts w:cs="Tahoma"/>
          <w:szCs w:val="18"/>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rsidR="003479E5" w:rsidRPr="00C83DF5" w:rsidRDefault="003479E5" w:rsidP="00792D1E">
      <w:pPr>
        <w:outlineLvl w:val="2"/>
        <w:rPr>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C83DF5" w:rsidTr="003A1629">
        <w:trPr>
          <w:tblHeader/>
        </w:trPr>
        <w:tc>
          <w:tcPr>
            <w:tcW w:w="3760" w:type="dxa"/>
            <w:gridSpan w:val="2"/>
            <w:shd w:val="clear" w:color="auto" w:fill="FABF8F"/>
          </w:tcPr>
          <w:p w:rsidR="00A13BC3" w:rsidRPr="00C83DF5" w:rsidRDefault="00A13BC3" w:rsidP="007E466C">
            <w:pPr>
              <w:spacing w:before="120" w:after="120" w:line="276" w:lineRule="auto"/>
              <w:jc w:val="center"/>
              <w:rPr>
                <w:rFonts w:cs="Tahoma"/>
                <w:b/>
                <w:bCs/>
                <w:color w:val="000000"/>
                <w:szCs w:val="18"/>
                <w:lang w:eastAsia="ja-JP"/>
              </w:rPr>
            </w:pPr>
            <w:r w:rsidRPr="00C83DF5">
              <w:rPr>
                <w:rFonts w:cs="Tahoma"/>
                <w:b/>
                <w:bCs/>
                <w:color w:val="000000"/>
                <w:szCs w:val="18"/>
              </w:rPr>
              <w:t>Qualifizierende Serversoftware*</w:t>
            </w:r>
          </w:p>
        </w:tc>
        <w:tc>
          <w:tcPr>
            <w:tcW w:w="1774" w:type="dxa"/>
            <w:shd w:val="clear" w:color="auto" w:fill="FABF8F"/>
          </w:tcPr>
          <w:p w:rsidR="00A13BC3" w:rsidRPr="00C83DF5"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C83DF5"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C83DF5" w:rsidRDefault="00A13BC3" w:rsidP="003479E5">
            <w:pPr>
              <w:spacing w:after="200" w:line="276" w:lineRule="auto"/>
              <w:jc w:val="center"/>
              <w:rPr>
                <w:rFonts w:cs="Tahoma"/>
                <w:b/>
                <w:bCs/>
                <w:color w:val="000000"/>
                <w:szCs w:val="18"/>
                <w:lang w:eastAsia="ja-JP"/>
              </w:rPr>
            </w:pPr>
          </w:p>
        </w:tc>
      </w:tr>
      <w:tr w:rsidR="00A13BC3" w:rsidRPr="00C83DF5" w:rsidTr="003A1629">
        <w:trPr>
          <w:tblHeader/>
        </w:trPr>
        <w:tc>
          <w:tcPr>
            <w:tcW w:w="1912" w:type="dxa"/>
            <w:shd w:val="clear" w:color="auto" w:fill="FABF8F"/>
            <w:vAlign w:val="center"/>
          </w:tcPr>
          <w:p w:rsidR="00A13BC3" w:rsidRPr="00C83DF5" w:rsidRDefault="00A13BC3" w:rsidP="007E466C">
            <w:pPr>
              <w:spacing w:before="120" w:after="120" w:line="276" w:lineRule="auto"/>
              <w:jc w:val="center"/>
              <w:rPr>
                <w:rFonts w:cs="Tahoma"/>
                <w:color w:val="000000"/>
                <w:szCs w:val="18"/>
                <w:lang w:eastAsia="ja-JP"/>
              </w:rPr>
            </w:pPr>
            <w:r w:rsidRPr="00C83DF5">
              <w:rPr>
                <w:rFonts w:cs="Tahoma"/>
                <w:b/>
                <w:bCs/>
                <w:color w:val="000000"/>
                <w:szCs w:val="18"/>
              </w:rPr>
              <w:t>Windows Server</w:t>
            </w:r>
          </w:p>
        </w:tc>
        <w:tc>
          <w:tcPr>
            <w:tcW w:w="1848" w:type="dxa"/>
            <w:shd w:val="clear" w:color="auto" w:fill="FABF8F"/>
            <w:vAlign w:val="center"/>
          </w:tcPr>
          <w:p w:rsidR="00A13BC3" w:rsidRPr="00C83DF5" w:rsidRDefault="00A13BC3" w:rsidP="007E466C">
            <w:pPr>
              <w:spacing w:before="120" w:after="120" w:line="276" w:lineRule="auto"/>
              <w:jc w:val="center"/>
              <w:rPr>
                <w:rFonts w:cs="Tahoma"/>
                <w:color w:val="000000"/>
                <w:szCs w:val="18"/>
                <w:lang w:eastAsia="ja-JP"/>
              </w:rPr>
            </w:pPr>
            <w:r w:rsidRPr="00C83DF5">
              <w:rPr>
                <w:rFonts w:cs="Tahoma"/>
                <w:b/>
                <w:bCs/>
                <w:color w:val="000000"/>
                <w:szCs w:val="18"/>
              </w:rPr>
              <w:t>SQL Server</w:t>
            </w:r>
          </w:p>
        </w:tc>
        <w:tc>
          <w:tcPr>
            <w:tcW w:w="1774" w:type="dxa"/>
            <w:shd w:val="clear" w:color="auto" w:fill="FABF8F"/>
            <w:vAlign w:val="center"/>
          </w:tcPr>
          <w:p w:rsidR="00A13BC3" w:rsidRPr="00C83DF5" w:rsidRDefault="00A13BC3" w:rsidP="007E466C">
            <w:pPr>
              <w:spacing w:before="120" w:after="120" w:line="276" w:lineRule="auto"/>
              <w:jc w:val="center"/>
              <w:rPr>
                <w:rFonts w:cs="Tahoma"/>
                <w:b/>
                <w:bCs/>
                <w:color w:val="000000"/>
                <w:szCs w:val="18"/>
                <w:lang w:eastAsia="ja-JP"/>
              </w:rPr>
            </w:pPr>
            <w:r w:rsidRPr="00C83DF5">
              <w:rPr>
                <w:rFonts w:cs="Tahoma"/>
                <w:b/>
                <w:bCs/>
                <w:color w:val="000000"/>
                <w:szCs w:val="18"/>
              </w:rPr>
              <w:t>Exchange Server</w:t>
            </w:r>
          </w:p>
        </w:tc>
        <w:tc>
          <w:tcPr>
            <w:tcW w:w="1913" w:type="dxa"/>
            <w:shd w:val="clear" w:color="auto" w:fill="FABF8F"/>
            <w:vAlign w:val="center"/>
          </w:tcPr>
          <w:p w:rsidR="00A13BC3" w:rsidRPr="00C83DF5" w:rsidRDefault="00A13BC3" w:rsidP="007E466C">
            <w:pPr>
              <w:spacing w:before="120" w:after="120" w:line="276" w:lineRule="auto"/>
              <w:jc w:val="center"/>
              <w:rPr>
                <w:rFonts w:cs="Tahoma"/>
                <w:b/>
                <w:bCs/>
                <w:color w:val="000000"/>
                <w:szCs w:val="18"/>
                <w:lang w:eastAsia="ja-JP"/>
              </w:rPr>
            </w:pPr>
            <w:r w:rsidRPr="00C83DF5">
              <w:rPr>
                <w:rFonts w:cs="Tahoma"/>
                <w:b/>
                <w:bCs/>
                <w:color w:val="000000"/>
                <w:szCs w:val="18"/>
              </w:rPr>
              <w:t>SharePoint Server</w:t>
            </w:r>
          </w:p>
        </w:tc>
        <w:tc>
          <w:tcPr>
            <w:tcW w:w="1391" w:type="dxa"/>
            <w:shd w:val="clear" w:color="auto" w:fill="FABF8F"/>
            <w:vAlign w:val="center"/>
          </w:tcPr>
          <w:p w:rsidR="00A13BC3" w:rsidRPr="00C83DF5" w:rsidRDefault="00A13BC3" w:rsidP="007E466C">
            <w:pPr>
              <w:spacing w:before="120" w:after="120" w:line="276" w:lineRule="auto"/>
              <w:jc w:val="center"/>
              <w:rPr>
                <w:rFonts w:cs="Tahoma"/>
                <w:b/>
                <w:bCs/>
                <w:color w:val="000000"/>
                <w:szCs w:val="18"/>
                <w:lang w:eastAsia="ja-JP"/>
              </w:rPr>
            </w:pPr>
            <w:r w:rsidRPr="00C83DF5">
              <w:rPr>
                <w:rFonts w:cs="Tahoma"/>
                <w:b/>
                <w:bCs/>
                <w:color w:val="000000"/>
                <w:szCs w:val="18"/>
              </w:rPr>
              <w:t>Lync Server</w:t>
            </w:r>
          </w:p>
        </w:tc>
      </w:tr>
      <w:tr w:rsidR="00A13BC3" w:rsidRPr="00C83DF5" w:rsidTr="007E466C">
        <w:tc>
          <w:tcPr>
            <w:tcW w:w="1912" w:type="dxa"/>
          </w:tcPr>
          <w:p w:rsidR="00A13BC3" w:rsidRPr="00C83DF5" w:rsidRDefault="00A13BC3" w:rsidP="003479E5">
            <w:pPr>
              <w:spacing w:after="200" w:line="276" w:lineRule="auto"/>
              <w:jc w:val="center"/>
              <w:rPr>
                <w:rFonts w:cs="Tahoma"/>
                <w:color w:val="000000"/>
                <w:szCs w:val="18"/>
                <w:lang w:eastAsia="ja-JP"/>
              </w:rPr>
            </w:pPr>
            <w:r w:rsidRPr="00C83DF5">
              <w:rPr>
                <w:rFonts w:cs="Tahoma"/>
                <w:color w:val="000000"/>
                <w:szCs w:val="18"/>
              </w:rPr>
              <w:t>Windows Server Datacenter</w:t>
            </w:r>
          </w:p>
        </w:tc>
        <w:tc>
          <w:tcPr>
            <w:tcW w:w="1848" w:type="dxa"/>
          </w:tcPr>
          <w:p w:rsidR="00A13BC3" w:rsidRPr="00C83DF5" w:rsidRDefault="00A13BC3" w:rsidP="003479E5">
            <w:pPr>
              <w:spacing w:after="200" w:line="276" w:lineRule="auto"/>
              <w:jc w:val="center"/>
              <w:rPr>
                <w:rFonts w:cs="Tahoma"/>
                <w:color w:val="000000"/>
                <w:szCs w:val="18"/>
                <w:lang w:eastAsia="ja-JP"/>
              </w:rPr>
            </w:pPr>
            <w:r w:rsidRPr="00C83DF5">
              <w:rPr>
                <w:rFonts w:cs="Tahoma"/>
                <w:color w:val="000000"/>
                <w:szCs w:val="18"/>
              </w:rPr>
              <w:t xml:space="preserve">SQL Server Parallel Data Warehouse </w:t>
            </w:r>
          </w:p>
        </w:tc>
        <w:tc>
          <w:tcPr>
            <w:tcW w:w="1774" w:type="dxa"/>
          </w:tcPr>
          <w:p w:rsidR="00A13BC3" w:rsidRPr="00C83DF5" w:rsidRDefault="00A13BC3" w:rsidP="003479E5">
            <w:pPr>
              <w:spacing w:after="200" w:line="276" w:lineRule="auto"/>
              <w:jc w:val="center"/>
              <w:rPr>
                <w:rFonts w:cs="Tahoma"/>
                <w:color w:val="000000"/>
                <w:szCs w:val="18"/>
                <w:lang w:eastAsia="ja-JP"/>
              </w:rPr>
            </w:pPr>
            <w:r w:rsidRPr="00C83DF5">
              <w:rPr>
                <w:rFonts w:cs="Tahoma"/>
                <w:color w:val="000000"/>
                <w:szCs w:val="18"/>
              </w:rPr>
              <w:t>Exchange Small Business Server</w:t>
            </w:r>
          </w:p>
        </w:tc>
        <w:tc>
          <w:tcPr>
            <w:tcW w:w="1913" w:type="dxa"/>
          </w:tcPr>
          <w:p w:rsidR="00A13BC3" w:rsidRPr="00C83DF5" w:rsidRDefault="00A13BC3" w:rsidP="003479E5">
            <w:pPr>
              <w:spacing w:after="200" w:line="276" w:lineRule="auto"/>
              <w:jc w:val="center"/>
              <w:rPr>
                <w:rFonts w:cs="Tahoma"/>
                <w:color w:val="000000"/>
                <w:szCs w:val="18"/>
                <w:lang w:eastAsia="ja-JP"/>
              </w:rPr>
            </w:pPr>
            <w:r w:rsidRPr="00C83DF5">
              <w:rPr>
                <w:rFonts w:cs="Tahoma"/>
                <w:color w:val="000000"/>
                <w:szCs w:val="18"/>
              </w:rPr>
              <w:t>SharePoint for Internet Sites Server Enterprise</w:t>
            </w:r>
          </w:p>
        </w:tc>
        <w:tc>
          <w:tcPr>
            <w:tcW w:w="1391" w:type="dxa"/>
          </w:tcPr>
          <w:p w:rsidR="00A13BC3" w:rsidRPr="00C83DF5" w:rsidRDefault="00A13BC3" w:rsidP="003479E5">
            <w:pPr>
              <w:spacing w:after="200" w:line="276" w:lineRule="auto"/>
              <w:jc w:val="center"/>
              <w:rPr>
                <w:rFonts w:cs="Tahoma"/>
                <w:color w:val="000000"/>
                <w:szCs w:val="18"/>
                <w:lang w:eastAsia="ja-JP"/>
              </w:rPr>
            </w:pPr>
            <w:r w:rsidRPr="00C83DF5">
              <w:rPr>
                <w:rFonts w:cs="Tahoma"/>
                <w:color w:val="000000"/>
                <w:szCs w:val="18"/>
              </w:rPr>
              <w:t>Lync Server 2010 Enterprise Edition</w:t>
            </w:r>
          </w:p>
        </w:tc>
      </w:tr>
      <w:tr w:rsidR="00A13BC3" w:rsidRPr="00C83DF5" w:rsidTr="007E466C">
        <w:tc>
          <w:tcPr>
            <w:tcW w:w="1912" w:type="dxa"/>
          </w:tcPr>
          <w:p w:rsidR="00A13BC3" w:rsidRPr="00C83DF5" w:rsidRDefault="00A13BC3" w:rsidP="003479E5">
            <w:pPr>
              <w:spacing w:after="200" w:line="276" w:lineRule="auto"/>
              <w:jc w:val="center"/>
              <w:rPr>
                <w:rFonts w:cs="Tahoma"/>
                <w:szCs w:val="18"/>
              </w:rPr>
            </w:pPr>
            <w:r w:rsidRPr="00C83DF5">
              <w:rPr>
                <w:rFonts w:cs="Tahoma"/>
                <w:color w:val="000000"/>
                <w:szCs w:val="18"/>
              </w:rPr>
              <w:t>Windows Server Enterprise</w:t>
            </w:r>
          </w:p>
        </w:tc>
        <w:tc>
          <w:tcPr>
            <w:tcW w:w="1848" w:type="dxa"/>
          </w:tcPr>
          <w:p w:rsidR="00A13BC3" w:rsidRPr="00C83DF5" w:rsidRDefault="00A13BC3" w:rsidP="003479E5">
            <w:pPr>
              <w:spacing w:after="200" w:line="276" w:lineRule="auto"/>
              <w:jc w:val="center"/>
              <w:rPr>
                <w:rFonts w:cs="Tahoma"/>
                <w:szCs w:val="18"/>
                <w:lang w:eastAsia="ja-JP"/>
              </w:rPr>
            </w:pPr>
            <w:r w:rsidRPr="00C83DF5">
              <w:rPr>
                <w:rFonts w:cs="Tahoma"/>
                <w:color w:val="000000"/>
                <w:szCs w:val="18"/>
              </w:rPr>
              <w:t>SQL Server Datacenter</w:t>
            </w:r>
          </w:p>
        </w:tc>
        <w:tc>
          <w:tcPr>
            <w:tcW w:w="1774" w:type="dxa"/>
          </w:tcPr>
          <w:p w:rsidR="00A13BC3" w:rsidRPr="00C83DF5" w:rsidRDefault="00A13BC3" w:rsidP="003479E5">
            <w:pPr>
              <w:spacing w:after="200" w:line="276" w:lineRule="auto"/>
              <w:jc w:val="center"/>
              <w:rPr>
                <w:rFonts w:cs="Tahoma"/>
                <w:color w:val="000000"/>
                <w:szCs w:val="18"/>
                <w:lang w:eastAsia="ja-JP"/>
              </w:rPr>
            </w:pPr>
            <w:r w:rsidRPr="00C83DF5">
              <w:rPr>
                <w:rFonts w:cs="Tahoma"/>
                <w:color w:val="000000"/>
                <w:szCs w:val="18"/>
              </w:rPr>
              <w:t>Exchange Server Enterprise</w:t>
            </w:r>
          </w:p>
        </w:tc>
        <w:tc>
          <w:tcPr>
            <w:tcW w:w="1913" w:type="dxa"/>
          </w:tcPr>
          <w:p w:rsidR="00A13BC3" w:rsidRPr="00C83DF5" w:rsidRDefault="00A13BC3" w:rsidP="003479E5">
            <w:pPr>
              <w:spacing w:after="200" w:line="276" w:lineRule="auto"/>
              <w:jc w:val="center"/>
              <w:rPr>
                <w:rFonts w:cs="Tahoma"/>
                <w:color w:val="000000"/>
                <w:szCs w:val="18"/>
                <w:lang w:eastAsia="ja-JP"/>
              </w:rPr>
            </w:pPr>
            <w:r w:rsidRPr="00C83DF5">
              <w:rPr>
                <w:rFonts w:cs="Tahoma"/>
                <w:color w:val="000000"/>
                <w:szCs w:val="18"/>
              </w:rPr>
              <w:t>SharePoint for Internet Sites Server Standard</w:t>
            </w:r>
          </w:p>
        </w:tc>
        <w:tc>
          <w:tcPr>
            <w:tcW w:w="1391" w:type="dxa"/>
          </w:tcPr>
          <w:p w:rsidR="00A13BC3" w:rsidRPr="00C83DF5" w:rsidRDefault="00A13BC3" w:rsidP="003479E5">
            <w:pPr>
              <w:spacing w:after="200" w:line="276" w:lineRule="auto"/>
              <w:jc w:val="center"/>
              <w:rPr>
                <w:rFonts w:cs="Tahoma"/>
                <w:color w:val="000000"/>
                <w:szCs w:val="18"/>
                <w:lang w:eastAsia="ja-JP"/>
              </w:rPr>
            </w:pPr>
            <w:r w:rsidRPr="00C83DF5">
              <w:rPr>
                <w:rFonts w:cs="Tahoma"/>
                <w:color w:val="000000"/>
                <w:szCs w:val="18"/>
              </w:rPr>
              <w:t>Lync Server 2010 Standard Edition</w:t>
            </w:r>
          </w:p>
        </w:tc>
      </w:tr>
      <w:tr w:rsidR="00A13BC3" w:rsidRPr="00C83DF5" w:rsidTr="007E466C">
        <w:tc>
          <w:tcPr>
            <w:tcW w:w="1912" w:type="dxa"/>
          </w:tcPr>
          <w:p w:rsidR="00A13BC3" w:rsidRPr="00C83DF5" w:rsidRDefault="00A13BC3" w:rsidP="00394D12">
            <w:pPr>
              <w:keepNext/>
              <w:keepLines/>
              <w:spacing w:after="200" w:line="276" w:lineRule="auto"/>
              <w:jc w:val="center"/>
              <w:rPr>
                <w:rFonts w:cs="Tahoma"/>
                <w:szCs w:val="18"/>
                <w:lang w:eastAsia="ja-JP"/>
              </w:rPr>
            </w:pPr>
            <w:r w:rsidRPr="00C83DF5">
              <w:rPr>
                <w:rFonts w:cs="Tahoma"/>
                <w:color w:val="000000"/>
                <w:szCs w:val="18"/>
              </w:rPr>
              <w:lastRenderedPageBreak/>
              <w:t>Windows Server Standard</w:t>
            </w:r>
          </w:p>
        </w:tc>
        <w:tc>
          <w:tcPr>
            <w:tcW w:w="1848" w:type="dxa"/>
          </w:tcPr>
          <w:p w:rsidR="00A13BC3" w:rsidRPr="00C83DF5" w:rsidRDefault="00A13BC3" w:rsidP="00394D12">
            <w:pPr>
              <w:keepNext/>
              <w:keepLines/>
              <w:spacing w:after="200" w:line="276" w:lineRule="auto"/>
              <w:jc w:val="center"/>
              <w:rPr>
                <w:rFonts w:cs="Tahoma"/>
                <w:szCs w:val="18"/>
                <w:lang w:eastAsia="ja-JP"/>
              </w:rPr>
            </w:pPr>
            <w:r w:rsidRPr="00C83DF5">
              <w:rPr>
                <w:rFonts w:cs="Tahoma"/>
                <w:szCs w:val="18"/>
              </w:rPr>
              <w:t>SQL Server Enterprise</w:t>
            </w:r>
          </w:p>
        </w:tc>
        <w:tc>
          <w:tcPr>
            <w:tcW w:w="1774" w:type="dxa"/>
          </w:tcPr>
          <w:p w:rsidR="00A13BC3" w:rsidRPr="00C83DF5" w:rsidRDefault="00A13BC3" w:rsidP="00394D12">
            <w:pPr>
              <w:keepNext/>
              <w:keepLines/>
              <w:spacing w:after="200" w:line="276" w:lineRule="auto"/>
              <w:jc w:val="center"/>
              <w:rPr>
                <w:rFonts w:cs="Tahoma"/>
                <w:color w:val="000000"/>
                <w:szCs w:val="18"/>
                <w:lang w:eastAsia="ja-JP"/>
              </w:rPr>
            </w:pPr>
            <w:r w:rsidRPr="00C83DF5">
              <w:rPr>
                <w:rFonts w:cs="Tahoma"/>
                <w:color w:val="000000"/>
                <w:szCs w:val="18"/>
              </w:rPr>
              <w:t>Exchange Server Standard</w:t>
            </w:r>
          </w:p>
        </w:tc>
        <w:tc>
          <w:tcPr>
            <w:tcW w:w="1913" w:type="dxa"/>
          </w:tcPr>
          <w:p w:rsidR="00A13BC3" w:rsidRPr="00C83DF5" w:rsidRDefault="00A13BC3" w:rsidP="00394D12">
            <w:pPr>
              <w:keepNext/>
              <w:keepLines/>
              <w:spacing w:after="200" w:line="276" w:lineRule="auto"/>
              <w:jc w:val="center"/>
              <w:rPr>
                <w:rFonts w:cs="Tahoma"/>
                <w:color w:val="000000"/>
                <w:szCs w:val="18"/>
                <w:lang w:eastAsia="ja-JP"/>
              </w:rPr>
            </w:pPr>
            <w:r w:rsidRPr="00C83DF5">
              <w:rPr>
                <w:rFonts w:cs="Tahoma"/>
                <w:color w:val="000000"/>
                <w:szCs w:val="18"/>
              </w:rPr>
              <w:t>SharePoint Server</w:t>
            </w:r>
          </w:p>
        </w:tc>
        <w:tc>
          <w:tcPr>
            <w:tcW w:w="1391" w:type="dxa"/>
          </w:tcPr>
          <w:p w:rsidR="00A13BC3" w:rsidRPr="00C83DF5" w:rsidRDefault="00A13BC3" w:rsidP="00394D12">
            <w:pPr>
              <w:keepNext/>
              <w:keepLines/>
              <w:spacing w:after="200" w:line="276" w:lineRule="auto"/>
              <w:jc w:val="center"/>
              <w:rPr>
                <w:rFonts w:cs="Tahoma"/>
                <w:color w:val="000000"/>
                <w:szCs w:val="18"/>
                <w:lang w:eastAsia="ja-JP"/>
              </w:rPr>
            </w:pPr>
          </w:p>
        </w:tc>
      </w:tr>
      <w:tr w:rsidR="00A13BC3" w:rsidRPr="00C83DF5" w:rsidTr="007E466C">
        <w:tc>
          <w:tcPr>
            <w:tcW w:w="1912" w:type="dxa"/>
          </w:tcPr>
          <w:p w:rsidR="00A13BC3" w:rsidRPr="00C83DF5" w:rsidRDefault="00A13BC3" w:rsidP="003479E5">
            <w:pPr>
              <w:spacing w:after="200" w:line="276" w:lineRule="auto"/>
              <w:jc w:val="center"/>
              <w:rPr>
                <w:rFonts w:cs="Tahoma"/>
                <w:szCs w:val="18"/>
                <w:lang w:eastAsia="ja-JP"/>
              </w:rPr>
            </w:pPr>
            <w:r w:rsidRPr="00C83DF5">
              <w:rPr>
                <w:rFonts w:cs="Tahoma"/>
                <w:szCs w:val="18"/>
              </w:rPr>
              <w:t>Windows Small Business Server Premium Add-On</w:t>
            </w:r>
          </w:p>
        </w:tc>
        <w:tc>
          <w:tcPr>
            <w:tcW w:w="1848" w:type="dxa"/>
          </w:tcPr>
          <w:p w:rsidR="00A13BC3" w:rsidRPr="00C83DF5" w:rsidRDefault="00A13BC3" w:rsidP="003479E5">
            <w:pPr>
              <w:spacing w:after="200" w:line="276" w:lineRule="auto"/>
              <w:jc w:val="center"/>
              <w:rPr>
                <w:rFonts w:cs="Tahoma"/>
                <w:szCs w:val="18"/>
                <w:lang w:eastAsia="ja-JP"/>
              </w:rPr>
            </w:pPr>
            <w:r w:rsidRPr="00C83DF5">
              <w:rPr>
                <w:rFonts w:cs="Tahoma"/>
                <w:szCs w:val="18"/>
              </w:rPr>
              <w:t>SQL Server Standard</w:t>
            </w:r>
          </w:p>
        </w:tc>
        <w:tc>
          <w:tcPr>
            <w:tcW w:w="1774" w:type="dxa"/>
          </w:tcPr>
          <w:p w:rsidR="00A13BC3" w:rsidRPr="00C83DF5" w:rsidRDefault="00A13BC3" w:rsidP="003479E5">
            <w:pPr>
              <w:spacing w:after="200" w:line="276" w:lineRule="auto"/>
              <w:jc w:val="center"/>
              <w:rPr>
                <w:rFonts w:cs="Tahoma"/>
                <w:szCs w:val="18"/>
                <w:lang w:eastAsia="ja-JP"/>
              </w:rPr>
            </w:pPr>
          </w:p>
        </w:tc>
        <w:tc>
          <w:tcPr>
            <w:tcW w:w="1913" w:type="dxa"/>
          </w:tcPr>
          <w:p w:rsidR="00A13BC3" w:rsidRPr="00C83DF5" w:rsidRDefault="00A13BC3" w:rsidP="003479E5">
            <w:pPr>
              <w:spacing w:after="200" w:line="276" w:lineRule="auto"/>
              <w:jc w:val="center"/>
              <w:rPr>
                <w:rFonts w:cs="Tahoma"/>
                <w:szCs w:val="18"/>
                <w:lang w:eastAsia="ja-JP"/>
              </w:rPr>
            </w:pPr>
          </w:p>
        </w:tc>
        <w:tc>
          <w:tcPr>
            <w:tcW w:w="1391" w:type="dxa"/>
          </w:tcPr>
          <w:p w:rsidR="00A13BC3" w:rsidRPr="00C83DF5" w:rsidRDefault="00A13BC3" w:rsidP="003479E5">
            <w:pPr>
              <w:spacing w:after="200" w:line="276" w:lineRule="auto"/>
              <w:jc w:val="center"/>
              <w:rPr>
                <w:rFonts w:cs="Tahoma"/>
                <w:szCs w:val="18"/>
                <w:lang w:eastAsia="ja-JP"/>
              </w:rPr>
            </w:pPr>
          </w:p>
        </w:tc>
      </w:tr>
      <w:tr w:rsidR="00A13BC3" w:rsidRPr="00C83DF5" w:rsidTr="007E466C">
        <w:tc>
          <w:tcPr>
            <w:tcW w:w="1912" w:type="dxa"/>
          </w:tcPr>
          <w:p w:rsidR="00A13BC3" w:rsidRPr="00C83DF5" w:rsidRDefault="00A13BC3" w:rsidP="003479E5">
            <w:pPr>
              <w:spacing w:after="200" w:line="276" w:lineRule="auto"/>
              <w:jc w:val="center"/>
              <w:rPr>
                <w:rFonts w:cs="Tahoma"/>
                <w:szCs w:val="18"/>
                <w:lang w:eastAsia="ja-JP"/>
              </w:rPr>
            </w:pPr>
            <w:r w:rsidRPr="00C83DF5">
              <w:rPr>
                <w:rFonts w:cs="Tahoma"/>
                <w:szCs w:val="18"/>
              </w:rPr>
              <w:t>Windows Small Business Server Standard</w:t>
            </w:r>
          </w:p>
        </w:tc>
        <w:tc>
          <w:tcPr>
            <w:tcW w:w="1848" w:type="dxa"/>
          </w:tcPr>
          <w:p w:rsidR="00A13BC3" w:rsidRPr="00C83DF5" w:rsidRDefault="00A13BC3" w:rsidP="003479E5">
            <w:pPr>
              <w:spacing w:after="200" w:line="276" w:lineRule="auto"/>
              <w:jc w:val="center"/>
              <w:rPr>
                <w:rFonts w:cs="Tahoma"/>
                <w:szCs w:val="18"/>
                <w:lang w:eastAsia="ja-JP"/>
              </w:rPr>
            </w:pPr>
            <w:r w:rsidRPr="00C83DF5">
              <w:rPr>
                <w:rFonts w:cs="Tahoma"/>
                <w:szCs w:val="18"/>
              </w:rPr>
              <w:t>SQL Server Workgroup</w:t>
            </w:r>
          </w:p>
        </w:tc>
        <w:tc>
          <w:tcPr>
            <w:tcW w:w="1774" w:type="dxa"/>
          </w:tcPr>
          <w:p w:rsidR="00A13BC3" w:rsidRPr="00C83DF5" w:rsidRDefault="00A13BC3" w:rsidP="003479E5">
            <w:pPr>
              <w:spacing w:after="200" w:line="276" w:lineRule="auto"/>
              <w:jc w:val="center"/>
              <w:rPr>
                <w:rFonts w:cs="Tahoma"/>
                <w:szCs w:val="18"/>
                <w:lang w:eastAsia="ja-JP"/>
              </w:rPr>
            </w:pPr>
          </w:p>
        </w:tc>
        <w:tc>
          <w:tcPr>
            <w:tcW w:w="1913" w:type="dxa"/>
          </w:tcPr>
          <w:p w:rsidR="00A13BC3" w:rsidRPr="00C83DF5" w:rsidRDefault="00A13BC3" w:rsidP="003479E5">
            <w:pPr>
              <w:spacing w:after="200" w:line="276" w:lineRule="auto"/>
              <w:jc w:val="center"/>
              <w:rPr>
                <w:rFonts w:cs="Tahoma"/>
                <w:szCs w:val="18"/>
                <w:lang w:eastAsia="ja-JP"/>
              </w:rPr>
            </w:pPr>
          </w:p>
        </w:tc>
        <w:tc>
          <w:tcPr>
            <w:tcW w:w="1391" w:type="dxa"/>
          </w:tcPr>
          <w:p w:rsidR="00A13BC3" w:rsidRPr="00C83DF5" w:rsidRDefault="00A13BC3" w:rsidP="003479E5">
            <w:pPr>
              <w:spacing w:after="200" w:line="276" w:lineRule="auto"/>
              <w:jc w:val="center"/>
              <w:rPr>
                <w:rFonts w:cs="Tahoma"/>
                <w:szCs w:val="18"/>
                <w:lang w:eastAsia="ja-JP"/>
              </w:rPr>
            </w:pPr>
          </w:p>
        </w:tc>
      </w:tr>
      <w:tr w:rsidR="00A13BC3" w:rsidRPr="00C83DF5" w:rsidTr="007E466C">
        <w:tc>
          <w:tcPr>
            <w:tcW w:w="1912" w:type="dxa"/>
          </w:tcPr>
          <w:p w:rsidR="00A13BC3" w:rsidRPr="00C83DF5" w:rsidRDefault="00A13BC3" w:rsidP="003479E5">
            <w:pPr>
              <w:spacing w:after="200" w:line="276" w:lineRule="auto"/>
              <w:jc w:val="center"/>
              <w:rPr>
                <w:rFonts w:cs="Tahoma"/>
                <w:szCs w:val="18"/>
                <w:lang w:eastAsia="ja-JP"/>
              </w:rPr>
            </w:pPr>
            <w:r w:rsidRPr="00C83DF5">
              <w:rPr>
                <w:rFonts w:cs="Tahoma"/>
                <w:szCs w:val="18"/>
              </w:rPr>
              <w:t>Windows Small Business Server Essentials</w:t>
            </w:r>
          </w:p>
        </w:tc>
        <w:tc>
          <w:tcPr>
            <w:tcW w:w="1848" w:type="dxa"/>
          </w:tcPr>
          <w:p w:rsidR="00A13BC3" w:rsidRPr="00C83DF5" w:rsidRDefault="00A13BC3" w:rsidP="003479E5">
            <w:pPr>
              <w:spacing w:after="200" w:line="276" w:lineRule="auto"/>
              <w:jc w:val="center"/>
              <w:rPr>
                <w:rFonts w:cs="Tahoma"/>
                <w:szCs w:val="18"/>
                <w:lang w:eastAsia="ja-JP"/>
              </w:rPr>
            </w:pPr>
            <w:r w:rsidRPr="00C83DF5">
              <w:rPr>
                <w:rFonts w:cs="Tahoma"/>
                <w:szCs w:val="18"/>
              </w:rPr>
              <w:t>SQL Server Small Business</w:t>
            </w:r>
          </w:p>
        </w:tc>
        <w:tc>
          <w:tcPr>
            <w:tcW w:w="1774" w:type="dxa"/>
          </w:tcPr>
          <w:p w:rsidR="00A13BC3" w:rsidRPr="00C83DF5" w:rsidRDefault="00A13BC3" w:rsidP="003479E5">
            <w:pPr>
              <w:spacing w:after="200" w:line="276" w:lineRule="auto"/>
              <w:jc w:val="center"/>
              <w:rPr>
                <w:rFonts w:cs="Tahoma"/>
                <w:szCs w:val="18"/>
                <w:lang w:eastAsia="ja-JP"/>
              </w:rPr>
            </w:pPr>
          </w:p>
        </w:tc>
        <w:tc>
          <w:tcPr>
            <w:tcW w:w="1913" w:type="dxa"/>
          </w:tcPr>
          <w:p w:rsidR="00A13BC3" w:rsidRPr="00C83DF5" w:rsidRDefault="00A13BC3" w:rsidP="003479E5">
            <w:pPr>
              <w:spacing w:after="200" w:line="276" w:lineRule="auto"/>
              <w:jc w:val="center"/>
              <w:rPr>
                <w:rFonts w:cs="Tahoma"/>
                <w:szCs w:val="18"/>
                <w:lang w:eastAsia="ja-JP"/>
              </w:rPr>
            </w:pPr>
          </w:p>
        </w:tc>
        <w:tc>
          <w:tcPr>
            <w:tcW w:w="1391" w:type="dxa"/>
          </w:tcPr>
          <w:p w:rsidR="00A13BC3" w:rsidRPr="00C83DF5" w:rsidRDefault="00A13BC3" w:rsidP="003479E5">
            <w:pPr>
              <w:spacing w:after="200" w:line="276" w:lineRule="auto"/>
              <w:jc w:val="center"/>
              <w:rPr>
                <w:rFonts w:cs="Tahoma"/>
                <w:szCs w:val="18"/>
                <w:lang w:eastAsia="ja-JP"/>
              </w:rPr>
            </w:pPr>
          </w:p>
        </w:tc>
      </w:tr>
      <w:tr w:rsidR="00A13BC3" w:rsidRPr="00C83DF5" w:rsidTr="007E466C">
        <w:tc>
          <w:tcPr>
            <w:tcW w:w="1912" w:type="dxa"/>
          </w:tcPr>
          <w:p w:rsidR="00A13BC3" w:rsidRPr="00C83DF5" w:rsidRDefault="00A13BC3" w:rsidP="003479E5">
            <w:pPr>
              <w:spacing w:after="200" w:line="276" w:lineRule="auto"/>
              <w:jc w:val="center"/>
              <w:rPr>
                <w:rFonts w:cs="Tahoma"/>
                <w:szCs w:val="18"/>
                <w:lang w:eastAsia="ja-JP"/>
              </w:rPr>
            </w:pPr>
            <w:r w:rsidRPr="00C83DF5">
              <w:rPr>
                <w:rFonts w:cs="Tahoma"/>
                <w:szCs w:val="18"/>
              </w:rPr>
              <w:t>Windows Web Server</w:t>
            </w:r>
          </w:p>
        </w:tc>
        <w:tc>
          <w:tcPr>
            <w:tcW w:w="1848" w:type="dxa"/>
          </w:tcPr>
          <w:p w:rsidR="00A13BC3" w:rsidRPr="00C83DF5" w:rsidRDefault="00A13BC3" w:rsidP="003479E5">
            <w:pPr>
              <w:spacing w:after="200" w:line="276" w:lineRule="auto"/>
              <w:jc w:val="center"/>
              <w:rPr>
                <w:rFonts w:cs="Tahoma"/>
                <w:szCs w:val="18"/>
                <w:lang w:eastAsia="ja-JP"/>
              </w:rPr>
            </w:pPr>
            <w:r w:rsidRPr="00C83DF5">
              <w:rPr>
                <w:rFonts w:cs="Tahoma"/>
                <w:szCs w:val="18"/>
              </w:rPr>
              <w:t>SQL Server Web</w:t>
            </w:r>
          </w:p>
        </w:tc>
        <w:tc>
          <w:tcPr>
            <w:tcW w:w="1774" w:type="dxa"/>
          </w:tcPr>
          <w:p w:rsidR="00A13BC3" w:rsidRPr="00C83DF5" w:rsidRDefault="00A13BC3" w:rsidP="003479E5">
            <w:pPr>
              <w:spacing w:after="200" w:line="276" w:lineRule="auto"/>
              <w:jc w:val="center"/>
              <w:rPr>
                <w:rFonts w:cs="Tahoma"/>
                <w:szCs w:val="18"/>
                <w:lang w:eastAsia="ja-JP"/>
              </w:rPr>
            </w:pPr>
          </w:p>
        </w:tc>
        <w:tc>
          <w:tcPr>
            <w:tcW w:w="1913" w:type="dxa"/>
          </w:tcPr>
          <w:p w:rsidR="00A13BC3" w:rsidRPr="00C83DF5" w:rsidRDefault="00A13BC3" w:rsidP="003479E5">
            <w:pPr>
              <w:spacing w:after="200" w:line="276" w:lineRule="auto"/>
              <w:jc w:val="center"/>
              <w:rPr>
                <w:rFonts w:cs="Tahoma"/>
                <w:szCs w:val="18"/>
                <w:lang w:eastAsia="ja-JP"/>
              </w:rPr>
            </w:pPr>
          </w:p>
        </w:tc>
        <w:tc>
          <w:tcPr>
            <w:tcW w:w="1391" w:type="dxa"/>
          </w:tcPr>
          <w:p w:rsidR="00A13BC3" w:rsidRPr="00C83DF5" w:rsidRDefault="00A13BC3" w:rsidP="003479E5">
            <w:pPr>
              <w:spacing w:after="200" w:line="276" w:lineRule="auto"/>
              <w:jc w:val="center"/>
              <w:rPr>
                <w:rFonts w:cs="Tahoma"/>
                <w:szCs w:val="18"/>
                <w:lang w:eastAsia="ja-JP"/>
              </w:rPr>
            </w:pPr>
          </w:p>
        </w:tc>
      </w:tr>
      <w:tr w:rsidR="00A13BC3" w:rsidRPr="00C83DF5" w:rsidTr="007E466C">
        <w:tc>
          <w:tcPr>
            <w:tcW w:w="1912" w:type="dxa"/>
          </w:tcPr>
          <w:p w:rsidR="00A13BC3" w:rsidRPr="00C83DF5" w:rsidRDefault="00A13BC3" w:rsidP="003479E5">
            <w:pPr>
              <w:spacing w:after="200" w:line="276" w:lineRule="auto"/>
              <w:jc w:val="center"/>
              <w:rPr>
                <w:rFonts w:cs="Tahoma"/>
                <w:szCs w:val="18"/>
                <w:lang w:eastAsia="ja-JP"/>
              </w:rPr>
            </w:pPr>
            <w:r w:rsidRPr="00C83DF5">
              <w:rPr>
                <w:rFonts w:cs="Tahoma"/>
                <w:szCs w:val="18"/>
              </w:rPr>
              <w:t>Windows HPC Server Suite</w:t>
            </w:r>
          </w:p>
        </w:tc>
        <w:tc>
          <w:tcPr>
            <w:tcW w:w="1848" w:type="dxa"/>
          </w:tcPr>
          <w:p w:rsidR="00A13BC3" w:rsidRPr="00C83DF5" w:rsidRDefault="00A13BC3" w:rsidP="003479E5">
            <w:pPr>
              <w:spacing w:after="200" w:line="276" w:lineRule="auto"/>
              <w:jc w:val="center"/>
              <w:rPr>
                <w:rFonts w:cs="Tahoma"/>
                <w:szCs w:val="18"/>
                <w:lang w:eastAsia="ja-JP"/>
              </w:rPr>
            </w:pPr>
            <w:r w:rsidRPr="00C83DF5">
              <w:rPr>
                <w:rFonts w:cs="Tahoma"/>
                <w:szCs w:val="18"/>
              </w:rPr>
              <w:t>SQL Server Developer</w:t>
            </w:r>
          </w:p>
        </w:tc>
        <w:tc>
          <w:tcPr>
            <w:tcW w:w="1774" w:type="dxa"/>
          </w:tcPr>
          <w:p w:rsidR="00A13BC3" w:rsidRPr="00C83DF5" w:rsidRDefault="00A13BC3" w:rsidP="003479E5">
            <w:pPr>
              <w:spacing w:after="200" w:line="276" w:lineRule="auto"/>
              <w:jc w:val="center"/>
              <w:rPr>
                <w:rFonts w:cs="Tahoma"/>
                <w:szCs w:val="18"/>
                <w:lang w:eastAsia="ja-JP"/>
              </w:rPr>
            </w:pPr>
          </w:p>
        </w:tc>
        <w:tc>
          <w:tcPr>
            <w:tcW w:w="1913" w:type="dxa"/>
          </w:tcPr>
          <w:p w:rsidR="00A13BC3" w:rsidRPr="00C83DF5" w:rsidRDefault="00A13BC3" w:rsidP="003479E5">
            <w:pPr>
              <w:spacing w:after="200" w:line="276" w:lineRule="auto"/>
              <w:jc w:val="center"/>
              <w:rPr>
                <w:rFonts w:cs="Tahoma"/>
                <w:szCs w:val="18"/>
                <w:lang w:eastAsia="ja-JP"/>
              </w:rPr>
            </w:pPr>
          </w:p>
        </w:tc>
        <w:tc>
          <w:tcPr>
            <w:tcW w:w="1391" w:type="dxa"/>
          </w:tcPr>
          <w:p w:rsidR="00A13BC3" w:rsidRPr="00C83DF5" w:rsidRDefault="00A13BC3" w:rsidP="003479E5">
            <w:pPr>
              <w:spacing w:after="200" w:line="276" w:lineRule="auto"/>
              <w:jc w:val="center"/>
              <w:rPr>
                <w:rFonts w:cs="Tahoma"/>
                <w:szCs w:val="18"/>
                <w:lang w:eastAsia="ja-JP"/>
              </w:rPr>
            </w:pPr>
          </w:p>
        </w:tc>
      </w:tr>
      <w:tr w:rsidR="00A13BC3" w:rsidRPr="00C83DF5" w:rsidTr="007E466C">
        <w:tc>
          <w:tcPr>
            <w:tcW w:w="1912" w:type="dxa"/>
          </w:tcPr>
          <w:p w:rsidR="00A13BC3" w:rsidRPr="00C83DF5" w:rsidRDefault="00A13BC3" w:rsidP="00894563">
            <w:pPr>
              <w:spacing w:after="200" w:line="276" w:lineRule="auto"/>
              <w:jc w:val="center"/>
              <w:rPr>
                <w:rFonts w:cs="Tahoma"/>
                <w:szCs w:val="18"/>
                <w:lang w:eastAsia="ja-JP"/>
              </w:rPr>
            </w:pPr>
            <w:r w:rsidRPr="00C83DF5">
              <w:rPr>
                <w:rFonts w:cs="Tahoma"/>
                <w:szCs w:val="18"/>
              </w:rPr>
              <w:t>Windows Server HPC Edition</w:t>
            </w:r>
          </w:p>
        </w:tc>
        <w:tc>
          <w:tcPr>
            <w:tcW w:w="1848" w:type="dxa"/>
          </w:tcPr>
          <w:p w:rsidR="00A13BC3" w:rsidRPr="00C83DF5" w:rsidRDefault="00A13BC3" w:rsidP="003479E5">
            <w:pPr>
              <w:spacing w:after="200" w:line="276" w:lineRule="auto"/>
              <w:jc w:val="center"/>
              <w:rPr>
                <w:rFonts w:cs="Tahoma"/>
                <w:szCs w:val="18"/>
                <w:lang w:eastAsia="ja-JP"/>
              </w:rPr>
            </w:pPr>
            <w:r w:rsidRPr="00C83DF5">
              <w:rPr>
                <w:rFonts w:cs="Tahoma"/>
                <w:szCs w:val="18"/>
              </w:rPr>
              <w:t>SQL Server Business Intelligence</w:t>
            </w:r>
          </w:p>
        </w:tc>
        <w:tc>
          <w:tcPr>
            <w:tcW w:w="1774" w:type="dxa"/>
          </w:tcPr>
          <w:p w:rsidR="00A13BC3" w:rsidRPr="00C83DF5" w:rsidRDefault="00A13BC3" w:rsidP="003479E5">
            <w:pPr>
              <w:spacing w:after="200" w:line="276" w:lineRule="auto"/>
              <w:jc w:val="center"/>
              <w:rPr>
                <w:rFonts w:cs="Tahoma"/>
                <w:szCs w:val="18"/>
                <w:lang w:eastAsia="ja-JP"/>
              </w:rPr>
            </w:pPr>
          </w:p>
        </w:tc>
        <w:tc>
          <w:tcPr>
            <w:tcW w:w="1913" w:type="dxa"/>
          </w:tcPr>
          <w:p w:rsidR="00A13BC3" w:rsidRPr="00C83DF5" w:rsidRDefault="00A13BC3" w:rsidP="003479E5">
            <w:pPr>
              <w:spacing w:after="200" w:line="276" w:lineRule="auto"/>
              <w:jc w:val="center"/>
              <w:rPr>
                <w:rFonts w:cs="Tahoma"/>
                <w:szCs w:val="18"/>
                <w:lang w:eastAsia="ja-JP"/>
              </w:rPr>
            </w:pPr>
          </w:p>
        </w:tc>
        <w:tc>
          <w:tcPr>
            <w:tcW w:w="1391" w:type="dxa"/>
          </w:tcPr>
          <w:p w:rsidR="00A13BC3" w:rsidRPr="00C83DF5" w:rsidRDefault="00A13BC3" w:rsidP="003479E5">
            <w:pPr>
              <w:spacing w:after="200" w:line="276" w:lineRule="auto"/>
              <w:jc w:val="center"/>
              <w:rPr>
                <w:rFonts w:cs="Tahoma"/>
                <w:szCs w:val="18"/>
                <w:lang w:eastAsia="ja-JP"/>
              </w:rPr>
            </w:pPr>
          </w:p>
        </w:tc>
      </w:tr>
      <w:tr w:rsidR="00A13BC3" w:rsidRPr="004D388E" w:rsidTr="007E466C">
        <w:tc>
          <w:tcPr>
            <w:tcW w:w="1912" w:type="dxa"/>
          </w:tcPr>
          <w:p w:rsidR="00A13BC3" w:rsidRPr="00C83DF5" w:rsidRDefault="00A13BC3" w:rsidP="003479E5">
            <w:pPr>
              <w:spacing w:after="200" w:line="276" w:lineRule="auto"/>
              <w:jc w:val="center"/>
              <w:rPr>
                <w:rFonts w:cs="Tahoma"/>
                <w:szCs w:val="18"/>
                <w:lang w:val="fr-FR" w:eastAsia="ja-JP"/>
              </w:rPr>
            </w:pPr>
            <w:r w:rsidRPr="00C83DF5">
              <w:rPr>
                <w:rFonts w:cs="Tahoma"/>
                <w:szCs w:val="18"/>
                <w:lang w:val="fr-FR"/>
              </w:rPr>
              <w:t xml:space="preserve">Core Infrastructure Server Suite Datacenter </w:t>
            </w:r>
          </w:p>
        </w:tc>
        <w:tc>
          <w:tcPr>
            <w:tcW w:w="1848" w:type="dxa"/>
          </w:tcPr>
          <w:p w:rsidR="00A13BC3" w:rsidRPr="00C83DF5" w:rsidRDefault="00A13BC3" w:rsidP="003479E5">
            <w:pPr>
              <w:spacing w:after="200" w:line="276" w:lineRule="auto"/>
              <w:jc w:val="center"/>
              <w:rPr>
                <w:rFonts w:cs="Tahoma"/>
                <w:szCs w:val="18"/>
                <w:lang w:val="fr-FR"/>
              </w:rPr>
            </w:pPr>
          </w:p>
        </w:tc>
        <w:tc>
          <w:tcPr>
            <w:tcW w:w="1774" w:type="dxa"/>
          </w:tcPr>
          <w:p w:rsidR="00A13BC3" w:rsidRPr="00C83DF5" w:rsidRDefault="00A13BC3" w:rsidP="003479E5">
            <w:pPr>
              <w:spacing w:after="200" w:line="276" w:lineRule="auto"/>
              <w:jc w:val="center"/>
              <w:rPr>
                <w:rFonts w:cs="Tahoma"/>
                <w:szCs w:val="18"/>
                <w:lang w:val="fr-FR"/>
              </w:rPr>
            </w:pPr>
          </w:p>
        </w:tc>
        <w:tc>
          <w:tcPr>
            <w:tcW w:w="1913" w:type="dxa"/>
          </w:tcPr>
          <w:p w:rsidR="00A13BC3" w:rsidRPr="00C83DF5" w:rsidRDefault="00A13BC3" w:rsidP="003479E5">
            <w:pPr>
              <w:spacing w:after="200" w:line="276" w:lineRule="auto"/>
              <w:jc w:val="center"/>
              <w:rPr>
                <w:rFonts w:cs="Tahoma"/>
                <w:szCs w:val="18"/>
                <w:lang w:val="fr-FR"/>
              </w:rPr>
            </w:pPr>
          </w:p>
        </w:tc>
        <w:tc>
          <w:tcPr>
            <w:tcW w:w="1391" w:type="dxa"/>
          </w:tcPr>
          <w:p w:rsidR="00A13BC3" w:rsidRPr="00C83DF5" w:rsidRDefault="00A13BC3" w:rsidP="003479E5">
            <w:pPr>
              <w:spacing w:after="200" w:line="276" w:lineRule="auto"/>
              <w:jc w:val="center"/>
              <w:rPr>
                <w:rFonts w:cs="Tahoma"/>
                <w:szCs w:val="18"/>
                <w:lang w:val="fr-FR"/>
              </w:rPr>
            </w:pPr>
          </w:p>
        </w:tc>
      </w:tr>
      <w:tr w:rsidR="00A13BC3" w:rsidRPr="004D388E" w:rsidTr="000C702C">
        <w:tc>
          <w:tcPr>
            <w:tcW w:w="1912" w:type="dxa"/>
          </w:tcPr>
          <w:p w:rsidR="00A13BC3" w:rsidRPr="00C83DF5" w:rsidRDefault="00A13BC3" w:rsidP="003479E5">
            <w:pPr>
              <w:spacing w:after="200" w:line="276" w:lineRule="auto"/>
              <w:jc w:val="center"/>
              <w:rPr>
                <w:rFonts w:cs="Tahoma"/>
                <w:szCs w:val="18"/>
                <w:lang w:val="fr-FR" w:eastAsia="ja-JP"/>
              </w:rPr>
            </w:pPr>
            <w:r w:rsidRPr="00C83DF5">
              <w:rPr>
                <w:rFonts w:cs="Tahoma"/>
                <w:szCs w:val="18"/>
                <w:lang w:val="fr-FR"/>
              </w:rPr>
              <w:t>Core Infrastructure Server Suite Enterprise</w:t>
            </w:r>
          </w:p>
        </w:tc>
        <w:tc>
          <w:tcPr>
            <w:tcW w:w="1848" w:type="dxa"/>
          </w:tcPr>
          <w:p w:rsidR="00A13BC3" w:rsidRPr="00C83DF5" w:rsidRDefault="00A13BC3" w:rsidP="003479E5">
            <w:pPr>
              <w:spacing w:after="200" w:line="276" w:lineRule="auto"/>
              <w:jc w:val="center"/>
              <w:rPr>
                <w:rFonts w:cs="Tahoma"/>
                <w:szCs w:val="18"/>
                <w:lang w:val="fr-FR"/>
              </w:rPr>
            </w:pPr>
          </w:p>
        </w:tc>
        <w:tc>
          <w:tcPr>
            <w:tcW w:w="1774" w:type="dxa"/>
          </w:tcPr>
          <w:p w:rsidR="00A13BC3" w:rsidRPr="00C83DF5" w:rsidRDefault="00A13BC3" w:rsidP="003479E5">
            <w:pPr>
              <w:spacing w:after="200" w:line="276" w:lineRule="auto"/>
              <w:jc w:val="center"/>
              <w:rPr>
                <w:rFonts w:cs="Tahoma"/>
                <w:szCs w:val="18"/>
                <w:lang w:val="fr-FR"/>
              </w:rPr>
            </w:pPr>
          </w:p>
        </w:tc>
        <w:tc>
          <w:tcPr>
            <w:tcW w:w="1913" w:type="dxa"/>
          </w:tcPr>
          <w:p w:rsidR="00A13BC3" w:rsidRPr="00C83DF5" w:rsidRDefault="00A13BC3" w:rsidP="003479E5">
            <w:pPr>
              <w:spacing w:after="200" w:line="276" w:lineRule="auto"/>
              <w:jc w:val="center"/>
              <w:rPr>
                <w:rFonts w:cs="Tahoma"/>
                <w:szCs w:val="18"/>
                <w:lang w:val="fr-FR"/>
              </w:rPr>
            </w:pPr>
          </w:p>
        </w:tc>
        <w:tc>
          <w:tcPr>
            <w:tcW w:w="1391" w:type="dxa"/>
          </w:tcPr>
          <w:p w:rsidR="00A13BC3" w:rsidRPr="00C83DF5" w:rsidRDefault="00A13BC3" w:rsidP="003479E5">
            <w:pPr>
              <w:spacing w:after="200" w:line="276" w:lineRule="auto"/>
              <w:jc w:val="center"/>
              <w:rPr>
                <w:rFonts w:cs="Tahoma"/>
                <w:szCs w:val="18"/>
                <w:lang w:val="fr-FR"/>
              </w:rPr>
            </w:pPr>
          </w:p>
        </w:tc>
      </w:tr>
      <w:tr w:rsidR="00A13BC3" w:rsidRPr="004D388E" w:rsidTr="000C702C">
        <w:tc>
          <w:tcPr>
            <w:tcW w:w="1912" w:type="dxa"/>
          </w:tcPr>
          <w:p w:rsidR="00A13BC3" w:rsidRPr="00C83DF5" w:rsidRDefault="00A13BC3" w:rsidP="003479E5">
            <w:pPr>
              <w:spacing w:after="200" w:line="276" w:lineRule="auto"/>
              <w:jc w:val="center"/>
              <w:rPr>
                <w:rFonts w:cs="Tahoma"/>
                <w:szCs w:val="18"/>
                <w:lang w:val="fr-FR" w:eastAsia="ja-JP"/>
              </w:rPr>
            </w:pPr>
            <w:r w:rsidRPr="00C83DF5">
              <w:rPr>
                <w:rFonts w:cs="Tahoma"/>
                <w:szCs w:val="18"/>
                <w:lang w:val="fr-FR"/>
              </w:rPr>
              <w:t>Core Infrastructure Server Suite Standard</w:t>
            </w:r>
          </w:p>
        </w:tc>
        <w:tc>
          <w:tcPr>
            <w:tcW w:w="1848" w:type="dxa"/>
          </w:tcPr>
          <w:p w:rsidR="00A13BC3" w:rsidRPr="00C83DF5" w:rsidRDefault="00A13BC3" w:rsidP="003479E5">
            <w:pPr>
              <w:spacing w:after="200" w:line="276" w:lineRule="auto"/>
              <w:jc w:val="center"/>
              <w:rPr>
                <w:rFonts w:cs="Tahoma"/>
                <w:szCs w:val="18"/>
                <w:lang w:val="fr-FR"/>
              </w:rPr>
            </w:pPr>
          </w:p>
        </w:tc>
        <w:tc>
          <w:tcPr>
            <w:tcW w:w="1774" w:type="dxa"/>
          </w:tcPr>
          <w:p w:rsidR="00A13BC3" w:rsidRPr="00C83DF5" w:rsidRDefault="00A13BC3" w:rsidP="003479E5">
            <w:pPr>
              <w:spacing w:after="200" w:line="276" w:lineRule="auto"/>
              <w:jc w:val="center"/>
              <w:rPr>
                <w:rFonts w:cs="Tahoma"/>
                <w:szCs w:val="18"/>
                <w:lang w:val="fr-FR"/>
              </w:rPr>
            </w:pPr>
          </w:p>
        </w:tc>
        <w:tc>
          <w:tcPr>
            <w:tcW w:w="1913" w:type="dxa"/>
          </w:tcPr>
          <w:p w:rsidR="00A13BC3" w:rsidRPr="00C83DF5" w:rsidRDefault="00A13BC3" w:rsidP="003479E5">
            <w:pPr>
              <w:spacing w:after="200" w:line="276" w:lineRule="auto"/>
              <w:jc w:val="center"/>
              <w:rPr>
                <w:rFonts w:cs="Tahoma"/>
                <w:szCs w:val="18"/>
                <w:lang w:val="fr-FR"/>
              </w:rPr>
            </w:pPr>
          </w:p>
        </w:tc>
        <w:tc>
          <w:tcPr>
            <w:tcW w:w="1391" w:type="dxa"/>
          </w:tcPr>
          <w:p w:rsidR="00A13BC3" w:rsidRPr="00C83DF5" w:rsidRDefault="00A13BC3" w:rsidP="003479E5">
            <w:pPr>
              <w:spacing w:after="200" w:line="276" w:lineRule="auto"/>
              <w:jc w:val="center"/>
              <w:rPr>
                <w:rFonts w:cs="Tahoma"/>
                <w:szCs w:val="18"/>
                <w:lang w:val="fr-FR"/>
              </w:rPr>
            </w:pPr>
          </w:p>
        </w:tc>
      </w:tr>
    </w:tbl>
    <w:p w:rsidR="003479E5" w:rsidRPr="00C83DF5" w:rsidRDefault="003479E5" w:rsidP="00792D1E">
      <w:pPr>
        <w:rPr>
          <w:lang w:val="fr-FR"/>
        </w:rPr>
      </w:pPr>
    </w:p>
    <w:p w:rsidR="003479E5" w:rsidRPr="00C83DF5" w:rsidRDefault="003479E5" w:rsidP="00792D1E">
      <w:pPr>
        <w:rPr>
          <w:lang w:val="de-DE"/>
        </w:rPr>
      </w:pPr>
      <w:r w:rsidRPr="00C83DF5">
        <w:rPr>
          <w:rFonts w:cs="Tahoma"/>
          <w:bCs/>
          <w:szCs w:val="18"/>
          <w:lang w:val="fr-FR"/>
        </w:rPr>
        <w:t>*Software Assurance für CALs für Qualifizierende Serversoftware qualifiziert Kunden nicht zur Software Assurance-Vergünstigung System Center Advisor.</w:t>
      </w:r>
      <w:r w:rsidR="00E71F46" w:rsidRPr="00C83DF5">
        <w:rPr>
          <w:rFonts w:cs="Tahoma"/>
          <w:bCs/>
          <w:szCs w:val="18"/>
          <w:lang w:val="fr-FR"/>
        </w:rPr>
        <w:t xml:space="preserve"> </w:t>
      </w:r>
      <w:r w:rsidRPr="00C83DF5">
        <w:rPr>
          <w:rFonts w:cs="Tahoma"/>
          <w:bCs/>
          <w:szCs w:val="18"/>
          <w:lang w:val="de-DE"/>
        </w:rPr>
        <w:t>Kunden müssen für die Softwarelizenzen, unter denen die Qualifizierende Serversoftware ausgeführt wird, über Software Assurance verfügen.</w:t>
      </w:r>
    </w:p>
    <w:p w:rsidR="003479E5" w:rsidRPr="00C83DF5" w:rsidRDefault="003479E5" w:rsidP="00792D1E">
      <w:pPr>
        <w:rPr>
          <w:lang w:val="de-DE"/>
        </w:rPr>
      </w:pPr>
    </w:p>
    <w:p w:rsidR="000D454E" w:rsidRPr="00C83DF5" w:rsidRDefault="000D454E" w:rsidP="00795218">
      <w:pPr>
        <w:rPr>
          <w:lang w:val="de-DE"/>
        </w:rPr>
      </w:pPr>
      <w:r w:rsidRPr="00C83DF5">
        <w:rPr>
          <w:rFonts w:cs="Tahoma"/>
          <w:szCs w:val="18"/>
          <w:lang w:val="de-DE"/>
        </w:rPr>
        <w:t>Kunden mit aktiver Software Assurance für Management-Lizenzen, die in der Tabelle unten angegeben sind, sind</w:t>
      </w:r>
      <w:r w:rsidR="00795218">
        <w:rPr>
          <w:rFonts w:cs="Tahoma"/>
          <w:szCs w:val="18"/>
          <w:lang w:val="de-DE"/>
        </w:rPr>
        <w:t> </w:t>
      </w:r>
      <w:r w:rsidRPr="00C83DF5">
        <w:rPr>
          <w:rFonts w:cs="Tahoma"/>
          <w:szCs w:val="18"/>
          <w:lang w:val="de-DE"/>
        </w:rPr>
        <w:t>berechtigt, System Center Advisor wie in den Produktbenutzungsrechten dargelegt zu verwenden.</w:t>
      </w:r>
    </w:p>
    <w:p w:rsidR="000D454E" w:rsidRPr="008B3D04" w:rsidRDefault="000D454E" w:rsidP="000D454E">
      <w:pPr>
        <w:outlineLvl w:val="2"/>
        <w:rPr>
          <w:rFonts w:eastAsia="Calibri" w:cs="Tahoma"/>
          <w:bCs/>
          <w:szCs w:val="18"/>
          <w:lang w:val="de-DE"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C83DF5"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C83DF5" w:rsidRDefault="000D454E" w:rsidP="007E466C">
            <w:pPr>
              <w:spacing w:before="120" w:after="120" w:line="276" w:lineRule="auto"/>
              <w:jc w:val="center"/>
              <w:rPr>
                <w:rFonts w:cs="Tahoma"/>
                <w:b/>
                <w:color w:val="000000"/>
                <w:szCs w:val="18"/>
                <w:lang w:eastAsia="ja-JP"/>
              </w:rPr>
            </w:pPr>
            <w:r w:rsidRPr="00C83DF5">
              <w:rPr>
                <w:rFonts w:cs="Tahoma"/>
                <w:b/>
                <w:color w:val="000000"/>
                <w:szCs w:val="18"/>
              </w:rPr>
              <w:t>Qualifizierende Management-Lizenzen</w:t>
            </w:r>
          </w:p>
        </w:tc>
      </w:tr>
      <w:tr w:rsidR="000D454E" w:rsidRPr="00C83DF5"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C83DF5" w:rsidRDefault="000D454E" w:rsidP="007E466C">
            <w:pPr>
              <w:spacing w:before="120" w:after="120"/>
              <w:jc w:val="center"/>
              <w:rPr>
                <w:rFonts w:cs="Tahoma"/>
                <w:color w:val="000000"/>
                <w:szCs w:val="18"/>
                <w:lang w:eastAsia="ja-JP"/>
              </w:rPr>
            </w:pPr>
            <w:r w:rsidRPr="00C83DF5">
              <w:rPr>
                <w:rFonts w:cs="Tahoma"/>
                <w:color w:val="000000"/>
                <w:szCs w:val="18"/>
              </w:rPr>
              <w:t>Server-Management-Lizenz für System Center 2012 Datacenter</w:t>
            </w:r>
          </w:p>
        </w:tc>
      </w:tr>
      <w:tr w:rsidR="000D454E" w:rsidRPr="004D388E"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C83DF5" w:rsidRDefault="000D454E" w:rsidP="007E466C">
            <w:pPr>
              <w:spacing w:before="120" w:after="120" w:line="276" w:lineRule="auto"/>
              <w:jc w:val="center"/>
              <w:rPr>
                <w:rFonts w:cs="Tahoma"/>
                <w:szCs w:val="18"/>
                <w:lang w:val="de-DE"/>
              </w:rPr>
            </w:pPr>
            <w:r w:rsidRPr="00C83DF5">
              <w:rPr>
                <w:rFonts w:cs="Tahoma"/>
                <w:color w:val="000000"/>
                <w:szCs w:val="18"/>
                <w:lang w:val="de-DE"/>
              </w:rPr>
              <w:t>Server-Management-Lizenz für System Center 2012 Standard</w:t>
            </w:r>
          </w:p>
        </w:tc>
      </w:tr>
    </w:tbl>
    <w:p w:rsidR="00E06FE8" w:rsidRPr="00C83DF5" w:rsidRDefault="000E6E21" w:rsidP="00E06FE8">
      <w:pPr>
        <w:keepNext/>
        <w:keepLines/>
        <w:spacing w:before="40" w:line="259" w:lineRule="auto"/>
        <w:outlineLvl w:val="2"/>
        <w:rPr>
          <w:lang w:val="de-DE"/>
        </w:rPr>
      </w:pPr>
      <w:bookmarkStart w:id="738" w:name="_Toc336338239"/>
      <w:r w:rsidRPr="00C83DF5">
        <w:rPr>
          <w:rFonts w:eastAsiaTheme="majorEastAsia" w:cs="Tahoma"/>
          <w:b/>
          <w:color w:val="000000"/>
          <w:sz w:val="24"/>
          <w:szCs w:val="18"/>
          <w:lang w:val="de-DE"/>
        </w:rPr>
        <w:lastRenderedPageBreak/>
        <w:t>Globaler System Center-Dienstmonitor</w:t>
      </w:r>
    </w:p>
    <w:p w:rsidR="00E06FE8" w:rsidRPr="00C83DF5" w:rsidRDefault="00E06FE8" w:rsidP="004D63A2">
      <w:pPr>
        <w:rPr>
          <w:lang w:val="de-DE"/>
        </w:rPr>
      </w:pPr>
      <w:r w:rsidRPr="00C83DF5">
        <w:rPr>
          <w:rFonts w:cs="Tahoma"/>
          <w:szCs w:val="18"/>
          <w:lang w:val="de-DE"/>
        </w:rPr>
        <w:t>Kunden mit aktiver Software Assurance für Management-Lizenzen, die in der Tabelle unten angegeben sind, sind</w:t>
      </w:r>
      <w:r w:rsidR="004D63A2">
        <w:rPr>
          <w:rFonts w:cs="Tahoma"/>
          <w:szCs w:val="18"/>
          <w:lang w:val="de-DE"/>
        </w:rPr>
        <w:t> </w:t>
      </w:r>
      <w:r w:rsidRPr="00C83DF5">
        <w:rPr>
          <w:rFonts w:cs="Tahoma"/>
          <w:szCs w:val="18"/>
          <w:lang w:val="de-DE"/>
        </w:rPr>
        <w:t>berechtigt, einen globalen System Center-Dienstmonitor wie in den Produktbenutzungsrechten dargelegt zu</w:t>
      </w:r>
      <w:r w:rsidR="004D63A2">
        <w:rPr>
          <w:rFonts w:cs="Tahoma"/>
          <w:szCs w:val="18"/>
          <w:lang w:val="de-DE"/>
        </w:rPr>
        <w:t> </w:t>
      </w:r>
      <w:r w:rsidRPr="00C83DF5">
        <w:rPr>
          <w:rFonts w:cs="Tahoma"/>
          <w:szCs w:val="18"/>
          <w:lang w:val="de-DE"/>
        </w:rPr>
        <w:t>verwenden.</w:t>
      </w:r>
    </w:p>
    <w:p w:rsidR="000E6E21" w:rsidRPr="004D63A2" w:rsidRDefault="000E6E21" w:rsidP="007E466C">
      <w:pPr>
        <w:rPr>
          <w:rFonts w:cs="Tahoma"/>
          <w:szCs w:val="18"/>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C83DF5"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C83DF5" w:rsidRDefault="00E06FE8" w:rsidP="007E466C">
            <w:pPr>
              <w:spacing w:before="120" w:after="120"/>
              <w:jc w:val="center"/>
              <w:rPr>
                <w:rFonts w:cs="Tahoma"/>
                <w:b/>
                <w:szCs w:val="18"/>
              </w:rPr>
            </w:pPr>
            <w:r w:rsidRPr="00C83DF5">
              <w:rPr>
                <w:rFonts w:cs="Tahoma"/>
                <w:b/>
                <w:szCs w:val="18"/>
              </w:rPr>
              <w:t>Qualifizierende Management-Lizenzen</w:t>
            </w:r>
          </w:p>
        </w:tc>
      </w:tr>
      <w:tr w:rsidR="000E6E21" w:rsidRPr="00C83DF5"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C83DF5" w:rsidRDefault="00E06FE8" w:rsidP="007E466C">
            <w:pPr>
              <w:spacing w:before="120" w:after="120"/>
              <w:jc w:val="center"/>
              <w:rPr>
                <w:rFonts w:cs="Tahoma"/>
                <w:szCs w:val="18"/>
              </w:rPr>
            </w:pPr>
            <w:r w:rsidRPr="00C83DF5">
              <w:rPr>
                <w:rFonts w:cs="Tahoma"/>
                <w:szCs w:val="18"/>
              </w:rPr>
              <w:t>Server-Management-Lizenz für System Center Datacenter</w:t>
            </w:r>
          </w:p>
        </w:tc>
      </w:tr>
      <w:tr w:rsidR="000E6E21" w:rsidRPr="004D388E"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C83DF5" w:rsidRDefault="00E06FE8" w:rsidP="007E466C">
            <w:pPr>
              <w:spacing w:before="120" w:after="120"/>
              <w:jc w:val="center"/>
              <w:rPr>
                <w:rFonts w:cs="Tahoma"/>
                <w:szCs w:val="18"/>
                <w:lang w:val="de-DE"/>
              </w:rPr>
            </w:pPr>
            <w:r w:rsidRPr="00C83DF5">
              <w:rPr>
                <w:rFonts w:cs="Tahoma"/>
                <w:szCs w:val="18"/>
                <w:lang w:val="de-DE"/>
              </w:rPr>
              <w:t>Server-Management-Lizenz für System Center Standard</w:t>
            </w:r>
          </w:p>
        </w:tc>
      </w:tr>
    </w:tbl>
    <w:p w:rsidR="00E06FE8" w:rsidRPr="008B3D04" w:rsidRDefault="00E06FE8">
      <w:pPr>
        <w:rPr>
          <w:rFonts w:cs="Tahoma"/>
          <w:szCs w:val="20"/>
          <w:lang w:val="de-DE"/>
        </w:rPr>
      </w:pPr>
    </w:p>
    <w:p w:rsidR="00023FE7" w:rsidRPr="00C83DF5" w:rsidRDefault="00023FE7">
      <w:pPr>
        <w:pStyle w:val="Heading3"/>
        <w:rPr>
          <w:lang w:val="de-DE"/>
        </w:rPr>
      </w:pPr>
      <w:bookmarkStart w:id="739" w:name="_Toc370983348"/>
      <w:r w:rsidRPr="00C83DF5">
        <w:rPr>
          <w:rFonts w:ascii="Tahoma" w:hAnsi="Tahoma" w:cs="Tahoma"/>
          <w:sz w:val="24"/>
          <w:lang w:val="de-DE"/>
        </w:rPr>
        <w:t>„Cold Backup“ für die Wiederherstellung im Notfall</w:t>
      </w:r>
      <w:bookmarkEnd w:id="738"/>
      <w:bookmarkEnd w:id="739"/>
      <w:r w:rsidRPr="00C83DF5">
        <w:rPr>
          <w:rFonts w:ascii="Tahoma" w:hAnsi="Tahoma" w:cs="Tahoma"/>
          <w:sz w:val="24"/>
          <w:lang w:val="de-DE"/>
        </w:rPr>
        <w:t xml:space="preserve"> </w:t>
      </w:r>
    </w:p>
    <w:p w:rsidR="00023FE7" w:rsidRPr="008B3D04" w:rsidRDefault="00023FE7">
      <w:pPr>
        <w:rPr>
          <w:rFonts w:cs="Tahoma"/>
          <w:lang w:val="de-DE"/>
        </w:rPr>
      </w:pPr>
    </w:p>
    <w:p w:rsidR="008A15A8" w:rsidRPr="00C83DF5" w:rsidRDefault="008A15A8" w:rsidP="00792D1E">
      <w:pPr>
        <w:rPr>
          <w:lang w:val="de-DE"/>
        </w:rPr>
      </w:pPr>
      <w:r w:rsidRPr="00C83DF5">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rsidR="00792D1E" w:rsidRPr="008B3D04" w:rsidRDefault="00792D1E" w:rsidP="00792D1E">
      <w:pPr>
        <w:rPr>
          <w:rFonts w:eastAsia="Calibri" w:cs="Tahoma"/>
          <w:szCs w:val="18"/>
          <w:lang w:val="de-DE"/>
        </w:rPr>
      </w:pPr>
    </w:p>
    <w:p w:rsidR="00023FE7" w:rsidRPr="00C83DF5" w:rsidRDefault="00023FE7" w:rsidP="004D63A2">
      <w:pPr>
        <w:pStyle w:val="AppendixFlushBulletedList"/>
        <w:tabs>
          <w:tab w:val="clear" w:pos="360"/>
          <w:tab w:val="num" w:pos="0"/>
        </w:tabs>
        <w:ind w:left="0" w:firstLine="0"/>
        <w:rPr>
          <w:lang w:val="de-DE"/>
        </w:rPr>
      </w:pPr>
      <w:r w:rsidRPr="00C83DF5">
        <w:rPr>
          <w:rFonts w:ascii="Tahoma" w:hAnsi="Tahoma" w:cs="Tahoma"/>
          <w:sz w:val="18"/>
          <w:szCs w:val="18"/>
          <w:lang w:val="de-DE"/>
        </w:rPr>
        <w:t>In Bezug auf jede qualifizierende Serverlizenz, (i) die ein Kunde bei SA angemeldet hat und (ii) für die der Kunde alle</w:t>
      </w:r>
      <w:r w:rsidR="004D63A2">
        <w:rPr>
          <w:rFonts w:ascii="Tahoma" w:hAnsi="Tahoma" w:cs="Tahoma"/>
          <w:sz w:val="18"/>
          <w:szCs w:val="18"/>
          <w:lang w:val="de-DE"/>
        </w:rPr>
        <w:t> </w:t>
      </w:r>
      <w:r w:rsidRPr="00C83DF5">
        <w:rPr>
          <w:rFonts w:ascii="Tahoma" w:hAnsi="Tahoma" w:cs="Tahoma"/>
          <w:sz w:val="18"/>
          <w:szCs w:val="18"/>
          <w:lang w:val="de-DE"/>
        </w:rPr>
        <w:t>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00E71F46" w:rsidRPr="00C83DF5">
        <w:rPr>
          <w:rFonts w:ascii="Tahoma" w:hAnsi="Tahoma" w:cs="Tahoma"/>
          <w:sz w:val="18"/>
          <w:szCs w:val="18"/>
          <w:lang w:val="de-DE"/>
        </w:rPr>
        <w:t xml:space="preserve"> </w:t>
      </w:r>
      <w:r w:rsidRPr="00C83DF5">
        <w:rPr>
          <w:rFonts w:ascii="Tahoma" w:hAnsi="Tahoma" w:cs="Tahoma"/>
          <w:sz w:val="18"/>
          <w:szCs w:val="18"/>
          <w:lang w:val="de-DE"/>
        </w:rPr>
        <w:t>Die Bereitstellung und Nutzung von Software durch Kunden im Rahmen der Lizenzen für die Wiederherstellung im Notfall unterliegt den Bestimmungen ihres Lizenzvertrages.</w:t>
      </w:r>
    </w:p>
    <w:p w:rsidR="00FE5F1D" w:rsidRPr="008B3D04" w:rsidRDefault="00FE5F1D" w:rsidP="00792D1E">
      <w:pPr>
        <w:pStyle w:val="AppendixBodyText"/>
        <w:spacing w:after="0"/>
        <w:rPr>
          <w:rFonts w:ascii="Tahoma" w:hAnsi="Tahoma" w:cs="Tahoma"/>
          <w:sz w:val="18"/>
          <w:szCs w:val="18"/>
          <w:lang w:val="de-DE"/>
        </w:rPr>
      </w:pPr>
    </w:p>
    <w:p w:rsidR="00023FE7" w:rsidRPr="00C83DF5" w:rsidRDefault="00023FE7" w:rsidP="00792D1E">
      <w:pPr>
        <w:pStyle w:val="Heading3"/>
        <w:rPr>
          <w:lang w:val="de-DE"/>
        </w:rPr>
      </w:pPr>
      <w:bookmarkStart w:id="740" w:name="_Toc336338240"/>
      <w:bookmarkStart w:id="741" w:name="_Toc370983349"/>
      <w:r w:rsidRPr="00C83DF5">
        <w:rPr>
          <w:rFonts w:ascii="Tahoma" w:hAnsi="Tahoma" w:cs="Tahoma"/>
          <w:sz w:val="24"/>
          <w:lang w:val="de-DE"/>
        </w:rPr>
        <w:t>TechNet SA-Abonnementservices</w:t>
      </w:r>
      <w:bookmarkEnd w:id="740"/>
      <w:bookmarkEnd w:id="741"/>
    </w:p>
    <w:p w:rsidR="00023FE7" w:rsidRPr="008B3D04" w:rsidRDefault="00023FE7" w:rsidP="00792D1E">
      <w:pPr>
        <w:rPr>
          <w:rFonts w:cs="Tahoma"/>
          <w:lang w:val="de-DE"/>
        </w:rPr>
      </w:pPr>
    </w:p>
    <w:p w:rsidR="004A4D28" w:rsidRPr="00C83DF5" w:rsidRDefault="00A65414" w:rsidP="004D63A2">
      <w:pPr>
        <w:pStyle w:val="AppendixBodyText"/>
        <w:spacing w:after="0"/>
        <w:rPr>
          <w:lang w:val="de-DE"/>
        </w:rPr>
      </w:pPr>
      <w:r w:rsidRPr="008B3D04">
        <w:rPr>
          <w:rFonts w:ascii="Tahoma" w:eastAsia="Calibri" w:hAnsi="Tahoma" w:cs="Tahoma"/>
          <w:sz w:val="18"/>
          <w:szCs w:val="18"/>
          <w:lang w:val="de-DE"/>
        </w:rPr>
        <w:t>Kunden mit Software Assurance für qualifizierende Produkte innerhalb des Server-Pools haben während der Software</w:t>
      </w:r>
      <w:r w:rsidR="004D63A2" w:rsidRPr="008B3D04">
        <w:rPr>
          <w:rFonts w:ascii="Tahoma" w:eastAsia="Calibri" w:hAnsi="Tahoma" w:cs="Tahoma"/>
          <w:sz w:val="18"/>
          <w:szCs w:val="18"/>
          <w:lang w:val="de-DE"/>
        </w:rPr>
        <w:t> </w:t>
      </w:r>
      <w:r w:rsidRPr="008B3D04">
        <w:rPr>
          <w:rFonts w:ascii="Tahoma" w:eastAsia="Calibri" w:hAnsi="Tahoma" w:cs="Tahoma"/>
          <w:sz w:val="18"/>
          <w:szCs w:val="18"/>
          <w:lang w:val="de-DE"/>
        </w:rPr>
        <w:t xml:space="preserve">Assurance-Laufzeit Anspruch auf Support durch TechNet SA-Abonnementservices. </w:t>
      </w:r>
      <w:r w:rsidRPr="00C83DF5">
        <w:rPr>
          <w:rFonts w:ascii="Tahoma" w:hAnsi="Tahoma" w:cs="Tahoma"/>
          <w:sz w:val="18"/>
          <w:szCs w:val="18"/>
          <w:lang w:val="de-DE"/>
        </w:rPr>
        <w:t xml:space="preserve">Hierdurch erhalten </w:t>
      </w:r>
      <w:r w:rsidR="004D63A2">
        <w:rPr>
          <w:rFonts w:ascii="Tahoma" w:hAnsi="Tahoma" w:cs="Tahoma"/>
          <w:sz w:val="18"/>
          <w:szCs w:val="18"/>
          <w:lang w:val="de-DE"/>
        </w:rPr>
        <w:br/>
      </w:r>
      <w:r w:rsidRPr="00C83DF5">
        <w:rPr>
          <w:rFonts w:ascii="Tahoma" w:hAnsi="Tahoma" w:cs="Tahoma"/>
          <w:sz w:val="18"/>
          <w:szCs w:val="18"/>
          <w:lang w:val="de-DE"/>
        </w:rPr>
        <w:t>IT-Fachleute Antworten auf technische Fragen von Branchenkollegen.</w:t>
      </w:r>
      <w:r w:rsidR="00E71F46" w:rsidRPr="00C83DF5">
        <w:rPr>
          <w:rFonts w:ascii="Tahoma" w:hAnsi="Tahoma" w:cs="Tahoma"/>
          <w:sz w:val="18"/>
          <w:szCs w:val="18"/>
          <w:lang w:val="de-DE"/>
        </w:rPr>
        <w:t xml:space="preserve"> </w:t>
      </w:r>
      <w:r w:rsidRPr="00C83DF5">
        <w:rPr>
          <w:rFonts w:ascii="Tahoma" w:hAnsi="Tahoma" w:cs="Tahoma"/>
          <w:sz w:val="18"/>
          <w:szCs w:val="18"/>
          <w:lang w:val="de-DE"/>
        </w:rPr>
        <w:t>Supportfachleute von Microsoft beobachten die</w:t>
      </w:r>
      <w:r w:rsidR="004D63A2">
        <w:rPr>
          <w:rFonts w:ascii="Tahoma" w:hAnsi="Tahoma" w:cs="Tahoma"/>
          <w:sz w:val="18"/>
          <w:szCs w:val="18"/>
          <w:lang w:val="de-DE"/>
        </w:rPr>
        <w:t> </w:t>
      </w:r>
      <w:r w:rsidRPr="00C83DF5">
        <w:rPr>
          <w:rFonts w:ascii="Tahoma" w:hAnsi="Tahoma" w:cs="Tahoma"/>
          <w:sz w:val="18"/>
          <w:szCs w:val="18"/>
          <w:lang w:val="de-DE"/>
        </w:rPr>
        <w:t>Newsgroups, um die Genauigkeit der Informationen sicherzustellen.</w:t>
      </w:r>
      <w:r w:rsidR="00E71F46" w:rsidRPr="00C83DF5">
        <w:rPr>
          <w:rFonts w:ascii="Tahoma" w:hAnsi="Tahoma" w:cs="Tahoma"/>
          <w:sz w:val="18"/>
          <w:szCs w:val="18"/>
          <w:lang w:val="de-DE"/>
        </w:rPr>
        <w:t xml:space="preserve"> </w:t>
      </w:r>
      <w:r w:rsidRPr="00C83DF5">
        <w:rPr>
          <w:rFonts w:ascii="Tahoma" w:hAnsi="Tahoma" w:cs="Tahoma"/>
          <w:sz w:val="18"/>
          <w:szCs w:val="18"/>
          <w:lang w:val="de-DE"/>
        </w:rPr>
        <w:t>Berechtigte Kunden erhalten Nutzer-IDs, die</w:t>
      </w:r>
      <w:r w:rsidR="004D63A2">
        <w:rPr>
          <w:rFonts w:ascii="Tahoma" w:hAnsi="Tahoma" w:cs="Tahoma"/>
          <w:sz w:val="18"/>
          <w:szCs w:val="18"/>
          <w:lang w:val="de-DE"/>
        </w:rPr>
        <w:t> </w:t>
      </w:r>
      <w:r w:rsidRPr="00C83DF5">
        <w:rPr>
          <w:rFonts w:ascii="Tahoma" w:hAnsi="Tahoma" w:cs="Tahoma"/>
          <w:sz w:val="18"/>
          <w:szCs w:val="18"/>
          <w:lang w:val="de-DE"/>
        </w:rPr>
        <w:t>ihnen den Zugriff auf die Onlinedienste ermöglichen.</w:t>
      </w:r>
      <w:r w:rsidR="00E71F46" w:rsidRPr="00C83DF5">
        <w:rPr>
          <w:rFonts w:ascii="Tahoma" w:hAnsi="Tahoma" w:cs="Tahoma"/>
          <w:sz w:val="18"/>
          <w:szCs w:val="18"/>
          <w:lang w:val="de-DE"/>
        </w:rPr>
        <w:t xml:space="preserve"> </w:t>
      </w:r>
    </w:p>
    <w:p w:rsidR="00FE5F1D" w:rsidRPr="004D63A2" w:rsidRDefault="00FE5F1D" w:rsidP="00792D1E">
      <w:pPr>
        <w:pStyle w:val="AppendixBodyText"/>
        <w:spacing w:after="0"/>
        <w:rPr>
          <w:rFonts w:ascii="Tahoma" w:hAnsi="Tahoma" w:cs="Tahoma"/>
          <w:sz w:val="18"/>
          <w:szCs w:val="18"/>
          <w:lang w:val="de-DE"/>
        </w:rPr>
      </w:pPr>
    </w:p>
    <w:p w:rsidR="00023FE7" w:rsidRPr="00C83DF5" w:rsidRDefault="00023FE7" w:rsidP="00792D1E">
      <w:pPr>
        <w:pStyle w:val="AppendixBodyText"/>
        <w:spacing w:after="0"/>
        <w:rPr>
          <w:lang w:val="de-DE"/>
        </w:rPr>
      </w:pPr>
      <w:r w:rsidRPr="00C83DF5">
        <w:rPr>
          <w:rFonts w:ascii="Tahoma" w:hAnsi="Tahoma" w:cs="Tahoma"/>
          <w:sz w:val="18"/>
          <w:szCs w:val="18"/>
          <w:lang w:val="de-DE"/>
        </w:rPr>
        <w:t>Die Kunden erhalten eine Nutzer-ID für jedes berechtigte Produkt mit Software Assurance, wie nachfolgend dargestellt:</w:t>
      </w:r>
    </w:p>
    <w:p w:rsidR="00023FE7" w:rsidRPr="008B3D04" w:rsidRDefault="00023FE7" w:rsidP="00792D1E">
      <w:pPr>
        <w:pStyle w:val="AppendixBodyText"/>
        <w:spacing w:after="0"/>
        <w:rPr>
          <w:rFonts w:ascii="Tahoma" w:hAnsi="Tahoma" w:cs="Tahoma"/>
          <w:lang w:val="de-DE" w:eastAsia="ja-JP"/>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622"/>
        <w:gridCol w:w="1688"/>
      </w:tblGrid>
      <w:tr w:rsidR="0036654E" w:rsidRPr="00C83DF5" w:rsidTr="004D63A2">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C83DF5" w:rsidRDefault="0036654E" w:rsidP="00D824E9">
            <w:pPr>
              <w:pStyle w:val="AppendixTableHeadings"/>
              <w:keepNext/>
              <w:rPr>
                <w:rFonts w:ascii="Tahoma" w:hAnsi="Tahoma" w:cs="Tahoma"/>
                <w:sz w:val="20"/>
                <w:szCs w:val="20"/>
              </w:rPr>
            </w:pPr>
            <w:r w:rsidRPr="00C83DF5">
              <w:rPr>
                <w:rFonts w:ascii="Tahoma" w:hAnsi="Tahoma" w:cs="Tahoma"/>
                <w:sz w:val="20"/>
                <w:szCs w:val="20"/>
              </w:rPr>
              <w:t>Produkt-Pools</w:t>
            </w:r>
          </w:p>
        </w:tc>
        <w:tc>
          <w:tcPr>
            <w:tcW w:w="3622"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C83DF5" w:rsidRDefault="0036654E" w:rsidP="004D63A2">
            <w:pPr>
              <w:pStyle w:val="AppendixTableHeadings"/>
              <w:rPr>
                <w:rFonts w:ascii="Tahoma" w:hAnsi="Tahoma" w:cs="Tahoma"/>
                <w:sz w:val="20"/>
                <w:szCs w:val="20"/>
                <w:lang w:val="de-DE"/>
              </w:rPr>
            </w:pPr>
            <w:r w:rsidRPr="00C83DF5">
              <w:rPr>
                <w:rFonts w:ascii="Tahoma" w:hAnsi="Tahoma" w:cs="Tahoma"/>
                <w:sz w:val="20"/>
                <w:szCs w:val="20"/>
                <w:lang w:val="de-DE"/>
              </w:rPr>
              <w:t>Open-Lizenz, Open Value Subscription – Bildungslösungen, Open Value und Forschung &amp;</w:t>
            </w:r>
            <w:r w:rsidR="004D63A2">
              <w:rPr>
                <w:rFonts w:ascii="Tahoma" w:hAnsi="Tahoma" w:cs="Tahoma"/>
                <w:sz w:val="20"/>
                <w:szCs w:val="20"/>
                <w:lang w:val="de-DE"/>
              </w:rPr>
              <w:t> </w:t>
            </w:r>
            <w:r w:rsidRPr="00C83DF5">
              <w:rPr>
                <w:rFonts w:ascii="Tahoma" w:hAnsi="Tahoma" w:cs="Tahoma"/>
                <w:sz w:val="20"/>
                <w:szCs w:val="20"/>
                <w:lang w:val="de-DE"/>
              </w:rPr>
              <w:t>Lehre mit SAM</w:t>
            </w:r>
          </w:p>
        </w:tc>
        <w:tc>
          <w:tcPr>
            <w:tcW w:w="168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C83DF5" w:rsidRDefault="0036654E">
            <w:pPr>
              <w:pStyle w:val="AppendixTableHeadings"/>
              <w:rPr>
                <w:rFonts w:ascii="Tahoma" w:hAnsi="Tahoma" w:cs="Tahoma"/>
                <w:sz w:val="20"/>
                <w:szCs w:val="20"/>
              </w:rPr>
            </w:pPr>
            <w:r w:rsidRPr="00C83DF5">
              <w:rPr>
                <w:rFonts w:ascii="Tahoma" w:hAnsi="Tahoma" w:cs="Tahoma"/>
                <w:sz w:val="20"/>
                <w:szCs w:val="20"/>
              </w:rPr>
              <w:t>Select/Select Plus/EA</w:t>
            </w:r>
          </w:p>
        </w:tc>
      </w:tr>
      <w:tr w:rsidR="0036654E" w:rsidRPr="00C83DF5" w:rsidTr="004D63A2">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C83DF5" w:rsidRDefault="0036654E" w:rsidP="00D824E9">
            <w:pPr>
              <w:pStyle w:val="AppendixTableText"/>
              <w:keepNext/>
              <w:rPr>
                <w:rFonts w:ascii="Tahoma" w:hAnsi="Tahoma" w:cs="Tahoma"/>
                <w:b/>
              </w:rPr>
            </w:pPr>
            <w:r w:rsidRPr="00C83DF5">
              <w:rPr>
                <w:rFonts w:ascii="Tahoma" w:hAnsi="Tahoma" w:cs="Tahoma"/>
                <w:b/>
                <w:sz w:val="20"/>
              </w:rPr>
              <w:t>Server-Pool</w:t>
            </w:r>
          </w:p>
        </w:tc>
        <w:tc>
          <w:tcPr>
            <w:tcW w:w="3622"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C83DF5" w:rsidRDefault="0036654E" w:rsidP="00A9099B">
            <w:pPr>
              <w:pStyle w:val="AppendixTableText"/>
              <w:rPr>
                <w:lang w:val="de-DE"/>
              </w:rPr>
            </w:pPr>
            <w:r w:rsidRPr="00C83DF5">
              <w:rPr>
                <w:rFonts w:ascii="Tahoma" w:hAnsi="Tahoma" w:cs="Tahoma"/>
                <w:lang w:val="de-DE"/>
              </w:rPr>
              <w:t>1 Nutzer-ID pro</w:t>
            </w:r>
          </w:p>
          <w:p w:rsidR="0036654E" w:rsidRPr="00C83DF5" w:rsidRDefault="0036654E" w:rsidP="00A9099B">
            <w:pPr>
              <w:pStyle w:val="AppendixTableText"/>
              <w:rPr>
                <w:lang w:val="de-DE"/>
              </w:rPr>
            </w:pPr>
            <w:r w:rsidRPr="00C83DF5">
              <w:rPr>
                <w:rFonts w:ascii="Tahoma" w:hAnsi="Tahoma" w:cs="Tahoma"/>
                <w:lang w:val="de-DE"/>
              </w:rPr>
              <w:t>Serverlizenz</w:t>
            </w:r>
          </w:p>
          <w:p w:rsidR="0036654E" w:rsidRPr="00C83DF5" w:rsidRDefault="0036654E" w:rsidP="004D63A2">
            <w:pPr>
              <w:pStyle w:val="AppendixTableText"/>
              <w:rPr>
                <w:rFonts w:ascii="Tahoma" w:hAnsi="Tahoma" w:cs="Tahoma"/>
                <w:lang w:val="de-DE"/>
              </w:rPr>
            </w:pPr>
            <w:r w:rsidRPr="00C83DF5">
              <w:rPr>
                <w:rFonts w:ascii="Tahoma" w:hAnsi="Tahoma" w:cs="Tahoma"/>
                <w:lang w:val="de-DE"/>
              </w:rPr>
              <w:t>(sobald das SA-Erfordernis von 5</w:t>
            </w:r>
            <w:r w:rsidR="004D63A2">
              <w:rPr>
                <w:rFonts w:ascii="Tahoma" w:hAnsi="Tahoma" w:cs="Tahoma"/>
                <w:lang w:val="de-DE"/>
              </w:rPr>
              <w:t> </w:t>
            </w:r>
            <w:r w:rsidRPr="00C83DF5">
              <w:rPr>
                <w:rFonts w:ascii="Tahoma" w:hAnsi="Tahoma" w:cs="Tahoma"/>
                <w:lang w:val="de-DE"/>
              </w:rPr>
              <w:t>Servern</w:t>
            </w:r>
            <w:r w:rsidR="004D63A2">
              <w:rPr>
                <w:rFonts w:ascii="Tahoma" w:hAnsi="Tahoma" w:cs="Tahoma"/>
                <w:lang w:val="de-DE"/>
              </w:rPr>
              <w:t> </w:t>
            </w:r>
            <w:r w:rsidRPr="00C83DF5">
              <w:rPr>
                <w:rFonts w:ascii="Tahoma" w:hAnsi="Tahoma" w:cs="Tahoma"/>
                <w:lang w:val="de-DE"/>
              </w:rPr>
              <w:t>erfüllt ist)</w:t>
            </w:r>
          </w:p>
        </w:tc>
        <w:tc>
          <w:tcPr>
            <w:tcW w:w="168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C83DF5" w:rsidRDefault="0036654E" w:rsidP="00A9099B">
            <w:pPr>
              <w:pStyle w:val="AppendixTableText"/>
            </w:pPr>
            <w:r w:rsidRPr="00C83DF5">
              <w:rPr>
                <w:rFonts w:ascii="Tahoma" w:hAnsi="Tahoma" w:cs="Tahoma"/>
              </w:rPr>
              <w:t>1 Nutzer-ID pro</w:t>
            </w:r>
          </w:p>
          <w:p w:rsidR="0036654E" w:rsidRPr="00C83DF5" w:rsidRDefault="0036654E">
            <w:pPr>
              <w:pStyle w:val="AppendixTableText"/>
              <w:rPr>
                <w:rFonts w:ascii="Tahoma" w:hAnsi="Tahoma" w:cs="Tahoma"/>
              </w:rPr>
            </w:pPr>
            <w:r w:rsidRPr="00C83DF5">
              <w:rPr>
                <w:rFonts w:ascii="Tahoma" w:hAnsi="Tahoma" w:cs="Tahoma"/>
              </w:rPr>
              <w:t>Serverlizenz</w:t>
            </w:r>
          </w:p>
        </w:tc>
      </w:tr>
    </w:tbl>
    <w:p w:rsidR="00B2460D" w:rsidRPr="00C83DF5" w:rsidRDefault="00B2460D">
      <w:pPr>
        <w:pStyle w:val="AppendixBodyText"/>
      </w:pPr>
    </w:p>
    <w:p w:rsidR="00023FE7" w:rsidRPr="00C83DF5" w:rsidRDefault="00023FE7" w:rsidP="00792D1E">
      <w:pPr>
        <w:pStyle w:val="AppendixBodyText"/>
        <w:spacing w:after="0"/>
      </w:pPr>
    </w:p>
    <w:tbl>
      <w:tblPr>
        <w:tblW w:w="9378"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51"/>
        <w:gridCol w:w="790"/>
        <w:gridCol w:w="1633"/>
        <w:gridCol w:w="1274"/>
        <w:gridCol w:w="1368"/>
        <w:gridCol w:w="1350"/>
        <w:gridCol w:w="1512"/>
      </w:tblGrid>
      <w:tr w:rsidR="00073C31" w:rsidRPr="004D388E" w:rsidTr="009B4128">
        <w:trPr>
          <w:trHeight w:val="178"/>
        </w:trPr>
        <w:tc>
          <w:tcPr>
            <w:tcW w:w="1451" w:type="dxa"/>
            <w:shd w:val="clear" w:color="auto" w:fill="FFCC99"/>
            <w:vAlign w:val="center"/>
          </w:tcPr>
          <w:p w:rsidR="0043190C" w:rsidRPr="00C83DF5" w:rsidRDefault="0043190C" w:rsidP="00311136">
            <w:pPr>
              <w:pStyle w:val="AppendixTableHeadings"/>
              <w:keepNext/>
              <w:spacing w:line="240" w:lineRule="auto"/>
              <w:rPr>
                <w:rFonts w:ascii="Tahoma" w:hAnsi="Tahoma" w:cs="Tahoma"/>
                <w:sz w:val="20"/>
                <w:szCs w:val="20"/>
              </w:rPr>
            </w:pPr>
            <w:r w:rsidRPr="00C83DF5">
              <w:rPr>
                <w:rFonts w:ascii="Tahoma" w:hAnsi="Tahoma" w:cs="Tahoma"/>
                <w:sz w:val="20"/>
                <w:szCs w:val="20"/>
              </w:rPr>
              <w:lastRenderedPageBreak/>
              <w:t>Produkt-Pools</w:t>
            </w:r>
          </w:p>
        </w:tc>
        <w:tc>
          <w:tcPr>
            <w:tcW w:w="790" w:type="dxa"/>
            <w:shd w:val="clear" w:color="auto" w:fill="FFCC99"/>
            <w:vAlign w:val="center"/>
          </w:tcPr>
          <w:p w:rsidR="0043190C" w:rsidRPr="00C83DF5" w:rsidRDefault="0043190C" w:rsidP="00311136">
            <w:pPr>
              <w:pStyle w:val="AppendixTableHeadings"/>
              <w:keepNext/>
              <w:spacing w:line="240" w:lineRule="auto"/>
              <w:rPr>
                <w:rFonts w:ascii="Tahoma" w:hAnsi="Tahoma" w:cs="Tahoma"/>
                <w:sz w:val="20"/>
                <w:szCs w:val="20"/>
              </w:rPr>
            </w:pPr>
            <w:r w:rsidRPr="00C83DF5">
              <w:rPr>
                <w:rFonts w:ascii="Tahoma" w:hAnsi="Tahoma" w:cs="Tahoma"/>
                <w:sz w:val="20"/>
                <w:szCs w:val="20"/>
              </w:rPr>
              <w:t>Open Value mit SAM</w:t>
            </w:r>
          </w:p>
        </w:tc>
        <w:tc>
          <w:tcPr>
            <w:tcW w:w="1633" w:type="dxa"/>
            <w:shd w:val="clear" w:color="auto" w:fill="FFCC99"/>
            <w:vAlign w:val="center"/>
          </w:tcPr>
          <w:p w:rsidR="0043190C" w:rsidRPr="00C83DF5" w:rsidRDefault="0043190C" w:rsidP="00311136">
            <w:pPr>
              <w:pStyle w:val="AppendixTableHeadings"/>
              <w:keepNext/>
              <w:spacing w:line="240" w:lineRule="auto"/>
            </w:pPr>
            <w:r w:rsidRPr="00C83DF5">
              <w:rPr>
                <w:rFonts w:ascii="Tahoma" w:hAnsi="Tahoma" w:cs="Tahoma"/>
                <w:sz w:val="20"/>
                <w:szCs w:val="20"/>
              </w:rPr>
              <w:t>SAM</w:t>
            </w:r>
          </w:p>
          <w:p w:rsidR="0043190C" w:rsidRPr="00C83DF5" w:rsidRDefault="0043190C" w:rsidP="00311136">
            <w:pPr>
              <w:pStyle w:val="AppendixTableHeadings"/>
              <w:keepNext/>
              <w:spacing w:line="240" w:lineRule="auto"/>
              <w:rPr>
                <w:rFonts w:ascii="Tahoma" w:hAnsi="Tahoma" w:cs="Tahoma"/>
                <w:sz w:val="20"/>
                <w:szCs w:val="20"/>
              </w:rPr>
            </w:pPr>
            <w:r w:rsidRPr="00C83DF5">
              <w:rPr>
                <w:rFonts w:ascii="Tahoma" w:hAnsi="Tahoma" w:cs="Tahoma"/>
                <w:sz w:val="20"/>
                <w:szCs w:val="20"/>
              </w:rPr>
              <w:t>250-2</w:t>
            </w:r>
            <w:r w:rsidR="004D63A2">
              <w:rPr>
                <w:rFonts w:ascii="Tahoma" w:hAnsi="Tahoma" w:cs="Tahoma"/>
                <w:sz w:val="20"/>
                <w:szCs w:val="20"/>
              </w:rPr>
              <w:t>.</w:t>
            </w:r>
            <w:r w:rsidRPr="00C83DF5">
              <w:rPr>
                <w:rFonts w:ascii="Tahoma" w:hAnsi="Tahoma" w:cs="Tahoma"/>
                <w:sz w:val="20"/>
                <w:szCs w:val="20"/>
              </w:rPr>
              <w:t xml:space="preserve">399 </w:t>
            </w:r>
          </w:p>
        </w:tc>
        <w:tc>
          <w:tcPr>
            <w:tcW w:w="1274" w:type="dxa"/>
            <w:shd w:val="clear" w:color="auto" w:fill="FFCC99"/>
            <w:vAlign w:val="center"/>
          </w:tcPr>
          <w:p w:rsidR="0043190C" w:rsidRPr="00C83DF5" w:rsidRDefault="0043190C" w:rsidP="00311136">
            <w:pPr>
              <w:pStyle w:val="AppendixTableHeadings"/>
              <w:keepNext/>
              <w:spacing w:line="240" w:lineRule="auto"/>
            </w:pPr>
            <w:r w:rsidRPr="00C83DF5">
              <w:rPr>
                <w:rFonts w:ascii="Tahoma" w:hAnsi="Tahoma" w:cs="Tahoma"/>
                <w:sz w:val="20"/>
                <w:szCs w:val="20"/>
              </w:rPr>
              <w:t>SAM</w:t>
            </w:r>
          </w:p>
          <w:p w:rsidR="0043190C" w:rsidRPr="00C83DF5" w:rsidRDefault="0043190C" w:rsidP="00311136">
            <w:pPr>
              <w:pStyle w:val="AppendixTableHeadings"/>
              <w:keepNext/>
              <w:spacing w:line="240" w:lineRule="auto"/>
              <w:rPr>
                <w:rFonts w:ascii="Tahoma" w:hAnsi="Tahoma" w:cs="Tahoma"/>
                <w:sz w:val="20"/>
                <w:szCs w:val="20"/>
              </w:rPr>
            </w:pPr>
            <w:r w:rsidRPr="00C83DF5">
              <w:rPr>
                <w:rFonts w:ascii="Tahoma" w:hAnsi="Tahoma" w:cs="Tahoma"/>
                <w:sz w:val="20"/>
                <w:szCs w:val="20"/>
              </w:rPr>
              <w:t>2</w:t>
            </w:r>
            <w:r w:rsidR="004D63A2">
              <w:rPr>
                <w:rFonts w:ascii="Tahoma" w:hAnsi="Tahoma" w:cs="Tahoma"/>
                <w:sz w:val="20"/>
                <w:szCs w:val="20"/>
              </w:rPr>
              <w:t>.</w:t>
            </w:r>
            <w:r w:rsidRPr="00C83DF5">
              <w:rPr>
                <w:rFonts w:ascii="Tahoma" w:hAnsi="Tahoma" w:cs="Tahoma"/>
                <w:sz w:val="20"/>
                <w:szCs w:val="20"/>
              </w:rPr>
              <w:t>400-5</w:t>
            </w:r>
            <w:r w:rsidR="004D63A2">
              <w:rPr>
                <w:rFonts w:ascii="Tahoma" w:hAnsi="Tahoma" w:cs="Tahoma"/>
                <w:sz w:val="20"/>
                <w:szCs w:val="20"/>
              </w:rPr>
              <w:t>.</w:t>
            </w:r>
            <w:r w:rsidRPr="00C83DF5">
              <w:rPr>
                <w:rFonts w:ascii="Tahoma" w:hAnsi="Tahoma" w:cs="Tahoma"/>
                <w:sz w:val="20"/>
                <w:szCs w:val="20"/>
              </w:rPr>
              <w:t>999</w:t>
            </w:r>
          </w:p>
        </w:tc>
        <w:tc>
          <w:tcPr>
            <w:tcW w:w="1368" w:type="dxa"/>
            <w:shd w:val="clear" w:color="auto" w:fill="FFCC99"/>
            <w:vAlign w:val="center"/>
          </w:tcPr>
          <w:p w:rsidR="0043190C" w:rsidRPr="00C83DF5" w:rsidRDefault="0043190C" w:rsidP="00311136">
            <w:pPr>
              <w:pStyle w:val="AppendixTableHeadings"/>
              <w:keepNext/>
              <w:spacing w:line="240" w:lineRule="auto"/>
            </w:pPr>
            <w:r w:rsidRPr="00C83DF5">
              <w:rPr>
                <w:rFonts w:ascii="Tahoma" w:hAnsi="Tahoma" w:cs="Tahoma"/>
                <w:sz w:val="20"/>
                <w:szCs w:val="20"/>
              </w:rPr>
              <w:t>SAM</w:t>
            </w:r>
          </w:p>
          <w:p w:rsidR="0043190C" w:rsidRPr="00C83DF5" w:rsidRDefault="0043190C" w:rsidP="00311136">
            <w:pPr>
              <w:pStyle w:val="AppendixTableHeadings"/>
              <w:keepNext/>
              <w:spacing w:line="240" w:lineRule="auto"/>
              <w:rPr>
                <w:rFonts w:ascii="Tahoma" w:hAnsi="Tahoma" w:cs="Tahoma"/>
                <w:sz w:val="20"/>
                <w:szCs w:val="20"/>
              </w:rPr>
            </w:pPr>
            <w:r w:rsidRPr="00C83DF5">
              <w:rPr>
                <w:rFonts w:ascii="Tahoma" w:hAnsi="Tahoma" w:cs="Tahoma"/>
                <w:sz w:val="20"/>
                <w:szCs w:val="20"/>
              </w:rPr>
              <w:t>6</w:t>
            </w:r>
            <w:r w:rsidR="004D63A2">
              <w:rPr>
                <w:rFonts w:ascii="Tahoma" w:hAnsi="Tahoma" w:cs="Tahoma"/>
                <w:sz w:val="20"/>
                <w:szCs w:val="20"/>
              </w:rPr>
              <w:t>.</w:t>
            </w:r>
            <w:r w:rsidRPr="00C83DF5">
              <w:rPr>
                <w:rFonts w:ascii="Tahoma" w:hAnsi="Tahoma" w:cs="Tahoma"/>
                <w:sz w:val="20"/>
                <w:szCs w:val="20"/>
              </w:rPr>
              <w:t>000-14</w:t>
            </w:r>
            <w:r w:rsidR="004D63A2">
              <w:rPr>
                <w:rFonts w:ascii="Tahoma" w:hAnsi="Tahoma" w:cs="Tahoma"/>
                <w:sz w:val="20"/>
                <w:szCs w:val="20"/>
              </w:rPr>
              <w:t>.</w:t>
            </w:r>
            <w:r w:rsidRPr="00C83DF5">
              <w:rPr>
                <w:rFonts w:ascii="Tahoma" w:hAnsi="Tahoma" w:cs="Tahoma"/>
                <w:sz w:val="20"/>
                <w:szCs w:val="20"/>
              </w:rPr>
              <w:t>999</w:t>
            </w:r>
          </w:p>
        </w:tc>
        <w:tc>
          <w:tcPr>
            <w:tcW w:w="1350" w:type="dxa"/>
            <w:shd w:val="clear" w:color="auto" w:fill="FFCC99"/>
            <w:vAlign w:val="center"/>
          </w:tcPr>
          <w:p w:rsidR="0043190C" w:rsidRPr="00C83DF5" w:rsidRDefault="0043190C" w:rsidP="00311136">
            <w:pPr>
              <w:pStyle w:val="AppendixTableHeadings"/>
              <w:keepNext/>
              <w:spacing w:line="240" w:lineRule="auto"/>
            </w:pPr>
            <w:r w:rsidRPr="00C83DF5">
              <w:rPr>
                <w:rFonts w:ascii="Tahoma" w:hAnsi="Tahoma" w:cs="Tahoma"/>
                <w:sz w:val="20"/>
                <w:szCs w:val="20"/>
              </w:rPr>
              <w:t>SAM</w:t>
            </w:r>
          </w:p>
          <w:p w:rsidR="0043190C" w:rsidRPr="00C83DF5" w:rsidRDefault="0043190C" w:rsidP="00311136">
            <w:pPr>
              <w:pStyle w:val="AppendixTableHeadings"/>
              <w:keepNext/>
              <w:spacing w:line="240" w:lineRule="auto"/>
              <w:rPr>
                <w:rFonts w:ascii="Tahoma" w:hAnsi="Tahoma" w:cs="Tahoma"/>
                <w:sz w:val="20"/>
                <w:szCs w:val="20"/>
              </w:rPr>
            </w:pPr>
            <w:r w:rsidRPr="00C83DF5">
              <w:rPr>
                <w:rFonts w:ascii="Tahoma" w:hAnsi="Tahoma" w:cs="Tahoma"/>
                <w:sz w:val="20"/>
                <w:szCs w:val="20"/>
              </w:rPr>
              <w:t>15</w:t>
            </w:r>
            <w:r w:rsidR="004D63A2">
              <w:rPr>
                <w:rFonts w:ascii="Tahoma" w:hAnsi="Tahoma" w:cs="Tahoma"/>
                <w:sz w:val="20"/>
                <w:szCs w:val="20"/>
              </w:rPr>
              <w:t>.</w:t>
            </w:r>
            <w:r w:rsidRPr="00C83DF5">
              <w:rPr>
                <w:rFonts w:ascii="Tahoma" w:hAnsi="Tahoma" w:cs="Tahoma"/>
                <w:sz w:val="20"/>
                <w:szCs w:val="20"/>
              </w:rPr>
              <w:t>000+</w:t>
            </w:r>
          </w:p>
        </w:tc>
        <w:tc>
          <w:tcPr>
            <w:tcW w:w="1512" w:type="dxa"/>
            <w:shd w:val="clear" w:color="auto" w:fill="FFCC99"/>
            <w:vAlign w:val="center"/>
          </w:tcPr>
          <w:p w:rsidR="0043190C" w:rsidRPr="00C83DF5" w:rsidRDefault="0043190C" w:rsidP="00311136">
            <w:pPr>
              <w:pStyle w:val="AppendixTableHeadings"/>
              <w:keepNext/>
              <w:spacing w:line="240" w:lineRule="auto"/>
              <w:rPr>
                <w:rFonts w:ascii="Tahoma" w:hAnsi="Tahoma" w:cs="Tahoma"/>
                <w:sz w:val="20"/>
                <w:szCs w:val="20"/>
                <w:lang w:val="de-DE"/>
              </w:rPr>
            </w:pPr>
            <w:r w:rsidRPr="00C83DF5">
              <w:rPr>
                <w:rFonts w:ascii="Tahoma" w:hAnsi="Tahoma" w:cs="Tahoma"/>
                <w:sz w:val="20"/>
                <w:szCs w:val="20"/>
                <w:lang w:val="de-DE"/>
              </w:rPr>
              <w:t>Select für Forschung &amp; Lehre/Select Plus für Forschung &amp; Lehre/Open mit SAM</w:t>
            </w:r>
          </w:p>
        </w:tc>
      </w:tr>
      <w:tr w:rsidR="00073C31" w:rsidRPr="004D388E" w:rsidTr="009B4128">
        <w:trPr>
          <w:trHeight w:val="236"/>
        </w:trPr>
        <w:tc>
          <w:tcPr>
            <w:tcW w:w="1451" w:type="dxa"/>
            <w:vAlign w:val="center"/>
          </w:tcPr>
          <w:p w:rsidR="0043190C" w:rsidRPr="00C83DF5" w:rsidRDefault="0043190C" w:rsidP="00311136">
            <w:pPr>
              <w:pStyle w:val="AppendixTableText"/>
              <w:keepNext/>
              <w:spacing w:line="240" w:lineRule="auto"/>
              <w:rPr>
                <w:rFonts w:ascii="Tahoma" w:hAnsi="Tahoma" w:cs="Tahoma"/>
              </w:rPr>
            </w:pPr>
            <w:r w:rsidRPr="00C83DF5">
              <w:rPr>
                <w:rFonts w:ascii="Tahoma" w:hAnsi="Tahoma" w:cs="Tahoma"/>
                <w:b/>
              </w:rPr>
              <w:t>Anwendungs-</w:t>
            </w:r>
            <w:r w:rsidRPr="00C83DF5">
              <w:rPr>
                <w:rFonts w:ascii="Tahoma" w:hAnsi="Tahoma" w:cs="Tahoma"/>
              </w:rPr>
              <w:t xml:space="preserve"> </w:t>
            </w:r>
            <w:r w:rsidRPr="00C83DF5">
              <w:rPr>
                <w:rFonts w:ascii="Tahoma" w:hAnsi="Tahoma" w:cs="Tahoma"/>
                <w:b/>
              </w:rPr>
              <w:t>Pool</w:t>
            </w:r>
          </w:p>
        </w:tc>
        <w:tc>
          <w:tcPr>
            <w:tcW w:w="790" w:type="dxa"/>
            <w:vAlign w:val="center"/>
          </w:tcPr>
          <w:p w:rsidR="0043190C" w:rsidRPr="00C83DF5" w:rsidRDefault="0043190C" w:rsidP="00311136">
            <w:pPr>
              <w:pStyle w:val="AppendixTableText"/>
              <w:keepNext/>
              <w:spacing w:after="20" w:line="240" w:lineRule="auto"/>
              <w:rPr>
                <w:rFonts w:ascii="Tahoma" w:hAnsi="Tahoma" w:cs="Tahoma"/>
              </w:rPr>
            </w:pPr>
            <w:r w:rsidRPr="00C83DF5">
              <w:rPr>
                <w:rFonts w:ascii="Tahoma" w:hAnsi="Tahoma" w:cs="Tahoma"/>
              </w:rPr>
              <w:t>1 Nutzer-ID pro Vertrag</w:t>
            </w:r>
          </w:p>
        </w:tc>
        <w:tc>
          <w:tcPr>
            <w:tcW w:w="1633" w:type="dxa"/>
            <w:vAlign w:val="center"/>
          </w:tcPr>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2 Nutzer-IDs pro</w:t>
            </w:r>
          </w:p>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berechtigtem</w:t>
            </w:r>
          </w:p>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Beitritt</w:t>
            </w:r>
          </w:p>
        </w:tc>
        <w:tc>
          <w:tcPr>
            <w:tcW w:w="1274" w:type="dxa"/>
            <w:vAlign w:val="center"/>
          </w:tcPr>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5 Nutzer-IDs pro</w:t>
            </w:r>
          </w:p>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berechtigtem</w:t>
            </w:r>
          </w:p>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Beitritt</w:t>
            </w:r>
          </w:p>
        </w:tc>
        <w:tc>
          <w:tcPr>
            <w:tcW w:w="1368" w:type="dxa"/>
            <w:vAlign w:val="center"/>
          </w:tcPr>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10 Nutzer-IDs pro</w:t>
            </w:r>
          </w:p>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berechtigtem</w:t>
            </w:r>
          </w:p>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Beitritt</w:t>
            </w:r>
          </w:p>
        </w:tc>
        <w:tc>
          <w:tcPr>
            <w:tcW w:w="1350" w:type="dxa"/>
            <w:vAlign w:val="center"/>
          </w:tcPr>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20 Nutzer-IDs pro</w:t>
            </w:r>
          </w:p>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berechtigtem</w:t>
            </w:r>
          </w:p>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Beitritt</w:t>
            </w:r>
          </w:p>
        </w:tc>
        <w:tc>
          <w:tcPr>
            <w:tcW w:w="1512" w:type="dxa"/>
            <w:vAlign w:val="center"/>
          </w:tcPr>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1 Nutzer-ID pro Beitritt/Vertrag</w:t>
            </w:r>
          </w:p>
        </w:tc>
      </w:tr>
      <w:tr w:rsidR="00073C31" w:rsidRPr="004D388E" w:rsidTr="009B4128">
        <w:trPr>
          <w:trHeight w:val="236"/>
        </w:trPr>
        <w:tc>
          <w:tcPr>
            <w:tcW w:w="1451" w:type="dxa"/>
            <w:vAlign w:val="center"/>
          </w:tcPr>
          <w:p w:rsidR="0043190C" w:rsidRPr="00C83DF5" w:rsidRDefault="0043190C" w:rsidP="00311136">
            <w:pPr>
              <w:pStyle w:val="AppendixTableText"/>
              <w:keepNext/>
              <w:spacing w:line="240" w:lineRule="auto"/>
              <w:rPr>
                <w:rFonts w:ascii="Tahoma" w:hAnsi="Tahoma" w:cs="Tahoma"/>
              </w:rPr>
            </w:pPr>
            <w:r w:rsidRPr="00C83DF5">
              <w:rPr>
                <w:rFonts w:ascii="Tahoma" w:hAnsi="Tahoma" w:cs="Tahoma"/>
                <w:b/>
              </w:rPr>
              <w:t>System-</w:t>
            </w:r>
            <w:r w:rsidRPr="00C83DF5">
              <w:rPr>
                <w:rFonts w:ascii="Tahoma" w:hAnsi="Tahoma" w:cs="Tahoma"/>
              </w:rPr>
              <w:t xml:space="preserve"> </w:t>
            </w:r>
            <w:r w:rsidRPr="00C83DF5">
              <w:rPr>
                <w:rFonts w:ascii="Tahoma" w:hAnsi="Tahoma" w:cs="Tahoma"/>
                <w:b/>
              </w:rPr>
              <w:t>Pool</w:t>
            </w:r>
          </w:p>
        </w:tc>
        <w:tc>
          <w:tcPr>
            <w:tcW w:w="790" w:type="dxa"/>
            <w:vAlign w:val="center"/>
          </w:tcPr>
          <w:p w:rsidR="0043190C" w:rsidRPr="00C83DF5" w:rsidRDefault="0043190C" w:rsidP="00311136">
            <w:pPr>
              <w:pStyle w:val="AppendixTableText"/>
              <w:keepNext/>
              <w:spacing w:after="20" w:line="240" w:lineRule="auto"/>
              <w:rPr>
                <w:rFonts w:ascii="Tahoma" w:hAnsi="Tahoma" w:cs="Tahoma"/>
              </w:rPr>
            </w:pPr>
            <w:r w:rsidRPr="00C83DF5">
              <w:rPr>
                <w:rFonts w:ascii="Tahoma" w:hAnsi="Tahoma" w:cs="Tahoma"/>
              </w:rPr>
              <w:t>1 Nutzer-ID pro Vertrag</w:t>
            </w:r>
          </w:p>
        </w:tc>
        <w:tc>
          <w:tcPr>
            <w:tcW w:w="1633" w:type="dxa"/>
            <w:vAlign w:val="center"/>
          </w:tcPr>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2 Nutzer-IDs pro</w:t>
            </w:r>
          </w:p>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berechtigtem</w:t>
            </w:r>
          </w:p>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Beitritt</w:t>
            </w:r>
          </w:p>
        </w:tc>
        <w:tc>
          <w:tcPr>
            <w:tcW w:w="1274" w:type="dxa"/>
            <w:vAlign w:val="center"/>
          </w:tcPr>
          <w:p w:rsidR="0043190C" w:rsidRPr="00C83DF5" w:rsidRDefault="00F30075" w:rsidP="00311136">
            <w:pPr>
              <w:pStyle w:val="AppendixTableText"/>
              <w:keepNext/>
              <w:spacing w:after="20" w:line="240" w:lineRule="auto"/>
              <w:rPr>
                <w:lang w:val="de-DE"/>
              </w:rPr>
            </w:pPr>
            <w:r w:rsidRPr="00C83DF5">
              <w:rPr>
                <w:rFonts w:ascii="Tahoma" w:hAnsi="Tahoma" w:cs="Tahoma"/>
                <w:lang w:val="de-DE"/>
              </w:rPr>
              <w:t>3 Nutzer-IDs pro</w:t>
            </w:r>
          </w:p>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berechtigtem</w:t>
            </w:r>
          </w:p>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Beitritt</w:t>
            </w:r>
          </w:p>
        </w:tc>
        <w:tc>
          <w:tcPr>
            <w:tcW w:w="1368" w:type="dxa"/>
            <w:vAlign w:val="center"/>
          </w:tcPr>
          <w:p w:rsidR="0043190C" w:rsidRPr="00C83DF5" w:rsidRDefault="00F30075" w:rsidP="00311136">
            <w:pPr>
              <w:pStyle w:val="AppendixTableText"/>
              <w:keepNext/>
              <w:spacing w:after="20" w:line="240" w:lineRule="auto"/>
              <w:rPr>
                <w:lang w:val="de-DE"/>
              </w:rPr>
            </w:pPr>
            <w:r w:rsidRPr="00C83DF5">
              <w:rPr>
                <w:rFonts w:ascii="Tahoma" w:hAnsi="Tahoma" w:cs="Tahoma"/>
                <w:lang w:val="de-DE"/>
              </w:rPr>
              <w:t>5 Nutzer-IDs pro</w:t>
            </w:r>
          </w:p>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berechtigtem</w:t>
            </w:r>
          </w:p>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Beitritt</w:t>
            </w:r>
          </w:p>
        </w:tc>
        <w:tc>
          <w:tcPr>
            <w:tcW w:w="1350" w:type="dxa"/>
            <w:vAlign w:val="center"/>
          </w:tcPr>
          <w:p w:rsidR="0043190C" w:rsidRPr="00C83DF5" w:rsidRDefault="00F30075" w:rsidP="00311136">
            <w:pPr>
              <w:pStyle w:val="AppendixTableText"/>
              <w:keepNext/>
              <w:spacing w:after="20" w:line="240" w:lineRule="auto"/>
              <w:rPr>
                <w:lang w:val="de-DE"/>
              </w:rPr>
            </w:pPr>
            <w:r w:rsidRPr="00C83DF5">
              <w:rPr>
                <w:rFonts w:ascii="Tahoma" w:hAnsi="Tahoma" w:cs="Tahoma"/>
                <w:lang w:val="de-DE"/>
              </w:rPr>
              <w:t>10 Nutzer-IDs pro</w:t>
            </w:r>
          </w:p>
          <w:p w:rsidR="0043190C" w:rsidRPr="00C83DF5" w:rsidRDefault="0043190C" w:rsidP="00311136">
            <w:pPr>
              <w:pStyle w:val="AppendixTableText"/>
              <w:keepNext/>
              <w:spacing w:after="20" w:line="240" w:lineRule="auto"/>
              <w:rPr>
                <w:lang w:val="de-DE"/>
              </w:rPr>
            </w:pPr>
            <w:r w:rsidRPr="00C83DF5">
              <w:rPr>
                <w:rFonts w:ascii="Tahoma" w:hAnsi="Tahoma" w:cs="Tahoma"/>
                <w:lang w:val="de-DE"/>
              </w:rPr>
              <w:t>berechtigtem</w:t>
            </w:r>
          </w:p>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Beitritt</w:t>
            </w:r>
          </w:p>
        </w:tc>
        <w:tc>
          <w:tcPr>
            <w:tcW w:w="1512" w:type="dxa"/>
            <w:vAlign w:val="center"/>
          </w:tcPr>
          <w:p w:rsidR="0043190C" w:rsidRPr="00C83DF5" w:rsidRDefault="0043190C" w:rsidP="00311136">
            <w:pPr>
              <w:pStyle w:val="AppendixTableText"/>
              <w:keepNext/>
              <w:spacing w:after="20" w:line="240" w:lineRule="auto"/>
              <w:rPr>
                <w:rFonts w:ascii="Tahoma" w:hAnsi="Tahoma" w:cs="Tahoma"/>
                <w:lang w:val="de-DE"/>
              </w:rPr>
            </w:pPr>
            <w:r w:rsidRPr="00C83DF5">
              <w:rPr>
                <w:rFonts w:ascii="Tahoma" w:hAnsi="Tahoma" w:cs="Tahoma"/>
                <w:lang w:val="de-DE"/>
              </w:rPr>
              <w:t>1 Nutzer-ID pro Beitritt/Vertrag</w:t>
            </w:r>
          </w:p>
        </w:tc>
      </w:tr>
    </w:tbl>
    <w:p w:rsidR="009D26EE" w:rsidRPr="00C83DF5" w:rsidRDefault="009D26EE" w:rsidP="00792D1E">
      <w:pPr>
        <w:pStyle w:val="AppendixFlushBulletedList"/>
        <w:tabs>
          <w:tab w:val="clear" w:pos="360"/>
          <w:tab w:val="num" w:pos="0"/>
        </w:tabs>
        <w:ind w:left="0" w:firstLine="0"/>
        <w:rPr>
          <w:lang w:val="de-DE"/>
        </w:rPr>
      </w:pPr>
      <w:r w:rsidRPr="00C83DF5">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rsidR="00792D1E" w:rsidRPr="008B3D04" w:rsidRDefault="00792D1E" w:rsidP="00792D1E">
      <w:pPr>
        <w:pStyle w:val="AppendixFlushBulletedList"/>
        <w:tabs>
          <w:tab w:val="clear" w:pos="360"/>
          <w:tab w:val="num" w:pos="0"/>
        </w:tabs>
        <w:ind w:left="0" w:firstLine="0"/>
        <w:rPr>
          <w:rFonts w:ascii="Tahoma" w:hAnsi="Tahoma" w:cs="Tahoma"/>
          <w:sz w:val="18"/>
          <w:szCs w:val="18"/>
          <w:lang w:val="de-DE"/>
        </w:rPr>
      </w:pPr>
    </w:p>
    <w:p w:rsidR="008C0608" w:rsidRPr="00C83DF5" w:rsidRDefault="008C0608" w:rsidP="00CD0CBF">
      <w:pPr>
        <w:pStyle w:val="AppendixFlushBulletedList"/>
        <w:tabs>
          <w:tab w:val="clear" w:pos="360"/>
          <w:tab w:val="num" w:pos="0"/>
        </w:tabs>
        <w:ind w:left="0" w:firstLine="0"/>
        <w:rPr>
          <w:lang w:val="de-DE"/>
        </w:rPr>
      </w:pPr>
      <w:r w:rsidRPr="00C83DF5">
        <w:rPr>
          <w:rFonts w:ascii="Tahoma" w:hAnsi="Tahoma" w:cs="Tahoma"/>
          <w:sz w:val="18"/>
          <w:szCs w:val="18"/>
          <w:lang w:val="de-DE"/>
        </w:rPr>
        <w:t>Kunden mit Open-Lizenz, Open Value, Open Value Subscription – Bildungslösungen, Select-Lizenz für Forschung &amp;</w:t>
      </w:r>
      <w:r w:rsidR="00CD0CBF">
        <w:rPr>
          <w:rFonts w:ascii="Tahoma" w:hAnsi="Tahoma" w:cs="Tahoma"/>
          <w:sz w:val="18"/>
          <w:szCs w:val="18"/>
          <w:lang w:val="de-DE"/>
        </w:rPr>
        <w:t> </w:t>
      </w:r>
      <w:r w:rsidRPr="00C83DF5">
        <w:rPr>
          <w:rFonts w:ascii="Tahoma" w:hAnsi="Tahoma" w:cs="Tahoma"/>
          <w:sz w:val="18"/>
          <w:szCs w:val="18"/>
          <w:lang w:val="de-DE"/>
        </w:rPr>
        <w:t>Lehre und Select Plus für Forschung &amp; Lehre müssen Software Assurance für mindestens fünf Serverlizenzen für</w:t>
      </w:r>
      <w:r w:rsidR="00CD0CBF">
        <w:rPr>
          <w:rFonts w:ascii="Tahoma" w:hAnsi="Tahoma" w:cs="Tahoma"/>
          <w:sz w:val="18"/>
          <w:szCs w:val="18"/>
          <w:lang w:val="de-DE"/>
        </w:rPr>
        <w:t> </w:t>
      </w:r>
      <w:r w:rsidRPr="00C83DF5">
        <w:rPr>
          <w:rFonts w:ascii="Tahoma" w:hAnsi="Tahoma" w:cs="Tahoma"/>
          <w:sz w:val="18"/>
          <w:szCs w:val="18"/>
          <w:lang w:val="de-DE"/>
        </w:rPr>
        <w:t>qualifizierende Produkte erwerben, um Anspruch auf diese Vergünstigung zu haben.</w:t>
      </w:r>
    </w:p>
    <w:p w:rsidR="00792D1E" w:rsidRPr="00CD0CBF" w:rsidRDefault="00792D1E" w:rsidP="00792D1E">
      <w:pPr>
        <w:pStyle w:val="AppendixFlushBulletedList"/>
        <w:tabs>
          <w:tab w:val="clear" w:pos="360"/>
          <w:tab w:val="num" w:pos="0"/>
        </w:tabs>
        <w:ind w:left="0" w:firstLine="0"/>
        <w:rPr>
          <w:rFonts w:ascii="Tahoma" w:hAnsi="Tahoma" w:cs="Tahoma"/>
          <w:sz w:val="18"/>
          <w:szCs w:val="18"/>
          <w:lang w:val="de-DE"/>
        </w:rPr>
      </w:pPr>
    </w:p>
    <w:p w:rsidR="00023FE7" w:rsidRPr="00C83DF5" w:rsidRDefault="009D26EE" w:rsidP="00792D1E">
      <w:pPr>
        <w:pStyle w:val="AppendixBodyText"/>
        <w:spacing w:after="0"/>
        <w:rPr>
          <w:lang w:val="de-DE"/>
        </w:rPr>
      </w:pPr>
      <w:r w:rsidRPr="00C83DF5">
        <w:rPr>
          <w:rFonts w:ascii="Tahoma" w:hAnsi="Tahoma" w:cs="Tahoma"/>
          <w:sz w:val="18"/>
          <w:szCs w:val="18"/>
          <w:lang w:val="de-DE"/>
        </w:rPr>
        <w:t>Die Nutzung der TechNet SA-Abonnementservices-Software durch die Kunden unterliegt den Bestimmungen ihres Lizenzvertrages.</w:t>
      </w:r>
    </w:p>
    <w:p w:rsidR="004D4D43" w:rsidRPr="008B3D04" w:rsidRDefault="004D4D43" w:rsidP="00F0652C">
      <w:pPr>
        <w:pStyle w:val="Heading3"/>
        <w:rPr>
          <w:rFonts w:ascii="Tahoma" w:hAnsi="Tahoma"/>
          <w:b w:val="0"/>
          <w:sz w:val="18"/>
          <w:lang w:val="de-DE"/>
        </w:rPr>
      </w:pPr>
    </w:p>
    <w:p w:rsidR="00023FE7" w:rsidRPr="00C83DF5" w:rsidRDefault="00023FE7" w:rsidP="00F0652C">
      <w:pPr>
        <w:pStyle w:val="Heading3"/>
        <w:rPr>
          <w:lang w:val="de-DE"/>
        </w:rPr>
      </w:pPr>
      <w:bookmarkStart w:id="742" w:name="_Toc336338241"/>
      <w:bookmarkStart w:id="743" w:name="_Toc370983350"/>
      <w:r w:rsidRPr="00C83DF5">
        <w:rPr>
          <w:rFonts w:ascii="Tahoma" w:hAnsi="Tahoma"/>
          <w:sz w:val="24"/>
          <w:lang w:val="de-DE"/>
        </w:rPr>
        <w:t>TechNet Plus Direct</w:t>
      </w:r>
      <w:bookmarkEnd w:id="742"/>
      <w:bookmarkEnd w:id="743"/>
    </w:p>
    <w:p w:rsidR="00F0652C" w:rsidRPr="008B3D04" w:rsidRDefault="00F0652C" w:rsidP="00F0652C">
      <w:pPr>
        <w:rPr>
          <w:lang w:val="de-DE"/>
        </w:rPr>
      </w:pPr>
    </w:p>
    <w:p w:rsidR="00792D1E" w:rsidRPr="00C83DF5" w:rsidRDefault="00A65414" w:rsidP="00CD0CBF">
      <w:pPr>
        <w:pStyle w:val="AppendixBodyText"/>
        <w:spacing w:after="0"/>
      </w:pPr>
      <w:r w:rsidRPr="00C83DF5">
        <w:rPr>
          <w:rFonts w:ascii="Tahoma" w:hAnsi="Tahoma" w:cs="Tahoma"/>
          <w:sz w:val="18"/>
          <w:szCs w:val="18"/>
          <w:lang w:val="de-DE"/>
        </w:rPr>
        <w:t>Kunden mit Software Assurance für qualifizierende Produkte innerhalb des Server-Pools haben während der Software</w:t>
      </w:r>
      <w:r w:rsidR="00CD0CBF">
        <w:rPr>
          <w:rFonts w:ascii="Tahoma" w:hAnsi="Tahoma" w:cs="Tahoma"/>
          <w:sz w:val="18"/>
          <w:szCs w:val="18"/>
          <w:lang w:val="de-DE"/>
        </w:rPr>
        <w:t> </w:t>
      </w:r>
      <w:r w:rsidRPr="00C83DF5">
        <w:rPr>
          <w:rFonts w:ascii="Tahoma" w:hAnsi="Tahoma" w:cs="Tahoma"/>
          <w:sz w:val="18"/>
          <w:szCs w:val="18"/>
          <w:lang w:val="de-DE"/>
        </w:rPr>
        <w:t>Assurance-Laufzeit Anspruch auf ein TechNet Plus Direct-Abonnement.</w:t>
      </w:r>
      <w:r w:rsidR="00E71F46" w:rsidRPr="00C83DF5">
        <w:rPr>
          <w:rFonts w:ascii="Tahoma" w:hAnsi="Tahoma" w:cs="Tahoma"/>
          <w:sz w:val="18"/>
          <w:szCs w:val="18"/>
          <w:lang w:val="de-DE"/>
        </w:rPr>
        <w:t xml:space="preserve"> </w:t>
      </w:r>
      <w:r w:rsidRPr="00C83DF5">
        <w:rPr>
          <w:rFonts w:ascii="Tahoma" w:hAnsi="Tahoma" w:cs="Tahoma"/>
          <w:sz w:val="18"/>
          <w:szCs w:val="18"/>
          <w:lang w:val="de-DE"/>
        </w:rPr>
        <w:t>Hierdurch erhalten IT-Fachleute Zugriff auf TechNet Plus Direct-Inhalte wie z. B. die Microsoft Knowledge Base, technische Schulungen, Downloads, Sicherheitspatches, Service Packs und Anleitungen.</w:t>
      </w:r>
      <w:r w:rsidR="00E71F46" w:rsidRPr="00C83DF5">
        <w:rPr>
          <w:rFonts w:ascii="Tahoma" w:hAnsi="Tahoma" w:cs="Tahoma"/>
          <w:sz w:val="18"/>
          <w:szCs w:val="18"/>
          <w:lang w:val="de-DE"/>
        </w:rPr>
        <w:t xml:space="preserve"> </w:t>
      </w:r>
      <w:r w:rsidRPr="00C83DF5">
        <w:rPr>
          <w:rFonts w:ascii="Tahoma" w:hAnsi="Tahoma" w:cs="Tahoma"/>
          <w:sz w:val="18"/>
          <w:szCs w:val="18"/>
        </w:rPr>
        <w:t>Zusätzlich erhalten die Kunden folgende Vergünstigungen:</w:t>
      </w:r>
    </w:p>
    <w:p w:rsidR="00023FE7" w:rsidRPr="00CD0CBF" w:rsidRDefault="00023FE7" w:rsidP="00792D1E">
      <w:pPr>
        <w:pStyle w:val="AppendixBodyText"/>
        <w:spacing w:after="0"/>
        <w:rPr>
          <w:rFonts w:ascii="Tahoma" w:hAnsi="Tahoma" w:cs="Tahoma"/>
          <w:sz w:val="18"/>
          <w:szCs w:val="18"/>
        </w:rPr>
      </w:pPr>
      <w:r w:rsidRPr="00C83DF5">
        <w:rPr>
          <w:rFonts w:ascii="Tahoma" w:hAnsi="Tahoma" w:cs="Tahoma"/>
          <w:sz w:val="18"/>
          <w:szCs w:val="18"/>
        </w:rPr>
        <w:t xml:space="preserve"> </w:t>
      </w:r>
    </w:p>
    <w:p w:rsidR="00023FE7" w:rsidRPr="00C83DF5" w:rsidRDefault="00023FE7" w:rsidP="00CD0CBF">
      <w:pPr>
        <w:pStyle w:val="AppendixFlushBulletedList"/>
        <w:numPr>
          <w:ilvl w:val="0"/>
          <w:numId w:val="111"/>
        </w:numPr>
        <w:spacing w:after="60"/>
        <w:ind w:left="1440"/>
        <w:rPr>
          <w:lang w:val="de-DE"/>
        </w:rPr>
      </w:pPr>
      <w:r w:rsidRPr="00C83DF5">
        <w:rPr>
          <w:rFonts w:ascii="Tahoma" w:hAnsi="Tahoma" w:cs="Tahoma"/>
          <w:sz w:val="18"/>
          <w:szCs w:val="18"/>
          <w:lang w:val="de-DE"/>
        </w:rPr>
        <w:t>Zugriff zum Herunterladen von Vollversions-Software, die für Bewertungszwecke lizenziert ist,</w:t>
      </w:r>
      <w:r w:rsidR="00CD0CBF">
        <w:rPr>
          <w:rFonts w:ascii="Tahoma" w:hAnsi="Tahoma" w:cs="Tahoma"/>
          <w:sz w:val="18"/>
          <w:szCs w:val="18"/>
          <w:lang w:val="de-DE"/>
        </w:rPr>
        <w:t> </w:t>
      </w:r>
      <w:r w:rsidRPr="00C83DF5">
        <w:rPr>
          <w:rFonts w:ascii="Tahoma" w:hAnsi="Tahoma" w:cs="Tahoma"/>
          <w:sz w:val="18"/>
          <w:szCs w:val="18"/>
          <w:lang w:val="de-DE"/>
        </w:rPr>
        <w:t xml:space="preserve">einschließlich Microsoft-Betriebssystemen, Servern und Office System-Software. </w:t>
      </w:r>
    </w:p>
    <w:p w:rsidR="00023FE7" w:rsidRPr="00C83DF5" w:rsidRDefault="00023FE7" w:rsidP="00346F4B">
      <w:pPr>
        <w:pStyle w:val="AppendixFlushBulletedList"/>
        <w:numPr>
          <w:ilvl w:val="0"/>
          <w:numId w:val="111"/>
        </w:numPr>
        <w:spacing w:after="60"/>
        <w:ind w:left="1440"/>
        <w:rPr>
          <w:lang w:val="de-DE"/>
        </w:rPr>
      </w:pPr>
      <w:r w:rsidRPr="00C83DF5">
        <w:rPr>
          <w:rFonts w:ascii="Tahoma" w:hAnsi="Tahoma" w:cs="Tahoma"/>
          <w:sz w:val="18"/>
          <w:szCs w:val="18"/>
          <w:lang w:val="de-DE"/>
        </w:rPr>
        <w:t xml:space="preserve">Zugriff zum Herunterladen von Beta-Software – Vorabversionen von Microsoft-Software </w:t>
      </w:r>
    </w:p>
    <w:p w:rsidR="00023FE7" w:rsidRPr="00C83DF5" w:rsidRDefault="00023FE7" w:rsidP="00346F4B">
      <w:pPr>
        <w:pStyle w:val="AppendixFlushBulletedList"/>
        <w:numPr>
          <w:ilvl w:val="0"/>
          <w:numId w:val="111"/>
        </w:numPr>
        <w:spacing w:after="60"/>
        <w:ind w:left="1440"/>
        <w:rPr>
          <w:lang w:val="de-DE"/>
        </w:rPr>
      </w:pPr>
      <w:r w:rsidRPr="00C83DF5">
        <w:rPr>
          <w:rFonts w:ascii="Tahoma" w:hAnsi="Tahoma" w:cs="Tahoma"/>
          <w:sz w:val="18"/>
          <w:szCs w:val="18"/>
          <w:lang w:val="de-DE"/>
        </w:rPr>
        <w:t>Zwei (2) zusätzliche technische Supportanfragen pro Jahr und eine Ermäßigung von 20</w:t>
      </w:r>
      <w:r w:rsidR="00855C44">
        <w:rPr>
          <w:rFonts w:ascii="Tahoma" w:hAnsi="Tahoma" w:cs="Tahoma"/>
          <w:sz w:val="18"/>
          <w:szCs w:val="18"/>
          <w:lang w:val="de-DE"/>
        </w:rPr>
        <w:t>%</w:t>
      </w:r>
      <w:r w:rsidRPr="00C83DF5">
        <w:rPr>
          <w:rFonts w:ascii="Tahoma" w:hAnsi="Tahoma" w:cs="Tahoma"/>
          <w:sz w:val="18"/>
          <w:szCs w:val="18"/>
          <w:lang w:val="de-DE"/>
        </w:rPr>
        <w:t xml:space="preserve"> auf zusätzliche telefonische Supportanfragen, die ein Kunde erwirbt. </w:t>
      </w:r>
    </w:p>
    <w:p w:rsidR="00023FE7" w:rsidRPr="00C83DF5" w:rsidRDefault="00023FE7" w:rsidP="00346F4B">
      <w:pPr>
        <w:pStyle w:val="AppendixFlushBulletedList"/>
        <w:numPr>
          <w:ilvl w:val="0"/>
          <w:numId w:val="111"/>
        </w:numPr>
        <w:spacing w:after="60"/>
        <w:ind w:left="1440"/>
        <w:rPr>
          <w:lang w:val="de-DE"/>
        </w:rPr>
      </w:pPr>
      <w:r w:rsidRPr="00C83DF5">
        <w:rPr>
          <w:rFonts w:ascii="Tahoma" w:hAnsi="Tahoma" w:cs="Tahoma"/>
          <w:sz w:val="18"/>
          <w:szCs w:val="18"/>
          <w:lang w:val="de-DE"/>
        </w:rPr>
        <w:t xml:space="preserve">Unbegrenzter Support durch Verwaltete Newsgroups und den Online Concierge-Service. </w:t>
      </w:r>
    </w:p>
    <w:p w:rsidR="00023FE7" w:rsidRPr="008B3D04" w:rsidRDefault="00023FE7" w:rsidP="00792D1E">
      <w:pPr>
        <w:pStyle w:val="AppendixBodyText"/>
        <w:spacing w:after="0"/>
        <w:rPr>
          <w:rFonts w:ascii="Tahoma" w:hAnsi="Tahoma" w:cs="Tahoma"/>
          <w:sz w:val="18"/>
          <w:szCs w:val="18"/>
          <w:lang w:val="de-DE"/>
        </w:rPr>
      </w:pPr>
    </w:p>
    <w:p w:rsidR="00023FE7" w:rsidRPr="00C83DF5" w:rsidRDefault="00023FE7" w:rsidP="00792D1E">
      <w:pPr>
        <w:pStyle w:val="AppendixBodyText"/>
        <w:spacing w:after="0"/>
        <w:rPr>
          <w:lang w:val="de-DE"/>
        </w:rPr>
      </w:pPr>
      <w:r w:rsidRPr="00C83DF5">
        <w:rPr>
          <w:rFonts w:ascii="Tahoma" w:hAnsi="Tahoma" w:cs="Tahoma"/>
          <w:sz w:val="18"/>
          <w:szCs w:val="18"/>
          <w:lang w:val="de-DE"/>
        </w:rPr>
        <w:t>Berechtigte Kunden erhalten ein Abonnement pro qualifizierender Beitritt, wie nachfolgend dargestellt:</w:t>
      </w:r>
    </w:p>
    <w:p w:rsidR="00023FE7" w:rsidRPr="008B3D04" w:rsidRDefault="00023FE7" w:rsidP="00792D1E">
      <w:pPr>
        <w:pStyle w:val="AppendixBodyText"/>
        <w:tabs>
          <w:tab w:val="left" w:pos="1425"/>
        </w:tabs>
        <w:spacing w:after="0"/>
        <w:rPr>
          <w:rFonts w:ascii="Tahoma" w:hAnsi="Tahoma" w:cs="Tahoma"/>
          <w:color w:val="000000"/>
          <w:sz w:val="18"/>
          <w:szCs w:val="18"/>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270612" w:rsidRPr="004D388E"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C83DF5" w:rsidRDefault="00270612" w:rsidP="00F00D1D">
            <w:pPr>
              <w:keepNext/>
              <w:spacing w:after="10"/>
              <w:jc w:val="center"/>
              <w:rPr>
                <w:rFonts w:cs="Tahoma"/>
                <w:b/>
                <w:bCs/>
                <w:color w:val="000000"/>
                <w:sz w:val="20"/>
                <w:szCs w:val="20"/>
                <w:highlight w:val="yellow"/>
              </w:rPr>
            </w:pPr>
            <w:r w:rsidRPr="00C83DF5">
              <w:rPr>
                <w:rFonts w:cs="Tahoma"/>
                <w:b/>
                <w:bCs/>
                <w:color w:val="000000"/>
                <w:sz w:val="20"/>
                <w:szCs w:val="20"/>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C83DF5" w:rsidRDefault="00270612" w:rsidP="00F00D1D">
            <w:pPr>
              <w:spacing w:after="10"/>
              <w:jc w:val="center"/>
              <w:rPr>
                <w:rFonts w:cs="Tahoma"/>
                <w:b/>
                <w:bCs/>
                <w:color w:val="000000"/>
                <w:sz w:val="20"/>
                <w:szCs w:val="20"/>
                <w:highlight w:val="yellow"/>
              </w:rPr>
            </w:pPr>
            <w:r w:rsidRPr="00C83DF5">
              <w:rPr>
                <w:rFonts w:cs="Tahoma"/>
                <w:b/>
                <w:bCs/>
                <w:color w:val="000000"/>
                <w:sz w:val="20"/>
                <w:szCs w:val="20"/>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C83DF5" w:rsidRDefault="00270612" w:rsidP="00F00D1D">
            <w:pPr>
              <w:spacing w:after="10"/>
              <w:jc w:val="center"/>
              <w:rPr>
                <w:rFonts w:cs="Tahoma"/>
                <w:b/>
                <w:bCs/>
                <w:color w:val="000000"/>
                <w:sz w:val="20"/>
                <w:szCs w:val="20"/>
                <w:highlight w:val="yellow"/>
              </w:rPr>
            </w:pPr>
            <w:r w:rsidRPr="00C83DF5">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C83DF5" w:rsidRDefault="00270612" w:rsidP="00F00D1D">
            <w:pPr>
              <w:spacing w:after="10"/>
              <w:jc w:val="center"/>
              <w:rPr>
                <w:rFonts w:cs="Tahoma"/>
                <w:b/>
                <w:bCs/>
                <w:color w:val="000000"/>
                <w:sz w:val="20"/>
                <w:szCs w:val="20"/>
              </w:rPr>
            </w:pPr>
            <w:r w:rsidRPr="00C83DF5">
              <w:rPr>
                <w:rFonts w:cs="Tahoma"/>
                <w:b/>
                <w:bCs/>
                <w:color w:val="000000"/>
                <w:sz w:val="20"/>
                <w:szCs w:val="20"/>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C83DF5" w:rsidRDefault="00270612" w:rsidP="00F00D1D">
            <w:pPr>
              <w:spacing w:after="10"/>
              <w:jc w:val="center"/>
              <w:rPr>
                <w:rFonts w:cs="Tahoma"/>
                <w:b/>
                <w:bCs/>
                <w:color w:val="000000"/>
                <w:sz w:val="20"/>
                <w:szCs w:val="20"/>
                <w:highlight w:val="yellow"/>
                <w:lang w:val="de-DE"/>
              </w:rPr>
            </w:pPr>
            <w:r w:rsidRPr="00C83DF5">
              <w:rPr>
                <w:rFonts w:cs="Tahoma"/>
                <w:b/>
                <w:bCs/>
                <w:color w:val="000000"/>
                <w:sz w:val="20"/>
                <w:szCs w:val="20"/>
                <w:lang w:val="de-DE"/>
              </w:rPr>
              <w:t>Select (außer Forschung &amp; Lehre/Select Plus (außer Forschung &amp; Lehre/EA</w:t>
            </w:r>
          </w:p>
        </w:tc>
      </w:tr>
      <w:tr w:rsidR="00270612" w:rsidRPr="00C83DF5"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C83DF5" w:rsidRDefault="00270612" w:rsidP="00CA4488">
            <w:pPr>
              <w:rPr>
                <w:rFonts w:cs="Tahoma"/>
                <w:color w:val="000000"/>
                <w:szCs w:val="18"/>
                <w:highlight w:val="yellow"/>
              </w:rPr>
            </w:pPr>
            <w:r w:rsidRPr="00C83DF5">
              <w:rPr>
                <w:rFonts w:cs="Tahoma"/>
                <w:b/>
                <w:bCs/>
                <w:iCs/>
                <w:color w:val="000000"/>
                <w:szCs w:val="18"/>
              </w:rPr>
              <w:t>Server</w:t>
            </w:r>
            <w:r w:rsidRPr="00C83DF5">
              <w:rPr>
                <w:rFonts w:cs="Tahoma"/>
                <w:b/>
                <w:color w:val="000000"/>
                <w:szCs w:val="18"/>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C83DF5" w:rsidRDefault="00270612" w:rsidP="00CA4488">
            <w:pPr>
              <w:jc w:val="center"/>
              <w:rPr>
                <w:rFonts w:cs="Tahoma"/>
                <w:color w:val="000000"/>
                <w:szCs w:val="18"/>
                <w:highlight w:val="yellow"/>
              </w:rPr>
            </w:pPr>
            <w:r w:rsidRPr="00C83DF5">
              <w:rPr>
                <w:rFonts w:cs="Tahoma"/>
                <w:color w:val="000000"/>
                <w:szCs w:val="18"/>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C83DF5" w:rsidRDefault="00270612" w:rsidP="00CA4488">
            <w:pPr>
              <w:jc w:val="center"/>
              <w:rPr>
                <w:rFonts w:cs="Tahoma"/>
                <w:color w:val="000000"/>
                <w:szCs w:val="18"/>
                <w:highlight w:val="yellow"/>
              </w:rPr>
            </w:pPr>
            <w:r w:rsidRPr="00C83DF5">
              <w:rPr>
                <w:rFonts w:cs="Tahoma"/>
                <w:color w:val="000000"/>
                <w:szCs w:val="18"/>
              </w:rPr>
              <w:t>1 Abonnement pro Beitritt</w:t>
            </w:r>
          </w:p>
        </w:tc>
        <w:tc>
          <w:tcPr>
            <w:tcW w:w="2160" w:type="dxa"/>
            <w:tcBorders>
              <w:top w:val="single" w:sz="8" w:space="0" w:color="auto"/>
              <w:left w:val="nil"/>
              <w:bottom w:val="single" w:sz="8" w:space="0" w:color="auto"/>
              <w:right w:val="single" w:sz="8" w:space="0" w:color="auto"/>
            </w:tcBorders>
          </w:tcPr>
          <w:p w:rsidR="00270612" w:rsidRPr="00C83DF5" w:rsidRDefault="00270612" w:rsidP="00F30075">
            <w:pPr>
              <w:ind w:left="360"/>
              <w:rPr>
                <w:rFonts w:cs="Tahoma"/>
                <w:color w:val="000000"/>
                <w:szCs w:val="18"/>
              </w:rPr>
            </w:pPr>
            <w:r w:rsidRPr="00C83DF5">
              <w:rPr>
                <w:rFonts w:cs="Tahoma"/>
                <w:color w:val="000000"/>
                <w:szCs w:val="18"/>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C83DF5" w:rsidRDefault="00270612" w:rsidP="00CA4488">
            <w:pPr>
              <w:rPr>
                <w:rFonts w:cs="Tahoma"/>
                <w:color w:val="000000"/>
                <w:szCs w:val="18"/>
              </w:rPr>
            </w:pPr>
            <w:r w:rsidRPr="00C83DF5">
              <w:rPr>
                <w:rFonts w:cs="Tahoma"/>
                <w:color w:val="000000"/>
                <w:szCs w:val="18"/>
              </w:rPr>
              <w:t>1 Abonnement pro Beitritt</w:t>
            </w:r>
          </w:p>
        </w:tc>
      </w:tr>
    </w:tbl>
    <w:p w:rsidR="00F30075" w:rsidRPr="00C83DF5" w:rsidRDefault="00F30075" w:rsidP="00F30075">
      <w:pPr>
        <w:tabs>
          <w:tab w:val="num" w:pos="0"/>
        </w:tabs>
        <w:rPr>
          <w:lang w:val="de-DE"/>
        </w:rPr>
      </w:pPr>
      <w:r w:rsidRPr="00C83DF5">
        <w:rPr>
          <w:rFonts w:cs="Tahoma"/>
          <w:i/>
          <w:color w:val="000000"/>
          <w:sz w:val="16"/>
          <w:szCs w:val="16"/>
          <w:lang w:val="de-DE"/>
        </w:rPr>
        <w:t>* Sofern der Kunde aktive Software Assurance für fünf Server-Software-Lizenzen verfügt</w:t>
      </w:r>
    </w:p>
    <w:p w:rsidR="00270612" w:rsidRPr="008B3D04" w:rsidRDefault="00270612" w:rsidP="00270612">
      <w:pPr>
        <w:pStyle w:val="AppendixFlushBulletedList"/>
        <w:tabs>
          <w:tab w:val="clear" w:pos="360"/>
          <w:tab w:val="num" w:pos="0"/>
        </w:tabs>
        <w:ind w:left="0" w:firstLine="0"/>
        <w:rPr>
          <w:rFonts w:ascii="Tahoma" w:hAnsi="Tahoma" w:cs="Tahoma"/>
          <w:color w:val="000000"/>
          <w:sz w:val="18"/>
          <w:szCs w:val="18"/>
          <w:lang w:val="de-DE"/>
        </w:rPr>
      </w:pPr>
    </w:p>
    <w:p w:rsidR="00270612" w:rsidRPr="00C83DF5" w:rsidRDefault="00270612" w:rsidP="00270612">
      <w:pPr>
        <w:pStyle w:val="AppendixFlushBulletedList"/>
        <w:tabs>
          <w:tab w:val="clear" w:pos="360"/>
          <w:tab w:val="num" w:pos="0"/>
        </w:tabs>
        <w:ind w:left="0" w:firstLine="0"/>
        <w:rPr>
          <w:lang w:val="de-DE"/>
        </w:rPr>
      </w:pPr>
      <w:r w:rsidRPr="00C83DF5">
        <w:rPr>
          <w:rFonts w:ascii="Tahoma" w:hAnsi="Tahoma" w:cs="Tahoma"/>
          <w:color w:val="000000"/>
          <w:sz w:val="18"/>
          <w:szCs w:val="18"/>
          <w:lang w:val="de-DE"/>
        </w:rPr>
        <w:t>Die Nutzung der TechNet SA-Software, Vorabversions-Software und Bewertungssoftware durch die Kunden unterliegt den Bestimmungen ihres Lizenzvertrages.</w:t>
      </w:r>
      <w:r w:rsidR="00E71F46" w:rsidRPr="00C83DF5">
        <w:rPr>
          <w:rFonts w:ascii="Tahoma" w:hAnsi="Tahoma" w:cs="Tahoma"/>
          <w:color w:val="000000"/>
          <w:sz w:val="18"/>
          <w:szCs w:val="18"/>
          <w:lang w:val="de-DE"/>
        </w:rPr>
        <w:t xml:space="preserve"> </w:t>
      </w:r>
    </w:p>
    <w:p w:rsidR="00270612" w:rsidRPr="00C83DF5" w:rsidRDefault="00270612" w:rsidP="00270612">
      <w:pPr>
        <w:pStyle w:val="AppendixFlushBulletedList"/>
        <w:tabs>
          <w:tab w:val="clear" w:pos="360"/>
          <w:tab w:val="num" w:pos="0"/>
        </w:tabs>
        <w:ind w:left="0" w:firstLine="0"/>
        <w:rPr>
          <w:lang w:val="de-DE"/>
        </w:rPr>
      </w:pPr>
      <w:r w:rsidRPr="00C83DF5">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rsidR="00270612" w:rsidRPr="00C83DF5" w:rsidRDefault="00270612" w:rsidP="00270612">
      <w:pPr>
        <w:pStyle w:val="AppendixFlushBulletedList"/>
        <w:tabs>
          <w:tab w:val="clear" w:pos="360"/>
          <w:tab w:val="num" w:pos="0"/>
        </w:tabs>
        <w:ind w:left="0" w:firstLine="0"/>
        <w:rPr>
          <w:lang w:val="de-DE"/>
        </w:rPr>
      </w:pPr>
      <w:r w:rsidRPr="00C83DF5">
        <w:rPr>
          <w:rFonts w:ascii="Tahoma" w:hAnsi="Tahoma" w:cs="Tahoma"/>
          <w:color w:val="000000"/>
          <w:sz w:val="18"/>
          <w:szCs w:val="18"/>
          <w:lang w:val="de-DE"/>
        </w:rPr>
        <w:lastRenderedPageBreak/>
        <w:t>SA-Kunden sind berechtigt, die technischen Inhalte innerhalb der Organisation, wie z. B. Knowledge Base, technische Schulungen, Downloads, Service Packs und Sicherheitspatches gemeinsam mit anderen zu nutzen.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 xml:space="preserve">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rsidR="00792D1E" w:rsidRPr="008B3D04" w:rsidRDefault="00792D1E" w:rsidP="00270612">
      <w:pPr>
        <w:pStyle w:val="AppendixFlushBulletedList"/>
        <w:tabs>
          <w:tab w:val="clear" w:pos="360"/>
          <w:tab w:val="num" w:pos="0"/>
        </w:tabs>
        <w:ind w:left="0" w:firstLine="0"/>
        <w:rPr>
          <w:rFonts w:ascii="Tahoma" w:hAnsi="Tahoma" w:cs="Tahoma"/>
          <w:color w:val="000000"/>
          <w:sz w:val="18"/>
          <w:szCs w:val="18"/>
          <w:lang w:val="de-DE"/>
        </w:rPr>
      </w:pPr>
    </w:p>
    <w:p w:rsidR="00270612" w:rsidRPr="00C83DF5" w:rsidRDefault="00270612" w:rsidP="00270612">
      <w:pPr>
        <w:pStyle w:val="AppendixFlushBulletedList"/>
        <w:tabs>
          <w:tab w:val="clear" w:pos="360"/>
          <w:tab w:val="num" w:pos="0"/>
        </w:tabs>
        <w:ind w:left="0" w:firstLine="0"/>
        <w:rPr>
          <w:lang w:val="de-DE"/>
        </w:rPr>
      </w:pPr>
      <w:r w:rsidRPr="00C83DF5">
        <w:rPr>
          <w:rFonts w:ascii="Tahoma" w:hAnsi="Tahoma" w:cs="Tahoma"/>
          <w:color w:val="000000"/>
          <w:sz w:val="18"/>
          <w:szCs w:val="18"/>
          <w:lang w:val="de-DE"/>
        </w:rPr>
        <w:t>Nicht alle TechNet Plus Direct-Services und -Vergünstigungen sind in jedem Land/in jeder Region verfügbar.</w:t>
      </w:r>
      <w:r w:rsidR="00E71F46" w:rsidRPr="00C83DF5">
        <w:rPr>
          <w:rFonts w:ascii="Tahoma" w:hAnsi="Tahoma" w:cs="Tahoma"/>
          <w:color w:val="000000"/>
          <w:sz w:val="18"/>
          <w:szCs w:val="18"/>
          <w:lang w:val="de-DE"/>
        </w:rPr>
        <w:t xml:space="preserve"> </w:t>
      </w:r>
    </w:p>
    <w:p w:rsidR="00792D1E" w:rsidRPr="008B3D04" w:rsidRDefault="00792D1E" w:rsidP="00270612">
      <w:pPr>
        <w:pStyle w:val="AppendixFlushBulletedList"/>
        <w:tabs>
          <w:tab w:val="clear" w:pos="360"/>
          <w:tab w:val="num" w:pos="0"/>
        </w:tabs>
        <w:ind w:left="0" w:firstLine="0"/>
        <w:rPr>
          <w:rFonts w:ascii="Tahoma" w:hAnsi="Tahoma" w:cs="Tahoma"/>
          <w:color w:val="000000"/>
          <w:sz w:val="18"/>
          <w:szCs w:val="18"/>
          <w:lang w:val="de-DE"/>
        </w:rPr>
      </w:pPr>
    </w:p>
    <w:p w:rsidR="00270612" w:rsidRPr="00926362" w:rsidRDefault="00270612" w:rsidP="00270612">
      <w:pPr>
        <w:pStyle w:val="AppendixFlushBulletedList"/>
        <w:tabs>
          <w:tab w:val="clear" w:pos="360"/>
          <w:tab w:val="num" w:pos="0"/>
        </w:tabs>
        <w:ind w:left="0" w:firstLine="0"/>
        <w:rPr>
          <w:lang w:val="de-DE"/>
        </w:rPr>
      </w:pPr>
      <w:r w:rsidRPr="00926362">
        <w:rPr>
          <w:rFonts w:ascii="Tahoma" w:hAnsi="Tahoma" w:cs="Tahoma"/>
          <w:sz w:val="18"/>
          <w:szCs w:val="18"/>
          <w:lang w:val="de-DE"/>
        </w:rPr>
        <w:t xml:space="preserve">Weitere Informationen zur Verfügbarkeit nach Land/Region finden Sie unter </w:t>
      </w:r>
      <w:hyperlink r:id="rId28" w:history="1">
        <w:r w:rsidRPr="00926362">
          <w:rPr>
            <w:rStyle w:val="Hyperlink"/>
            <w:rFonts w:ascii="Tahoma" w:hAnsi="Tahoma" w:cs="Tahoma"/>
            <w:color w:val="auto"/>
            <w:sz w:val="18"/>
            <w:szCs w:val="18"/>
            <w:lang w:val="de-DE"/>
          </w:rPr>
          <w:t>www.microsoft.com/technet/subscription</w:t>
        </w:r>
      </w:hyperlink>
      <w:r w:rsidRPr="00926362">
        <w:rPr>
          <w:rFonts w:ascii="Tahoma" w:hAnsi="Tahoma" w:cs="Tahoma"/>
          <w:sz w:val="18"/>
          <w:szCs w:val="18"/>
          <w:lang w:val="de-DE"/>
        </w:rPr>
        <w:t xml:space="preserve">. </w:t>
      </w:r>
    </w:p>
    <w:p w:rsidR="00270612" w:rsidRPr="00C83DF5" w:rsidRDefault="00270612" w:rsidP="00CD0CBF">
      <w:pPr>
        <w:pStyle w:val="AppendixFlushBulletedList"/>
        <w:tabs>
          <w:tab w:val="clear" w:pos="360"/>
          <w:tab w:val="num" w:pos="0"/>
        </w:tabs>
        <w:ind w:left="0" w:firstLine="0"/>
        <w:rPr>
          <w:lang w:val="de-DE"/>
        </w:rPr>
      </w:pPr>
      <w:r w:rsidRPr="00C83DF5">
        <w:rPr>
          <w:rFonts w:ascii="Tahoma" w:hAnsi="Tahoma" w:cs="Tahoma"/>
          <w:color w:val="000000"/>
          <w:sz w:val="18"/>
          <w:szCs w:val="18"/>
          <w:lang w:val="de-DE"/>
        </w:rPr>
        <w:t>Das Recht der Kunden zur Nutzung der TechNet SA-Software, Vorabversions-Software und Bewertungssoftware läuft</w:t>
      </w:r>
      <w:r w:rsidR="00CD0CBF">
        <w:rPr>
          <w:rFonts w:ascii="Tahoma" w:hAnsi="Tahoma" w:cs="Tahoma"/>
          <w:color w:val="000000"/>
          <w:sz w:val="18"/>
          <w:szCs w:val="18"/>
          <w:lang w:val="de-DE"/>
        </w:rPr>
        <w:t> </w:t>
      </w:r>
      <w:r w:rsidRPr="00C83DF5">
        <w:rPr>
          <w:rFonts w:ascii="Tahoma" w:hAnsi="Tahoma" w:cs="Tahoma"/>
          <w:color w:val="000000"/>
          <w:sz w:val="18"/>
          <w:szCs w:val="18"/>
          <w:lang w:val="de-DE"/>
        </w:rPr>
        <w:t>mit dem Ablauf von Software Assurance ab.</w:t>
      </w:r>
    </w:p>
    <w:p w:rsidR="00023FE7" w:rsidRPr="008B3D04" w:rsidRDefault="00023FE7">
      <w:pPr>
        <w:pStyle w:val="Heading3"/>
        <w:tabs>
          <w:tab w:val="num" w:pos="0"/>
        </w:tabs>
        <w:rPr>
          <w:rFonts w:ascii="Tahoma" w:hAnsi="Tahoma" w:cs="Tahoma"/>
          <w:b w:val="0"/>
          <w:sz w:val="18"/>
          <w:lang w:val="de-DE"/>
        </w:rPr>
      </w:pPr>
    </w:p>
    <w:p w:rsidR="004D4D43" w:rsidRPr="00C83DF5" w:rsidRDefault="004D4D43" w:rsidP="004D4D43">
      <w:pPr>
        <w:pStyle w:val="Heading3"/>
        <w:tabs>
          <w:tab w:val="num" w:pos="0"/>
        </w:tabs>
        <w:rPr>
          <w:lang w:val="de-DE"/>
        </w:rPr>
      </w:pPr>
      <w:bookmarkStart w:id="744" w:name="_Toc336338242"/>
      <w:bookmarkStart w:id="745" w:name="_Toc370983351"/>
      <w:r w:rsidRPr="00C83DF5">
        <w:rPr>
          <w:rFonts w:ascii="Tahoma" w:hAnsi="Tahoma" w:cs="Tahoma"/>
          <w:sz w:val="24"/>
          <w:lang w:val="de-DE"/>
        </w:rPr>
        <w:t>Lizenzmobilität durch Software Assurance</w:t>
      </w:r>
      <w:bookmarkEnd w:id="744"/>
      <w:bookmarkEnd w:id="745"/>
    </w:p>
    <w:p w:rsidR="004D4D43" w:rsidRPr="008B3D04" w:rsidRDefault="004D4D43" w:rsidP="0007218F">
      <w:pPr>
        <w:pStyle w:val="Heading3"/>
        <w:tabs>
          <w:tab w:val="num" w:pos="0"/>
        </w:tabs>
        <w:rPr>
          <w:rFonts w:ascii="Tahoma" w:hAnsi="Tahoma" w:cs="Tahoma"/>
          <w:b w:val="0"/>
          <w:sz w:val="18"/>
          <w:lang w:val="de-DE"/>
        </w:rPr>
      </w:pPr>
    </w:p>
    <w:p w:rsidR="004D4D43" w:rsidRPr="00C83DF5" w:rsidRDefault="004D4D43" w:rsidP="002171C3">
      <w:pPr>
        <w:rPr>
          <w:lang w:val="de-DE"/>
        </w:rPr>
      </w:pPr>
      <w:bookmarkStart w:id="746" w:name="_Toc294048012"/>
      <w:bookmarkStart w:id="747" w:name="_Toc294048569"/>
      <w:bookmarkStart w:id="748" w:name="_Toc294092640"/>
      <w:bookmarkStart w:id="749" w:name="_Toc295819320"/>
      <w:bookmarkStart w:id="750" w:name="_Toc298795971"/>
      <w:bookmarkStart w:id="751" w:name="_Toc299369847"/>
      <w:bookmarkStart w:id="752" w:name="_Toc300391558"/>
      <w:bookmarkStart w:id="753" w:name="_Toc301939835"/>
      <w:bookmarkStart w:id="754" w:name="_Toc304801232"/>
      <w:bookmarkStart w:id="755" w:name="_Toc312399280"/>
      <w:bookmarkStart w:id="756" w:name="_Toc315289087"/>
      <w:bookmarkStart w:id="757" w:name="_Toc317591243"/>
      <w:bookmarkStart w:id="758" w:name="_Toc325313196"/>
      <w:bookmarkStart w:id="759" w:name="_Toc325609219"/>
      <w:r w:rsidRPr="00C83DF5">
        <w:rPr>
          <w:lang w:val="de-DE"/>
        </w:rPr>
        <w:t>Mit Lizenzmobilität durch Software Assurance können Sie bestimmte lokale Lizenzen mit aktiver Software Assurance auf gemeinsam genutzte Server von Dritten verschieben.</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rsidR="004D4D43" w:rsidRPr="008B3D04" w:rsidRDefault="004D4D43" w:rsidP="002171C3">
      <w:pPr>
        <w:rPr>
          <w:lang w:val="de-DE"/>
        </w:rPr>
      </w:pPr>
    </w:p>
    <w:p w:rsidR="004D4D43" w:rsidRPr="00C83DF5" w:rsidRDefault="004D4D43" w:rsidP="002171C3">
      <w:pPr>
        <w:rPr>
          <w:lang w:val="de-DE"/>
        </w:rPr>
      </w:pPr>
      <w:bookmarkStart w:id="760" w:name="_Toc294048013"/>
      <w:bookmarkStart w:id="761" w:name="_Toc294048570"/>
      <w:bookmarkStart w:id="762" w:name="_Toc294092641"/>
      <w:bookmarkStart w:id="763" w:name="_Toc295819321"/>
      <w:bookmarkStart w:id="764" w:name="_Toc298795972"/>
      <w:bookmarkStart w:id="765" w:name="_Toc299369848"/>
      <w:bookmarkStart w:id="766" w:name="_Toc300391559"/>
      <w:bookmarkStart w:id="767" w:name="_Toc301939836"/>
      <w:bookmarkStart w:id="768" w:name="_Toc304801233"/>
      <w:bookmarkStart w:id="769" w:name="_Toc307350402"/>
      <w:bookmarkStart w:id="770" w:name="_Toc308429813"/>
      <w:bookmarkStart w:id="771" w:name="_Toc312399281"/>
      <w:bookmarkStart w:id="772" w:name="_Toc315289088"/>
      <w:bookmarkStart w:id="773" w:name="_Toc317591244"/>
      <w:bookmarkStart w:id="774" w:name="_Toc323034197"/>
      <w:bookmarkStart w:id="775" w:name="_Toc325313197"/>
      <w:bookmarkStart w:id="776" w:name="_Toc325609220"/>
      <w:r w:rsidRPr="00C83DF5">
        <w:rPr>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rsidR="004D4D43" w:rsidRPr="008B3D04" w:rsidRDefault="004D4D43" w:rsidP="00F86E06">
      <w:pPr>
        <w:rPr>
          <w:sz w:val="16"/>
          <w:lang w:val="de-DE"/>
        </w:rPr>
      </w:pPr>
    </w:p>
    <w:p w:rsidR="004D4D43" w:rsidRPr="00C83DF5" w:rsidRDefault="004D4D43" w:rsidP="00346F4B">
      <w:pPr>
        <w:numPr>
          <w:ilvl w:val="0"/>
          <w:numId w:val="74"/>
        </w:numPr>
        <w:spacing w:after="60"/>
        <w:ind w:left="1440"/>
        <w:rPr>
          <w:lang w:val="de-DE"/>
        </w:rPr>
      </w:pPr>
      <w:bookmarkStart w:id="777" w:name="_Toc294048014"/>
      <w:bookmarkStart w:id="778" w:name="_Toc294048571"/>
      <w:bookmarkStart w:id="779" w:name="_Toc294092642"/>
      <w:bookmarkStart w:id="780" w:name="_Toc295819322"/>
      <w:bookmarkStart w:id="781" w:name="_Toc298795973"/>
      <w:bookmarkStart w:id="782" w:name="_Toc299369849"/>
      <w:bookmarkStart w:id="783" w:name="_Toc300391560"/>
      <w:bookmarkStart w:id="784" w:name="_Toc301939837"/>
      <w:bookmarkStart w:id="785" w:name="_Toc304801234"/>
      <w:bookmarkStart w:id="786" w:name="_Toc307350403"/>
      <w:bookmarkStart w:id="787" w:name="_Toc308429814"/>
      <w:bookmarkStart w:id="788" w:name="_Toc312399282"/>
      <w:bookmarkStart w:id="789" w:name="_Toc315289089"/>
      <w:bookmarkStart w:id="790" w:name="_Toc317591245"/>
      <w:bookmarkStart w:id="791" w:name="_Toc323034198"/>
      <w:bookmarkStart w:id="792" w:name="_Toc325313198"/>
      <w:bookmarkStart w:id="793" w:name="_Toc325609221"/>
      <w:r w:rsidRPr="00C83DF5">
        <w:rPr>
          <w:lang w:val="de-DE"/>
        </w:rPr>
        <w:t>SQL Server Standard – Pro Prozessor und Server/CAL (nur Prozessor- und Serverlizenzen) mit Software Assurance</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rsidR="004D4D43" w:rsidRPr="00C83DF5" w:rsidRDefault="004D4D43" w:rsidP="00346F4B">
      <w:pPr>
        <w:numPr>
          <w:ilvl w:val="0"/>
          <w:numId w:val="74"/>
        </w:numPr>
        <w:spacing w:after="60"/>
        <w:ind w:left="1440"/>
        <w:rPr>
          <w:lang w:val="de-DE"/>
        </w:rPr>
      </w:pPr>
      <w:bookmarkStart w:id="794" w:name="_Toc294048015"/>
      <w:bookmarkStart w:id="795" w:name="_Toc294048572"/>
      <w:bookmarkStart w:id="796" w:name="_Toc294092643"/>
      <w:bookmarkStart w:id="797" w:name="_Toc295819323"/>
      <w:bookmarkStart w:id="798" w:name="_Toc298795974"/>
      <w:bookmarkStart w:id="799" w:name="_Toc299369850"/>
      <w:bookmarkStart w:id="800" w:name="_Toc300391561"/>
      <w:bookmarkStart w:id="801" w:name="_Toc301939838"/>
      <w:bookmarkStart w:id="802" w:name="_Toc304801235"/>
      <w:bookmarkStart w:id="803" w:name="_Toc307350404"/>
      <w:bookmarkStart w:id="804" w:name="_Toc308429815"/>
      <w:bookmarkStart w:id="805" w:name="_Toc312399283"/>
      <w:bookmarkStart w:id="806" w:name="_Toc315289090"/>
      <w:bookmarkStart w:id="807" w:name="_Toc317591246"/>
      <w:bookmarkStart w:id="808" w:name="_Toc323034199"/>
      <w:bookmarkStart w:id="809" w:name="_Toc325313199"/>
      <w:bookmarkStart w:id="810" w:name="_Toc325609222"/>
      <w:r w:rsidRPr="00C83DF5">
        <w:rPr>
          <w:lang w:val="de-DE"/>
        </w:rPr>
        <w:t>System Center – alle Server-Management-Lizenzen (MLs), einschließlich SMSE und SMSD mit Software Assurance</w:t>
      </w:r>
      <w:bookmarkEnd w:id="794"/>
      <w:bookmarkEnd w:id="795"/>
      <w:bookmarkEnd w:id="796"/>
      <w:bookmarkEnd w:id="797"/>
      <w:bookmarkEnd w:id="798"/>
      <w:bookmarkEnd w:id="799"/>
      <w:bookmarkEnd w:id="800"/>
      <w:bookmarkEnd w:id="801"/>
      <w:bookmarkEnd w:id="802"/>
      <w:bookmarkEnd w:id="803"/>
      <w:bookmarkEnd w:id="804"/>
      <w:bookmarkEnd w:id="805"/>
      <w:bookmarkEnd w:id="806"/>
      <w:r w:rsidRPr="00C83DF5">
        <w:rPr>
          <w:lang w:val="de-DE"/>
        </w:rPr>
        <w:t xml:space="preserve"> System Center 2012 Standard und Datacenter mit Software Assurance</w:t>
      </w:r>
      <w:bookmarkEnd w:id="807"/>
      <w:bookmarkEnd w:id="808"/>
      <w:bookmarkEnd w:id="809"/>
      <w:bookmarkEnd w:id="810"/>
    </w:p>
    <w:p w:rsidR="00973A93" w:rsidRPr="008B3D04" w:rsidRDefault="00973A93">
      <w:pPr>
        <w:rPr>
          <w:lang w:val="de-DE"/>
        </w:rPr>
      </w:pPr>
      <w:bookmarkStart w:id="811" w:name="_Toc294048016"/>
      <w:bookmarkStart w:id="812" w:name="_Toc294048573"/>
      <w:bookmarkStart w:id="813" w:name="_Toc294092644"/>
      <w:bookmarkStart w:id="814" w:name="_Toc295819324"/>
      <w:bookmarkStart w:id="815" w:name="_Toc298795975"/>
      <w:bookmarkStart w:id="816" w:name="_Toc299369851"/>
      <w:bookmarkStart w:id="817" w:name="_Toc300391562"/>
      <w:bookmarkStart w:id="818" w:name="_Toc301939839"/>
      <w:bookmarkStart w:id="819" w:name="_Toc304801236"/>
      <w:bookmarkStart w:id="820" w:name="_Toc307350405"/>
      <w:bookmarkStart w:id="821" w:name="_Toc308429816"/>
      <w:bookmarkStart w:id="822" w:name="_Toc312399284"/>
      <w:bookmarkStart w:id="823" w:name="_Toc315289091"/>
      <w:bookmarkStart w:id="824" w:name="_Toc317591247"/>
      <w:bookmarkStart w:id="825" w:name="_Toc323034200"/>
      <w:bookmarkStart w:id="826" w:name="_Toc325313200"/>
      <w:bookmarkStart w:id="827" w:name="_Toc325609223"/>
    </w:p>
    <w:p w:rsidR="004D4D43" w:rsidRPr="00C83DF5" w:rsidRDefault="004D4D43" w:rsidP="002171C3">
      <w:pPr>
        <w:rPr>
          <w:lang w:val="de-DE"/>
        </w:rPr>
      </w:pPr>
      <w:r w:rsidRPr="00C83DF5">
        <w:rPr>
          <w:lang w:val="de-DE"/>
        </w:rPr>
        <w:t>Um Lizenzmobilität durch Software Assurance zu verwenden, müssen Kunden folgende Anforderungen erfüllen:</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rsidR="004D4D43" w:rsidRPr="008B3D04" w:rsidRDefault="004D4D43" w:rsidP="00F86E06">
      <w:pPr>
        <w:rPr>
          <w:sz w:val="16"/>
          <w:lang w:val="de-DE"/>
        </w:rPr>
      </w:pPr>
    </w:p>
    <w:p w:rsidR="004D4D43" w:rsidRPr="00C83DF5" w:rsidRDefault="004D4D43" w:rsidP="00346F4B">
      <w:pPr>
        <w:numPr>
          <w:ilvl w:val="0"/>
          <w:numId w:val="63"/>
        </w:numPr>
        <w:spacing w:after="60"/>
        <w:ind w:left="1440"/>
        <w:rPr>
          <w:lang w:val="de-DE"/>
        </w:rPr>
      </w:pPr>
      <w:bookmarkStart w:id="828" w:name="_Toc294048017"/>
      <w:bookmarkStart w:id="829" w:name="_Toc294048574"/>
      <w:bookmarkStart w:id="830" w:name="_Toc294092645"/>
      <w:bookmarkStart w:id="831" w:name="_Toc295819325"/>
      <w:bookmarkStart w:id="832" w:name="_Toc298795976"/>
      <w:bookmarkStart w:id="833" w:name="_Toc299369852"/>
      <w:bookmarkStart w:id="834" w:name="_Toc300391563"/>
      <w:bookmarkStart w:id="835" w:name="_Toc301939840"/>
      <w:bookmarkStart w:id="836" w:name="_Toc304801237"/>
      <w:bookmarkStart w:id="837" w:name="_Toc307350406"/>
      <w:bookmarkStart w:id="838" w:name="_Toc308429817"/>
      <w:bookmarkStart w:id="839" w:name="_Toc312399285"/>
      <w:bookmarkStart w:id="840" w:name="_Toc315289092"/>
      <w:bookmarkStart w:id="841" w:name="_Toc317591248"/>
      <w:bookmarkStart w:id="842" w:name="_Toc323034201"/>
      <w:bookmarkStart w:id="843" w:name="_Toc325313201"/>
      <w:bookmarkStart w:id="844" w:name="_Toc325609224"/>
      <w:r w:rsidRPr="00C83DF5">
        <w:rPr>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rsidR="004D4D43" w:rsidRPr="00C83DF5" w:rsidRDefault="004D4D43" w:rsidP="00535989">
      <w:pPr>
        <w:numPr>
          <w:ilvl w:val="0"/>
          <w:numId w:val="63"/>
        </w:numPr>
        <w:spacing w:after="60"/>
        <w:ind w:left="1440"/>
        <w:rPr>
          <w:lang w:val="de-DE"/>
        </w:rPr>
      </w:pPr>
      <w:bookmarkStart w:id="845" w:name="_Toc294048018"/>
      <w:bookmarkStart w:id="846" w:name="_Toc294048575"/>
      <w:bookmarkStart w:id="847" w:name="_Toc294092646"/>
      <w:bookmarkStart w:id="848" w:name="_Toc295819326"/>
      <w:bookmarkStart w:id="849" w:name="_Toc298795977"/>
      <w:bookmarkStart w:id="850" w:name="_Toc299369853"/>
      <w:bookmarkStart w:id="851" w:name="_Toc300391564"/>
      <w:bookmarkStart w:id="852" w:name="_Toc301939841"/>
      <w:bookmarkStart w:id="853" w:name="_Toc304801238"/>
      <w:bookmarkStart w:id="854" w:name="_Toc307350407"/>
      <w:bookmarkStart w:id="855" w:name="_Toc308429818"/>
      <w:bookmarkStart w:id="856" w:name="_Toc312399286"/>
      <w:bookmarkStart w:id="857" w:name="_Toc315289093"/>
      <w:bookmarkStart w:id="858" w:name="_Toc317591249"/>
      <w:bookmarkStart w:id="859" w:name="_Toc323034202"/>
      <w:bookmarkStart w:id="860" w:name="_Toc325313202"/>
      <w:bookmarkStart w:id="861" w:name="_Toc325609225"/>
      <w:r w:rsidRPr="00C83DF5">
        <w:rPr>
          <w:lang w:val="de-DE"/>
        </w:rPr>
        <w:t xml:space="preserve">ihre Lizenzen nur mit qualifizierten Partnern für Lizenzmobilität durch Software Assurance bereitstellen. Eine Liste der qualifizierten Partner für Lizenzmobilität durch Software Assurance finden Sie unter </w:t>
      </w:r>
      <w:r w:rsidR="00535989" w:rsidRPr="00535989">
        <w:rPr>
          <w:lang w:val="de-DE"/>
        </w:rPr>
        <w:t>http://www.microsoft.com/licensing/software-assurance/license-mobility</w:t>
      </w:r>
      <w:r w:rsidRPr="00C83DF5">
        <w:rPr>
          <w:lang w:val="de-DE"/>
        </w:rPr>
        <w:t>, und</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rsidR="004D4D43" w:rsidRPr="00C83DF5" w:rsidRDefault="004D4D43" w:rsidP="006A29E4">
      <w:pPr>
        <w:numPr>
          <w:ilvl w:val="0"/>
          <w:numId w:val="63"/>
        </w:numPr>
        <w:spacing w:after="60"/>
        <w:ind w:left="1440"/>
        <w:rPr>
          <w:lang w:val="de-DE"/>
        </w:rPr>
      </w:pPr>
      <w:bookmarkStart w:id="862" w:name="_Toc294048019"/>
      <w:bookmarkStart w:id="863" w:name="_Toc294048576"/>
      <w:bookmarkStart w:id="864" w:name="_Toc294092647"/>
      <w:bookmarkStart w:id="865" w:name="_Toc295819327"/>
      <w:bookmarkStart w:id="866" w:name="_Toc298795978"/>
      <w:bookmarkStart w:id="867" w:name="_Toc299369854"/>
      <w:bookmarkStart w:id="868" w:name="_Toc300391565"/>
      <w:bookmarkStart w:id="869" w:name="_Toc301939842"/>
      <w:bookmarkStart w:id="870" w:name="_Toc304801239"/>
      <w:bookmarkStart w:id="871" w:name="_Toc307350408"/>
      <w:bookmarkStart w:id="872" w:name="_Toc308429819"/>
      <w:bookmarkStart w:id="873" w:name="_Toc312399287"/>
      <w:bookmarkStart w:id="874" w:name="_Toc315289094"/>
      <w:bookmarkStart w:id="875" w:name="_Toc317591250"/>
      <w:bookmarkStart w:id="876" w:name="_Toc323034203"/>
      <w:bookmarkStart w:id="877" w:name="_Toc325313203"/>
      <w:bookmarkStart w:id="878" w:name="_Toc325609226"/>
      <w:r w:rsidRPr="00C83DF5">
        <w:rPr>
          <w:lang w:val="de-DE"/>
        </w:rPr>
        <w:t>das Formblatt zur Validierung von Lizenzmobilität ausfüllen und bei jedem Partner für Lizenzmobilität durch Software Assurance, der die lizenzierte Software der Kunden den gemeinsam</w:t>
      </w:r>
      <w:r w:rsidR="006A29E4">
        <w:rPr>
          <w:lang w:val="de-DE"/>
        </w:rPr>
        <w:t> </w:t>
      </w:r>
      <w:r w:rsidRPr="00C83DF5">
        <w:rPr>
          <w:lang w:val="de-DE"/>
        </w:rPr>
        <w:t>genutzten Servern der Partner ausführt, einreichen.</w:t>
      </w:r>
      <w:r w:rsidR="00E71F46" w:rsidRPr="00C83DF5">
        <w:rPr>
          <w:lang w:val="de-DE"/>
        </w:rPr>
        <w:t xml:space="preserve"> </w:t>
      </w:r>
      <w:r w:rsidRPr="00C83DF5">
        <w:rPr>
          <w:lang w:val="de-DE"/>
        </w:rPr>
        <w:t>Das Formblatt zur Validierung von</w:t>
      </w:r>
      <w:r w:rsidR="006A29E4">
        <w:rPr>
          <w:lang w:val="de-DE"/>
        </w:rPr>
        <w:t> </w:t>
      </w:r>
      <w:r w:rsidRPr="00C83DF5">
        <w:rPr>
          <w:lang w:val="de-DE"/>
        </w:rPr>
        <w:t>Lizenzmobilität wird Kunden vom qualifizierten Partner für Lizenzmobilität durch Software Assurance zur Verfügung gestellt.</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rsidR="004D4D43" w:rsidRPr="008B3D04" w:rsidRDefault="004D4D43" w:rsidP="002171C3">
      <w:pPr>
        <w:rPr>
          <w:lang w:val="de-DE"/>
        </w:rPr>
      </w:pPr>
    </w:p>
    <w:p w:rsidR="004D4D43" w:rsidRPr="00C83DF5" w:rsidRDefault="004D4D43" w:rsidP="002C5241">
      <w:pPr>
        <w:rPr>
          <w:lang w:val="de-DE"/>
        </w:rPr>
      </w:pPr>
      <w:bookmarkStart w:id="879" w:name="_Toc294048020"/>
      <w:bookmarkStart w:id="880" w:name="_Toc294048577"/>
      <w:bookmarkStart w:id="881" w:name="_Toc294092648"/>
      <w:bookmarkStart w:id="882" w:name="_Toc295819328"/>
      <w:bookmarkStart w:id="883" w:name="_Toc298795979"/>
      <w:bookmarkStart w:id="884" w:name="_Toc299369855"/>
      <w:bookmarkStart w:id="885" w:name="_Toc300391566"/>
      <w:bookmarkStart w:id="886" w:name="_Toc301939843"/>
      <w:bookmarkStart w:id="887" w:name="_Toc304801240"/>
      <w:bookmarkStart w:id="888" w:name="_Toc307350409"/>
      <w:bookmarkStart w:id="889" w:name="_Toc308429820"/>
      <w:bookmarkStart w:id="890" w:name="_Toc312399288"/>
      <w:bookmarkStart w:id="891" w:name="_Toc317591251"/>
      <w:bookmarkStart w:id="892" w:name="_Toc323034204"/>
      <w:bookmarkStart w:id="893" w:name="_Toc325313204"/>
      <w:bookmarkStart w:id="894" w:name="_Toc325609227"/>
      <w:r w:rsidRPr="00C83DF5">
        <w:rPr>
          <w:lang w:val="de-DE"/>
        </w:rPr>
        <w:t>Die Rechte von Kunden zur Nutzung von lizenzierter Software und Verwaltung von Betriebssystemumgebungen auf</w:t>
      </w:r>
      <w:r w:rsidR="002C5241">
        <w:rPr>
          <w:lang w:val="de-DE"/>
        </w:rPr>
        <w:t> </w:t>
      </w:r>
      <w:r w:rsidRPr="00C83DF5">
        <w:rPr>
          <w:lang w:val="de-DE"/>
        </w:rPr>
        <w:t>gemeinsam genutzten Servern eines Dritten enden mit Ablauf der Software Assurance für diese Lizenzen oder für</w:t>
      </w:r>
      <w:r w:rsidR="002C5241">
        <w:rPr>
          <w:lang w:val="de-DE"/>
        </w:rPr>
        <w:t> </w:t>
      </w:r>
      <w:r w:rsidRPr="00C83DF5">
        <w:rPr>
          <w:lang w:val="de-DE"/>
        </w:rPr>
        <w:t>die entsprechenden Zugriffs- oder Management-Lizenzen.</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rsidR="004D4D43" w:rsidRPr="008B3D04" w:rsidRDefault="004D4D43" w:rsidP="0007218F">
      <w:pPr>
        <w:rPr>
          <w:lang w:val="de-DE"/>
        </w:rPr>
      </w:pPr>
    </w:p>
    <w:p w:rsidR="00155783" w:rsidRPr="008B3D04" w:rsidRDefault="00155783" w:rsidP="0007218F">
      <w:pPr>
        <w:rPr>
          <w:lang w:val="de-DE"/>
        </w:rPr>
      </w:pPr>
    </w:p>
    <w:p w:rsidR="00155783" w:rsidRPr="008B3D04" w:rsidRDefault="00155783" w:rsidP="0007218F">
      <w:pPr>
        <w:rPr>
          <w:lang w:val="de-DE"/>
        </w:rPr>
      </w:pPr>
    </w:p>
    <w:p w:rsidR="00155783" w:rsidRPr="008B3D04" w:rsidRDefault="00155783" w:rsidP="0007218F">
      <w:pPr>
        <w:rPr>
          <w:lang w:val="de-DE"/>
        </w:rPr>
      </w:pPr>
    </w:p>
    <w:p w:rsidR="00155783" w:rsidRPr="008B3D04" w:rsidRDefault="00155783" w:rsidP="0007218F">
      <w:pPr>
        <w:rPr>
          <w:lang w:val="de-DE"/>
        </w:rPr>
      </w:pPr>
    </w:p>
    <w:p w:rsidR="00155783" w:rsidRPr="008B3D04" w:rsidRDefault="00155783" w:rsidP="0007218F">
      <w:pPr>
        <w:rPr>
          <w:lang w:val="de-DE"/>
        </w:rPr>
      </w:pPr>
    </w:p>
    <w:p w:rsidR="00155783" w:rsidRPr="008B3D04" w:rsidRDefault="00155783" w:rsidP="0007218F">
      <w:pPr>
        <w:rPr>
          <w:lang w:val="de-DE"/>
        </w:rPr>
      </w:pPr>
    </w:p>
    <w:p w:rsidR="00155783" w:rsidRPr="008B3D04" w:rsidRDefault="00155783" w:rsidP="0007218F">
      <w:pPr>
        <w:rPr>
          <w:lang w:val="de-DE"/>
        </w:rPr>
      </w:pPr>
    </w:p>
    <w:p w:rsidR="00155783" w:rsidRPr="008B3D04" w:rsidRDefault="00155783" w:rsidP="0007218F">
      <w:pPr>
        <w:rPr>
          <w:lang w:val="de-DE"/>
        </w:rPr>
      </w:pPr>
    </w:p>
    <w:p w:rsidR="00155783" w:rsidRPr="008B3D04" w:rsidRDefault="00155783" w:rsidP="0007218F">
      <w:pPr>
        <w:rPr>
          <w:lang w:val="de-DE"/>
        </w:rPr>
      </w:pPr>
    </w:p>
    <w:p w:rsidR="00023FE7" w:rsidRPr="00C83DF5" w:rsidRDefault="00023FE7" w:rsidP="00D824E9">
      <w:pPr>
        <w:pStyle w:val="Heading3"/>
        <w:keepNext/>
        <w:tabs>
          <w:tab w:val="num" w:pos="0"/>
        </w:tabs>
        <w:rPr>
          <w:lang w:val="de-DE"/>
        </w:rPr>
      </w:pPr>
      <w:bookmarkStart w:id="895" w:name="_Toc336338243"/>
      <w:bookmarkStart w:id="896" w:name="_Toc370983352"/>
      <w:r w:rsidRPr="00C83DF5">
        <w:rPr>
          <w:rFonts w:ascii="Tahoma" w:hAnsi="Tahoma" w:cs="Tahoma"/>
          <w:sz w:val="24"/>
          <w:lang w:val="de-DE"/>
        </w:rPr>
        <w:lastRenderedPageBreak/>
        <w:t>Windows Thin PC</w:t>
      </w:r>
      <w:bookmarkEnd w:id="895"/>
      <w:bookmarkEnd w:id="896"/>
    </w:p>
    <w:p w:rsidR="00023FE7" w:rsidRPr="008B3D04" w:rsidRDefault="00023FE7" w:rsidP="0007218F">
      <w:pPr>
        <w:pStyle w:val="Heading3"/>
        <w:rPr>
          <w:rFonts w:ascii="Tahoma" w:hAnsi="Tahoma" w:cs="Tahoma"/>
          <w:b w:val="0"/>
          <w:sz w:val="18"/>
          <w:lang w:val="de-DE"/>
        </w:rPr>
      </w:pPr>
    </w:p>
    <w:p w:rsidR="0008414D" w:rsidRPr="00C83DF5" w:rsidRDefault="0008414D" w:rsidP="0007218F">
      <w:pPr>
        <w:rPr>
          <w:lang w:val="de-DE"/>
        </w:rPr>
      </w:pPr>
      <w:r w:rsidRPr="00C83DF5">
        <w:rPr>
          <w:rFonts w:eastAsia="Calibri" w:cs="Tahoma"/>
          <w:szCs w:val="20"/>
          <w:lang w:val="de-DE"/>
        </w:rPr>
        <w:t xml:space="preserve">Volumenlizenzkunden mit aktiver Software Assurance für das Windows Desktop-Betriebssystem oder aktiven Lizenzen für VDA oder Windows Intune </w:t>
      </w:r>
      <w:r w:rsidRPr="00C83DF5">
        <w:rPr>
          <w:rFonts w:cs="Tahoma"/>
          <w:szCs w:val="18"/>
          <w:lang w:val="de-DE"/>
        </w:rPr>
        <w:t xml:space="preserve">(Pro Gerät) </w:t>
      </w:r>
      <w:r w:rsidRPr="00C83DF5">
        <w:rPr>
          <w:rFonts w:eastAsia="Calibri" w:cs="Tahoma"/>
          <w:szCs w:val="20"/>
          <w:lang w:val="de-DE"/>
        </w:rPr>
        <w:t>sind zu dieser Vergünstigung berechtigt.</w:t>
      </w:r>
      <w:r w:rsidR="00E71F46" w:rsidRPr="00C83DF5">
        <w:rPr>
          <w:rFonts w:eastAsia="Calibri" w:cs="Tahoma"/>
          <w:szCs w:val="20"/>
          <w:lang w:val="de-DE"/>
        </w:rPr>
        <w:t xml:space="preserve"> </w:t>
      </w:r>
      <w:r w:rsidRPr="00C83DF5">
        <w:rPr>
          <w:rFonts w:eastAsia="Calibri" w:cs="Tahoma"/>
          <w:szCs w:val="20"/>
          <w:lang w:val="de-DE"/>
        </w:rPr>
        <w:t xml:space="preserve">Kunden, die </w:t>
      </w:r>
      <w:r w:rsidRPr="00C83DF5">
        <w:rPr>
          <w:rFonts w:eastAsia="Calibri" w:cs="Tahoma"/>
          <w:color w:val="000000"/>
          <w:szCs w:val="20"/>
          <w:lang w:val="de-DE"/>
        </w:rPr>
        <w:t xml:space="preserve">unter </w:t>
      </w:r>
      <w:r w:rsidRPr="00C83DF5">
        <w:rPr>
          <w:rFonts w:eastAsia="Calibri" w:cs="Tahoma"/>
          <w:szCs w:val="20"/>
          <w:lang w:val="de-DE"/>
        </w:rPr>
        <w:t>VDA auf diese Vergünstigung zugreifen, müssen ein qualifizierendes Betriebssystem</w:t>
      </w:r>
      <w:r w:rsidRPr="00C83DF5">
        <w:rPr>
          <w:rFonts w:eastAsia="Calibri" w:cs="Tahoma"/>
          <w:color w:val="1F497D"/>
          <w:szCs w:val="20"/>
          <w:lang w:val="de-DE"/>
        </w:rPr>
        <w:t xml:space="preserve"> </w:t>
      </w:r>
      <w:r w:rsidRPr="00C83DF5">
        <w:rPr>
          <w:rFonts w:eastAsia="Calibri" w:cs="Tahoma"/>
          <w:color w:val="000000"/>
          <w:szCs w:val="20"/>
          <w:lang w:val="de-DE"/>
        </w:rPr>
        <w:t xml:space="preserve">auf ihrem lizenzierten Gerät installiert haben, </w:t>
      </w:r>
      <w:r w:rsidRPr="00C83DF5">
        <w:rPr>
          <w:rFonts w:eastAsia="Calibri" w:cs="Tahoma"/>
          <w:szCs w:val="20"/>
          <w:lang w:val="de-DE"/>
        </w:rPr>
        <w:t xml:space="preserve">wie in der Tabelle „Qualifizierende Betriebssysteme“ in den </w:t>
      </w:r>
      <w:r w:rsidRPr="00C83DF5">
        <w:rPr>
          <w:rFonts w:eastAsia="Calibri" w:cs="Tahoma"/>
          <w:color w:val="000000"/>
          <w:szCs w:val="20"/>
          <w:lang w:val="de-DE"/>
        </w:rPr>
        <w:t xml:space="preserve">Produkthinweisen </w:t>
      </w:r>
      <w:r w:rsidRPr="00C83DF5">
        <w:rPr>
          <w:rFonts w:eastAsia="Calibri" w:cs="Tahoma"/>
          <w:szCs w:val="20"/>
          <w:lang w:val="de-DE"/>
        </w:rPr>
        <w:t>im Abschnitt „System-Pool“ aufgeführt.</w:t>
      </w:r>
      <w:r w:rsidR="00E71F46" w:rsidRPr="00C83DF5">
        <w:rPr>
          <w:rFonts w:eastAsia="Calibri" w:cs="Tahoma"/>
          <w:szCs w:val="20"/>
          <w:lang w:val="de-DE"/>
        </w:rPr>
        <w:t xml:space="preserve"> </w:t>
      </w:r>
    </w:p>
    <w:p w:rsidR="0008414D" w:rsidRPr="008B3D04" w:rsidRDefault="0008414D" w:rsidP="0007218F">
      <w:pPr>
        <w:rPr>
          <w:rFonts w:eastAsia="Calibri" w:cs="Tahoma"/>
          <w:szCs w:val="20"/>
          <w:lang w:val="de-DE"/>
        </w:rPr>
      </w:pPr>
    </w:p>
    <w:p w:rsidR="0008414D" w:rsidRPr="00C83DF5" w:rsidRDefault="0008414D" w:rsidP="0007218F">
      <w:pPr>
        <w:rPr>
          <w:lang w:val="de-DE"/>
        </w:rPr>
      </w:pPr>
      <w:r w:rsidRPr="00C83DF5">
        <w:rPr>
          <w:rFonts w:eastAsia="Calibri" w:cs="Tahoma"/>
          <w:szCs w:val="20"/>
          <w:lang w:val="de-DE"/>
        </w:rPr>
        <w:t>Bei Windows Thin PC handelt es sich um eine kleiner dimensionierte, Windows-basierte Betriebssystemlösung für Kunden, die ihre vorhandenen Windows 8-fähigen</w:t>
      </w:r>
      <w:r w:rsidRPr="00C83DF5">
        <w:rPr>
          <w:rFonts w:eastAsia="Calibri" w:cs="Tahoma"/>
          <w:color w:val="1F497D"/>
          <w:szCs w:val="20"/>
          <w:lang w:val="de-DE"/>
        </w:rPr>
        <w:t xml:space="preserve"> </w:t>
      </w:r>
      <w:r w:rsidRPr="00C83DF5">
        <w:rPr>
          <w:rFonts w:eastAsia="Calibri" w:cs="Tahoma"/>
          <w:szCs w:val="20"/>
          <w:lang w:val="de-DE"/>
        </w:rPr>
        <w:t>PCs einem anderen Zweck zuführen möchten, um eine Verbindung mit einem zentralisierten Desktop herzustellen, ohne neue Thin-Client-Hardware erwerben zu müssen.</w:t>
      </w:r>
      <w:r w:rsidR="00E71F46" w:rsidRPr="00C83DF5">
        <w:rPr>
          <w:rFonts w:eastAsia="Calibri" w:cs="Tahoma"/>
          <w:szCs w:val="20"/>
          <w:lang w:val="de-DE"/>
        </w:rPr>
        <w:t xml:space="preserve"> </w:t>
      </w:r>
      <w:r w:rsidRPr="00C83DF5">
        <w:rPr>
          <w:rFonts w:eastAsia="Calibri" w:cs="Tahoma"/>
          <w:szCs w:val="20"/>
          <w:lang w:val="de-DE"/>
        </w:rPr>
        <w:t xml:space="preserve">Berechtigte Kunden können Windows Thin PC anstelle von Instanzen des Windows Desktop-Betriebssystems nutzen, das Sie unter ihrer Windows Software Assurance oder ihren Lizenzen für Windows Intune </w:t>
      </w:r>
      <w:r w:rsidRPr="00C83DF5">
        <w:rPr>
          <w:rFonts w:cs="Tahoma"/>
          <w:szCs w:val="18"/>
          <w:lang w:val="de-DE"/>
        </w:rPr>
        <w:t>(Pro Gerät)</w:t>
      </w:r>
      <w:r w:rsidRPr="00C83DF5">
        <w:rPr>
          <w:rFonts w:eastAsia="Calibri" w:cs="Tahoma"/>
          <w:color w:val="000000"/>
          <w:szCs w:val="20"/>
          <w:lang w:val="de-DE"/>
        </w:rPr>
        <w:t xml:space="preserve"> oder Windows </w:t>
      </w:r>
      <w:r w:rsidRPr="00C83DF5">
        <w:rPr>
          <w:rFonts w:eastAsia="Calibri" w:cs="Tahoma"/>
          <w:szCs w:val="20"/>
          <w:lang w:val="de-DE"/>
        </w:rPr>
        <w:t>VDA nutzen dürfen.</w:t>
      </w:r>
      <w:r w:rsidR="00E71F46" w:rsidRPr="00C83DF5">
        <w:rPr>
          <w:rFonts w:eastAsia="Calibri" w:cs="Tahoma"/>
          <w:szCs w:val="20"/>
          <w:lang w:val="de-DE"/>
        </w:rPr>
        <w:t xml:space="preserve"> </w:t>
      </w:r>
      <w:r w:rsidRPr="00C83DF5">
        <w:rPr>
          <w:rFonts w:eastAsia="Calibri" w:cs="Tahoma"/>
          <w:szCs w:val="20"/>
          <w:lang w:val="de-DE"/>
        </w:rPr>
        <w:t>Die Nutzung von Windows Thin PC durch Kunden unterliegt den Bestimmungen ihres Lizenzvertrages.</w:t>
      </w:r>
    </w:p>
    <w:p w:rsidR="00023FE7" w:rsidRPr="008B3D04" w:rsidRDefault="00023FE7" w:rsidP="0007218F">
      <w:pPr>
        <w:rPr>
          <w:rFonts w:cs="Tahoma"/>
          <w:szCs w:val="18"/>
          <w:lang w:val="de-DE"/>
        </w:rPr>
      </w:pPr>
    </w:p>
    <w:p w:rsidR="00F30075" w:rsidRPr="00C83DF5" w:rsidRDefault="00F30075" w:rsidP="0007218F">
      <w:pPr>
        <w:outlineLvl w:val="2"/>
        <w:rPr>
          <w:lang w:val="de-DE"/>
        </w:rPr>
      </w:pPr>
      <w:bookmarkStart w:id="897" w:name="_Toc291204568"/>
      <w:r w:rsidRPr="00C83DF5">
        <w:rPr>
          <w:rFonts w:cs="Tahoma"/>
          <w:b/>
          <w:sz w:val="24"/>
          <w:szCs w:val="20"/>
          <w:lang w:val="de-DE"/>
        </w:rPr>
        <w:t>Erweiterter Hotfix-Support</w:t>
      </w:r>
      <w:bookmarkEnd w:id="897"/>
    </w:p>
    <w:p w:rsidR="00F30075" w:rsidRPr="008B3D04" w:rsidRDefault="00F30075" w:rsidP="0007218F">
      <w:pPr>
        <w:outlineLvl w:val="2"/>
        <w:rPr>
          <w:rFonts w:cs="Tahoma"/>
          <w:szCs w:val="20"/>
          <w:lang w:val="de-DE"/>
        </w:rPr>
      </w:pPr>
    </w:p>
    <w:p w:rsidR="00F30075" w:rsidRPr="00C83DF5" w:rsidRDefault="00F30075" w:rsidP="00F30075">
      <w:pPr>
        <w:rPr>
          <w:lang w:val="de-DE"/>
        </w:rPr>
      </w:pPr>
      <w:r w:rsidRPr="00C83DF5">
        <w:rPr>
          <w:rFonts w:cs="Tahoma"/>
          <w:lang w:val="de-DE"/>
        </w:rPr>
        <w:t>Erweiterter Hotfix-Support ist für die folgenden Kunden verfügbar:</w:t>
      </w:r>
    </w:p>
    <w:p w:rsidR="0007218F" w:rsidRPr="008B3D04" w:rsidRDefault="0007218F" w:rsidP="00F30075">
      <w:pPr>
        <w:rPr>
          <w:rFonts w:cs="Tahoma"/>
          <w:lang w:val="de-DE"/>
        </w:rPr>
      </w:pPr>
    </w:p>
    <w:p w:rsidR="00F30075" w:rsidRPr="00C83DF5" w:rsidRDefault="00F30075" w:rsidP="00346F4B">
      <w:pPr>
        <w:numPr>
          <w:ilvl w:val="0"/>
          <w:numId w:val="48"/>
        </w:numPr>
        <w:spacing w:after="60"/>
        <w:ind w:left="1440"/>
        <w:contextualSpacing/>
        <w:jc w:val="both"/>
        <w:rPr>
          <w:lang w:val="de-DE"/>
        </w:rPr>
      </w:pPr>
      <w:r w:rsidRPr="00C83DF5">
        <w:rPr>
          <w:rFonts w:eastAsia="Calibri" w:cs="Tahoma"/>
          <w:szCs w:val="18"/>
          <w:lang w:val="de-DE"/>
        </w:rPr>
        <w:t>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w:t>
      </w:r>
      <w:r w:rsidR="00636988">
        <w:rPr>
          <w:rFonts w:eastAsia="Calibri" w:cs="Tahoma"/>
          <w:szCs w:val="18"/>
          <w:lang w:val="de-DE"/>
        </w:rPr>
        <w:t xml:space="preserve"> den Erweiterten Hotfix-Support.</w:t>
      </w:r>
      <w:r w:rsidRPr="00C83DF5">
        <w:rPr>
          <w:rFonts w:eastAsia="Calibri" w:cs="Tahoma"/>
          <w:szCs w:val="18"/>
          <w:lang w:val="de-DE"/>
        </w:rPr>
        <w:t xml:space="preserve"> </w:t>
      </w:r>
    </w:p>
    <w:p w:rsidR="00F30075" w:rsidRPr="00C83DF5" w:rsidRDefault="00F30075" w:rsidP="00346F4B">
      <w:pPr>
        <w:numPr>
          <w:ilvl w:val="0"/>
          <w:numId w:val="48"/>
        </w:numPr>
        <w:spacing w:after="60"/>
        <w:ind w:left="1440"/>
        <w:jc w:val="both"/>
        <w:rPr>
          <w:lang w:val="de-DE"/>
        </w:rPr>
      </w:pPr>
      <w:r w:rsidRPr="00C83DF5">
        <w:rPr>
          <w:rFonts w:cs="Tahoma"/>
          <w:szCs w:val="18"/>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p>
    <w:p w:rsidR="00F30075" w:rsidRPr="00C83DF5" w:rsidRDefault="00F30075" w:rsidP="00346F4B">
      <w:pPr>
        <w:numPr>
          <w:ilvl w:val="0"/>
          <w:numId w:val="48"/>
        </w:numPr>
        <w:spacing w:after="60"/>
        <w:ind w:left="1440"/>
        <w:jc w:val="both"/>
        <w:rPr>
          <w:lang w:val="de-DE"/>
        </w:rPr>
      </w:pPr>
      <w:r w:rsidRPr="00C83DF5">
        <w:rPr>
          <w:rFonts w:cs="Tahoma"/>
          <w:szCs w:val="18"/>
          <w:lang w:val="de-DE"/>
        </w:rPr>
        <w:t>Kunden mit aktiven Abonnements für Windows Intune (Pro Gerät) haben Anspruch auf Erweiterten Hotfix-Support für das Windows Desktop-Betriebssystem.</w:t>
      </w:r>
    </w:p>
    <w:p w:rsidR="0007218F" w:rsidRPr="00C83DF5" w:rsidRDefault="007627B7" w:rsidP="00346F4B">
      <w:pPr>
        <w:numPr>
          <w:ilvl w:val="0"/>
          <w:numId w:val="48"/>
        </w:numPr>
        <w:spacing w:after="60"/>
        <w:ind w:left="1440"/>
        <w:contextualSpacing/>
        <w:rPr>
          <w:lang w:val="de-DE"/>
        </w:rPr>
      </w:pPr>
      <w:r w:rsidRPr="00C83DF5">
        <w:rPr>
          <w:rFonts w:eastAsia="Calibri" w:cs="Tahoma"/>
          <w:szCs w:val="18"/>
          <w:lang w:val="de-DE"/>
        </w:rPr>
        <w:t>Kunden (außer Forschung &amp; Lehre) mit Software Assurance für mindestens ein Serverprodukt haben Anspruch auf den Erweiterten Hotfix-Support für Serverprodukte:</w:t>
      </w:r>
      <w:r w:rsidR="00E71F46" w:rsidRPr="00C83DF5">
        <w:rPr>
          <w:rFonts w:eastAsia="Calibri" w:cs="Tahoma"/>
          <w:szCs w:val="18"/>
          <w:lang w:val="de-DE"/>
        </w:rPr>
        <w:t xml:space="preserve"> </w:t>
      </w:r>
      <w:r w:rsidRPr="00C83DF5">
        <w:rPr>
          <w:rFonts w:cs="Tahoma"/>
          <w:szCs w:val="18"/>
          <w:lang w:val="de-DE"/>
        </w:rPr>
        <w:t>Die folgenden Serverprodukte sind abgedeckt:</w:t>
      </w:r>
    </w:p>
    <w:p w:rsidR="007627B7" w:rsidRPr="00D92F39" w:rsidRDefault="007627B7" w:rsidP="00346F4B">
      <w:pPr>
        <w:numPr>
          <w:ilvl w:val="2"/>
          <w:numId w:val="48"/>
        </w:numPr>
        <w:spacing w:after="60"/>
        <w:ind w:left="1980"/>
        <w:contextualSpacing/>
        <w:rPr>
          <w:lang w:val="de-DE"/>
        </w:rPr>
      </w:pPr>
      <w:r w:rsidRPr="00D92F39">
        <w:rPr>
          <w:rFonts w:cs="Tahoma"/>
          <w:iCs/>
          <w:color w:val="000000"/>
          <w:szCs w:val="18"/>
          <w:lang w:val="de-DE"/>
        </w:rPr>
        <w:t>Microsoft Exchange Server, Microsoft SQL Server, System Center 2012 und Windows Server.</w:t>
      </w:r>
    </w:p>
    <w:p w:rsidR="0007218F" w:rsidRPr="00D92F39" w:rsidRDefault="0007218F" w:rsidP="0007218F">
      <w:pPr>
        <w:spacing w:after="200" w:line="276" w:lineRule="auto"/>
        <w:contextualSpacing/>
        <w:rPr>
          <w:rFonts w:cs="Tahoma"/>
          <w:iCs/>
          <w:color w:val="000000"/>
          <w:szCs w:val="18"/>
          <w:lang w:val="de-DE"/>
        </w:rPr>
      </w:pPr>
    </w:p>
    <w:p w:rsidR="00023FE7" w:rsidRPr="00C83DF5" w:rsidRDefault="00023FE7">
      <w:pPr>
        <w:rPr>
          <w:lang w:val="de-DE"/>
        </w:rPr>
      </w:pPr>
      <w:r w:rsidRPr="00C83DF5">
        <w:rPr>
          <w:rFonts w:cs="Tahoma"/>
          <w:szCs w:val="18"/>
          <w:lang w:val="de-DE"/>
        </w:rPr>
        <w:t>Beim Erweiterten Hotfix-Support handelt es sich um eine Vergünstigung für ältere Softwareversionen, die vom Mainstream- in den Erweiterten Support übergegangen sind.</w:t>
      </w:r>
      <w:r w:rsidR="00E71F46" w:rsidRPr="00C83DF5">
        <w:rPr>
          <w:rFonts w:cs="Tahoma"/>
          <w:szCs w:val="18"/>
          <w:lang w:val="de-DE"/>
        </w:rPr>
        <w:t xml:space="preserve"> </w:t>
      </w:r>
      <w:r w:rsidRPr="00C83DF5">
        <w:rPr>
          <w:rFonts w:cs="Tahoma"/>
          <w:szCs w:val="18"/>
          <w:lang w:val="de-DE"/>
        </w:rPr>
        <w:t>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w:t>
      </w:r>
      <w:r w:rsidR="00E71F46" w:rsidRPr="00C83DF5">
        <w:rPr>
          <w:rFonts w:cs="Tahoma"/>
          <w:szCs w:val="18"/>
          <w:lang w:val="de-DE"/>
        </w:rPr>
        <w:t xml:space="preserve"> </w:t>
      </w:r>
    </w:p>
    <w:p w:rsidR="00023FE7" w:rsidRPr="008B3D04" w:rsidRDefault="00023FE7">
      <w:pPr>
        <w:rPr>
          <w:rStyle w:val="PageNumber"/>
          <w:rFonts w:cs="Tahoma"/>
          <w:szCs w:val="18"/>
          <w:lang w:val="de-DE"/>
        </w:rPr>
      </w:pPr>
    </w:p>
    <w:p w:rsidR="00023FE7" w:rsidRPr="00C83DF5" w:rsidRDefault="00023FE7">
      <w:pPr>
        <w:rPr>
          <w:lang w:val="de-DE"/>
        </w:rPr>
      </w:pPr>
      <w:r w:rsidRPr="00C83DF5">
        <w:rPr>
          <w:rStyle w:val="PageNumber"/>
          <w:rFonts w:cs="Tahoma"/>
          <w:szCs w:val="18"/>
          <w:lang w:val="de-DE"/>
        </w:rPr>
        <w:t>Die K</w:t>
      </w:r>
      <w:r w:rsidRPr="00C83DF5">
        <w:rPr>
          <w:rFonts w:cs="Tahoma"/>
          <w:szCs w:val="18"/>
          <w:lang w:val="de-DE"/>
        </w:rPr>
        <w:t>unden sind weiterhin für die Gebühren für einzelne Hotfixes verantwortlich.</w:t>
      </w:r>
      <w:r w:rsidR="00E71F46" w:rsidRPr="00C83DF5">
        <w:rPr>
          <w:rFonts w:cs="Tahoma"/>
          <w:szCs w:val="18"/>
          <w:lang w:val="de-DE"/>
        </w:rPr>
        <w:t xml:space="preserve"> </w:t>
      </w:r>
      <w:r w:rsidRPr="00C83DF5">
        <w:rPr>
          <w:rFonts w:cs="Tahoma"/>
          <w:szCs w:val="18"/>
          <w:lang w:val="de-DE"/>
        </w:rPr>
        <w:t>Ein Premier- oder Essential-Supportvertrag stellt eine Voraussetzung für die Berechtigung dar.</w:t>
      </w:r>
    </w:p>
    <w:p w:rsidR="000429EF" w:rsidRPr="008B3D04" w:rsidRDefault="000429EF">
      <w:pPr>
        <w:pStyle w:val="Heading3"/>
        <w:rPr>
          <w:rFonts w:ascii="Tahoma" w:hAnsi="Tahoma" w:cs="Tahoma"/>
          <w:lang w:val="de-DE"/>
        </w:rPr>
      </w:pPr>
    </w:p>
    <w:p w:rsidR="00023FE7" w:rsidRPr="00C83DF5" w:rsidRDefault="00023FE7">
      <w:pPr>
        <w:pStyle w:val="Heading3"/>
        <w:rPr>
          <w:lang w:val="de-DE"/>
        </w:rPr>
      </w:pPr>
      <w:bookmarkStart w:id="898" w:name="_Toc336338244"/>
      <w:bookmarkStart w:id="899" w:name="_Toc370983353"/>
      <w:r w:rsidRPr="00C83DF5">
        <w:rPr>
          <w:rFonts w:ascii="Tahoma" w:hAnsi="Tahoma" w:cs="Tahoma"/>
          <w:sz w:val="24"/>
          <w:lang w:val="de-DE"/>
        </w:rPr>
        <w:t>Microsoft Desktop Optimization Pack für Software Assurance</w:t>
      </w:r>
      <w:bookmarkEnd w:id="898"/>
      <w:bookmarkEnd w:id="899"/>
    </w:p>
    <w:p w:rsidR="00023FE7" w:rsidRPr="008B3D04" w:rsidRDefault="00023FE7">
      <w:pPr>
        <w:rPr>
          <w:rFonts w:cs="Tahoma"/>
          <w:lang w:val="de-DE"/>
        </w:rPr>
      </w:pPr>
    </w:p>
    <w:p w:rsidR="00F30075" w:rsidRPr="00C83DF5" w:rsidRDefault="00F30075" w:rsidP="00F30075">
      <w:pPr>
        <w:rPr>
          <w:lang w:val="de-DE"/>
        </w:rPr>
      </w:pPr>
      <w:r w:rsidRPr="00C83DF5">
        <w:rPr>
          <w:rFonts w:eastAsia="MS PGothic" w:cs="Tahoma"/>
          <w:szCs w:val="18"/>
          <w:lang w:val="de-DE"/>
        </w:rPr>
        <w:t>Das Microsoft Desktop Optimization Pack für Software Assurance (MDOP) ist optional und wird nur den Kunden zum Kauf angeboten, die Folgendes besitzen:</w:t>
      </w:r>
    </w:p>
    <w:p w:rsidR="00E762F8" w:rsidRPr="008B3D04" w:rsidRDefault="00E762F8" w:rsidP="00F30075">
      <w:pPr>
        <w:rPr>
          <w:rFonts w:eastAsia="MS PGothic" w:cs="Tahoma"/>
          <w:szCs w:val="18"/>
          <w:lang w:val="de-DE"/>
        </w:rPr>
      </w:pPr>
    </w:p>
    <w:p w:rsidR="00F30075" w:rsidRPr="00C83DF5" w:rsidRDefault="00F30075" w:rsidP="00346F4B">
      <w:pPr>
        <w:numPr>
          <w:ilvl w:val="0"/>
          <w:numId w:val="47"/>
        </w:numPr>
        <w:spacing w:after="60" w:line="276" w:lineRule="auto"/>
        <w:ind w:left="1440" w:hanging="274"/>
        <w:rPr>
          <w:lang w:val="de-DE"/>
        </w:rPr>
      </w:pPr>
      <w:r w:rsidRPr="00C83DF5">
        <w:rPr>
          <w:rFonts w:eastAsia="MS PGothic" w:cs="Tahoma"/>
          <w:szCs w:val="18"/>
          <w:lang w:val="de-DE"/>
        </w:rPr>
        <w:t>aktive Software Assurance für ihre Windows Desktop-Betriebssystemlizenzen,</w:t>
      </w:r>
    </w:p>
    <w:p w:rsidR="00F30075" w:rsidRPr="00C83DF5" w:rsidRDefault="00F30075" w:rsidP="00346F4B">
      <w:pPr>
        <w:numPr>
          <w:ilvl w:val="0"/>
          <w:numId w:val="47"/>
        </w:numPr>
        <w:spacing w:after="60" w:line="276" w:lineRule="auto"/>
        <w:ind w:left="1440" w:hanging="274"/>
        <w:rPr>
          <w:lang w:val="de-DE"/>
        </w:rPr>
      </w:pPr>
      <w:r w:rsidRPr="00C83DF5">
        <w:rPr>
          <w:rFonts w:eastAsia="MS PGothic" w:cs="Tahoma"/>
          <w:szCs w:val="18"/>
          <w:lang w:val="de-DE"/>
        </w:rPr>
        <w:t>aktive Abonnements für Windows Virtual Desktop Access oder</w:t>
      </w:r>
    </w:p>
    <w:p w:rsidR="00F30075" w:rsidRPr="00C83DF5" w:rsidRDefault="00F30075" w:rsidP="00346F4B">
      <w:pPr>
        <w:numPr>
          <w:ilvl w:val="0"/>
          <w:numId w:val="47"/>
        </w:numPr>
        <w:spacing w:after="60" w:line="276" w:lineRule="auto"/>
        <w:ind w:left="1440" w:hanging="274"/>
        <w:rPr>
          <w:lang w:val="de-DE"/>
        </w:rPr>
      </w:pPr>
      <w:r w:rsidRPr="00C83DF5">
        <w:rPr>
          <w:rFonts w:eastAsia="MS PGothic" w:cs="Tahoma"/>
          <w:szCs w:val="18"/>
          <w:lang w:val="de-DE"/>
        </w:rPr>
        <w:t xml:space="preserve">aktive Abonnements für Windows Intune </w:t>
      </w:r>
      <w:r w:rsidRPr="00C83DF5">
        <w:rPr>
          <w:rFonts w:cs="Tahoma"/>
          <w:szCs w:val="18"/>
          <w:lang w:val="de-DE"/>
        </w:rPr>
        <w:t>(Pro Gerät) oder</w:t>
      </w:r>
    </w:p>
    <w:p w:rsidR="00421D4A" w:rsidRPr="00C83DF5" w:rsidRDefault="00421D4A" w:rsidP="00346F4B">
      <w:pPr>
        <w:numPr>
          <w:ilvl w:val="0"/>
          <w:numId w:val="47"/>
        </w:numPr>
        <w:spacing w:after="200" w:line="276" w:lineRule="auto"/>
        <w:ind w:left="1440" w:hanging="270"/>
        <w:rPr>
          <w:lang w:val="de-DE"/>
        </w:rPr>
      </w:pPr>
      <w:r w:rsidRPr="00C83DF5">
        <w:rPr>
          <w:rFonts w:eastAsia="MS PGothic" w:cs="Tahoma"/>
          <w:color w:val="000000"/>
          <w:szCs w:val="18"/>
          <w:lang w:val="de-DE"/>
        </w:rPr>
        <w:t xml:space="preserve">aktive Abonnements für die </w:t>
      </w:r>
      <w:r w:rsidRPr="00C83DF5">
        <w:rPr>
          <w:rFonts w:eastAsia="MS PGothic" w:cs="Tahoma"/>
          <w:szCs w:val="18"/>
          <w:lang w:val="de-DE"/>
        </w:rPr>
        <w:t>Windows Companion-Abonnementlizenz</w:t>
      </w:r>
    </w:p>
    <w:p w:rsidR="00023FE7" w:rsidRPr="00C83DF5" w:rsidRDefault="008C0608">
      <w:pPr>
        <w:rPr>
          <w:lang w:val="de-DE"/>
        </w:rPr>
      </w:pPr>
      <w:r w:rsidRPr="00C83DF5">
        <w:rPr>
          <w:rFonts w:eastAsia="MS PGothic" w:cs="Tahoma"/>
          <w:szCs w:val="18"/>
          <w:lang w:val="de-DE"/>
        </w:rPr>
        <w:t xml:space="preserve"> </w:t>
      </w:r>
    </w:p>
    <w:p w:rsidR="00023FE7" w:rsidRPr="00C83DF5" w:rsidRDefault="00023FE7">
      <w:pPr>
        <w:rPr>
          <w:lang w:val="de-DE"/>
        </w:rPr>
      </w:pPr>
      <w:r w:rsidRPr="00C83DF5">
        <w:rPr>
          <w:rFonts w:eastAsia="MS PGothic" w:cs="Tahoma"/>
          <w:color w:val="000000"/>
          <w:szCs w:val="18"/>
          <w:lang w:val="de-DE"/>
        </w:rPr>
        <w:t>Mehr Informationen über dieses Produkt stehen in den Produkthinweisen im Abschnitt über den Systempool in diesem Dokument zu Verfügung. MDOP ist für Lizenzen für Windows Embedded-Betriebssysteme nicht verfügbar.</w:t>
      </w:r>
    </w:p>
    <w:p w:rsidR="002D7B73" w:rsidRPr="00C83DF5" w:rsidRDefault="008C0608" w:rsidP="00AF1D88">
      <w:pPr>
        <w:keepNext/>
        <w:rPr>
          <w:lang w:val="de-DE"/>
        </w:rPr>
      </w:pPr>
      <w:r w:rsidRPr="00C83DF5">
        <w:rPr>
          <w:rFonts w:cs="Tahoma"/>
          <w:b/>
          <w:color w:val="000000"/>
          <w:sz w:val="24"/>
          <w:szCs w:val="18"/>
          <w:lang w:val="de-DE"/>
        </w:rPr>
        <w:lastRenderedPageBreak/>
        <w:t>Virtualisierungsrechte für Windows-lizenzierte Desktops</w:t>
      </w:r>
    </w:p>
    <w:p w:rsidR="0043735F" w:rsidRPr="008B3D04" w:rsidRDefault="0043735F" w:rsidP="008C0608">
      <w:pPr>
        <w:rPr>
          <w:rFonts w:cs="Tahoma"/>
          <w:color w:val="000000"/>
          <w:szCs w:val="18"/>
          <w:lang w:val="de-DE"/>
        </w:rPr>
      </w:pPr>
    </w:p>
    <w:p w:rsidR="008C0608" w:rsidRPr="00C83DF5" w:rsidRDefault="008C0608" w:rsidP="00070440">
      <w:pPr>
        <w:rPr>
          <w:lang w:val="de-DE"/>
        </w:rPr>
      </w:pPr>
      <w:r w:rsidRPr="00C83DF5">
        <w:rPr>
          <w:rFonts w:cs="Tahoma"/>
          <w:color w:val="000000"/>
          <w:szCs w:val="18"/>
          <w:lang w:val="de-DE"/>
        </w:rPr>
        <w:t>Kunden mit Volumenlizenz sind in Bezug auf den Einsatz von Windows 8 auf unternehmensübergreifender Basis</w:t>
      </w:r>
      <w:r w:rsidR="00070440">
        <w:rPr>
          <w:rFonts w:cs="Tahoma"/>
          <w:color w:val="000000"/>
          <w:szCs w:val="18"/>
          <w:lang w:val="de-DE"/>
        </w:rPr>
        <w:t> </w:t>
      </w:r>
      <w:r w:rsidRPr="00C83DF5">
        <w:rPr>
          <w:rFonts w:cs="Tahoma"/>
          <w:color w:val="000000"/>
          <w:szCs w:val="18"/>
          <w:lang w:val="de-DE"/>
        </w:rPr>
        <w:t>relativ flexibel.</w:t>
      </w:r>
      <w:r w:rsidR="00E71F46" w:rsidRPr="00C83DF5">
        <w:rPr>
          <w:rFonts w:cs="Tahoma"/>
          <w:color w:val="000000"/>
          <w:szCs w:val="18"/>
          <w:lang w:val="de-DE"/>
        </w:rPr>
        <w:t xml:space="preserve"> </w:t>
      </w:r>
      <w:r w:rsidRPr="00C83DF5">
        <w:rPr>
          <w:rFonts w:cs="Tahoma"/>
          <w:szCs w:val="18"/>
          <w:lang w:val="de-DE"/>
        </w:rPr>
        <w:t>Kunden mit einem oder beiden der folgenden Produkte sind berechtigt, Virtualisierungsnutzungsrechte zu verwenden:</w:t>
      </w:r>
    </w:p>
    <w:p w:rsidR="00BF1889" w:rsidRPr="008B3D04" w:rsidRDefault="00BF1889" w:rsidP="008C0608">
      <w:pPr>
        <w:jc w:val="both"/>
        <w:rPr>
          <w:rFonts w:cs="Tahoma"/>
          <w:szCs w:val="18"/>
          <w:lang w:val="de-DE"/>
        </w:rPr>
      </w:pPr>
    </w:p>
    <w:p w:rsidR="00F30075" w:rsidRPr="00C83DF5" w:rsidRDefault="00F30075" w:rsidP="00346F4B">
      <w:pPr>
        <w:numPr>
          <w:ilvl w:val="0"/>
          <w:numId w:val="39"/>
        </w:numPr>
        <w:spacing w:after="60" w:line="276" w:lineRule="auto"/>
        <w:ind w:left="1440"/>
        <w:rPr>
          <w:lang w:val="de-DE"/>
        </w:rPr>
      </w:pPr>
      <w:r w:rsidRPr="00C83DF5">
        <w:rPr>
          <w:rFonts w:eastAsia="MS PGothic" w:cs="Tahoma"/>
          <w:szCs w:val="18"/>
          <w:lang w:val="de-DE"/>
        </w:rPr>
        <w:t>aktive Software Assurance für ihre Windows Desktop-Betriebssystemlizenzen,</w:t>
      </w:r>
    </w:p>
    <w:p w:rsidR="00AC246A" w:rsidRPr="00C83DF5" w:rsidRDefault="00F30075" w:rsidP="00346F4B">
      <w:pPr>
        <w:numPr>
          <w:ilvl w:val="0"/>
          <w:numId w:val="39"/>
        </w:numPr>
        <w:spacing w:after="60" w:line="276" w:lineRule="auto"/>
        <w:ind w:left="1440"/>
        <w:jc w:val="both"/>
        <w:rPr>
          <w:lang w:val="de-DE"/>
        </w:rPr>
      </w:pPr>
      <w:r w:rsidRPr="00C83DF5">
        <w:rPr>
          <w:rFonts w:cs="Tahoma"/>
          <w:szCs w:val="18"/>
          <w:lang w:val="de-DE"/>
        </w:rPr>
        <w:t>Onlinedienste-Vergünstigung, die den Windows Intune (Pro Gerät)-Erwerb begleitet</w:t>
      </w:r>
    </w:p>
    <w:p w:rsidR="00F30075" w:rsidRPr="00C83DF5" w:rsidRDefault="00F30075" w:rsidP="00346F4B">
      <w:pPr>
        <w:numPr>
          <w:ilvl w:val="0"/>
          <w:numId w:val="39"/>
        </w:numPr>
        <w:spacing w:after="60" w:line="276" w:lineRule="auto"/>
        <w:ind w:left="1440"/>
        <w:jc w:val="both"/>
        <w:rPr>
          <w:lang w:val="de-DE"/>
        </w:rPr>
      </w:pPr>
      <w:r w:rsidRPr="00C83DF5">
        <w:rPr>
          <w:rFonts w:cs="Tahoma"/>
          <w:szCs w:val="18"/>
          <w:lang w:val="de-DE"/>
        </w:rPr>
        <w:t>aktive Abonnements für Windows Intune (Pro Gerät)</w:t>
      </w:r>
    </w:p>
    <w:p w:rsidR="00F30075" w:rsidRPr="008B3D04" w:rsidRDefault="00F30075" w:rsidP="008C0608">
      <w:pPr>
        <w:rPr>
          <w:rFonts w:cs="Tahoma"/>
          <w:color w:val="000000"/>
          <w:szCs w:val="18"/>
          <w:lang w:val="de-DE"/>
        </w:rPr>
      </w:pPr>
    </w:p>
    <w:p w:rsidR="002D7B73" w:rsidRPr="00C83DF5" w:rsidRDefault="002D7B73" w:rsidP="008C0608">
      <w:pPr>
        <w:rPr>
          <w:lang w:val="de-DE"/>
        </w:rPr>
      </w:pPr>
      <w:r w:rsidRPr="00C83DF5">
        <w:rPr>
          <w:rFonts w:cs="Tahoma"/>
          <w:color w:val="000000"/>
          <w:szCs w:val="18"/>
          <w:lang w:val="de-DE"/>
        </w:rPr>
        <w:t>Dieses Nutzungsrecht erlaubt das Ausführen der Software auf bis zu vier lokalen virtuellen Computern.</w:t>
      </w:r>
      <w:r w:rsidR="00E71F46" w:rsidRPr="00C83DF5">
        <w:rPr>
          <w:rFonts w:cs="Tahoma"/>
          <w:color w:val="000000"/>
          <w:szCs w:val="18"/>
          <w:lang w:val="de-DE"/>
        </w:rPr>
        <w:t xml:space="preserve"> </w:t>
      </w:r>
      <w:r w:rsidRPr="00C83DF5">
        <w:rPr>
          <w:rFonts w:cs="Tahoma"/>
          <w:color w:val="000000"/>
          <w:szCs w:val="18"/>
          <w:lang w:val="de-DE"/>
        </w:rPr>
        <w:t>Während das Nutzungsrecht eines Kunden für Windows 8 Enterprise nach Ablauf von Software Assurance fortbestehen kann, ist das beim Virtualisierungsnutzungsrecht nicht möglich.</w:t>
      </w:r>
      <w:r w:rsidR="00E71F46" w:rsidRPr="00C83DF5">
        <w:rPr>
          <w:rFonts w:cs="Tahoma"/>
          <w:color w:val="000000"/>
          <w:szCs w:val="18"/>
          <w:lang w:val="de-DE"/>
        </w:rPr>
        <w:t xml:space="preserve"> </w:t>
      </w:r>
      <w:r w:rsidRPr="00C83DF5">
        <w:rPr>
          <w:rFonts w:cs="Tahoma"/>
          <w:color w:val="000000"/>
          <w:szCs w:val="18"/>
          <w:lang w:val="de-DE"/>
        </w:rPr>
        <w:t>Mehr Informationen zu diesem Nutzungsrecht finden Sie in den Produktbenutzungsrechten.</w:t>
      </w:r>
    </w:p>
    <w:p w:rsidR="00C831EC" w:rsidRPr="008B3D04" w:rsidRDefault="00C831EC" w:rsidP="002D7B73">
      <w:pPr>
        <w:pStyle w:val="Heading3"/>
        <w:rPr>
          <w:rFonts w:ascii="Tahoma" w:hAnsi="Tahoma"/>
          <w:color w:val="000000"/>
          <w:lang w:val="de-DE"/>
        </w:rPr>
      </w:pPr>
      <w:bookmarkStart w:id="900" w:name="_Toc257907651"/>
      <w:bookmarkStart w:id="901" w:name="_Toc233026785"/>
    </w:p>
    <w:p w:rsidR="002D7B73" w:rsidRPr="006B7139" w:rsidRDefault="002D7B73" w:rsidP="002D7B73">
      <w:pPr>
        <w:pStyle w:val="Heading3"/>
        <w:rPr>
          <w:rFonts w:ascii="Tahoma" w:hAnsi="Tahoma"/>
          <w:color w:val="000000"/>
          <w:sz w:val="24"/>
        </w:rPr>
      </w:pPr>
      <w:bookmarkStart w:id="902" w:name="_Toc336338245"/>
      <w:bookmarkStart w:id="903" w:name="_Toc370983354"/>
      <w:r w:rsidRPr="006B7139">
        <w:rPr>
          <w:rFonts w:ascii="Tahoma" w:hAnsi="Tahoma"/>
          <w:color w:val="000000"/>
          <w:sz w:val="24"/>
        </w:rPr>
        <w:t>Windows Virtual Desktop Access (VDA)</w:t>
      </w:r>
      <w:bookmarkEnd w:id="900"/>
      <w:r w:rsidRPr="006B7139">
        <w:rPr>
          <w:rFonts w:ascii="Tahoma" w:hAnsi="Tahoma"/>
          <w:color w:val="000000"/>
          <w:sz w:val="24"/>
        </w:rPr>
        <w:t>-Rechte</w:t>
      </w:r>
      <w:bookmarkEnd w:id="902"/>
      <w:bookmarkEnd w:id="903"/>
    </w:p>
    <w:p w:rsidR="002D7B73" w:rsidRPr="006B7139" w:rsidRDefault="002D7B73" w:rsidP="002D7B73">
      <w:pPr>
        <w:rPr>
          <w:rFonts w:cs="Tahoma"/>
          <w:b/>
          <w:bCs/>
          <w:color w:val="000000"/>
          <w:sz w:val="20"/>
          <w:szCs w:val="20"/>
        </w:rPr>
      </w:pPr>
    </w:p>
    <w:p w:rsidR="00EC5C9D" w:rsidRPr="00C83DF5" w:rsidRDefault="00EC5C9D" w:rsidP="00EC5C9D">
      <w:pPr>
        <w:rPr>
          <w:lang w:val="de-DE"/>
        </w:rPr>
      </w:pPr>
      <w:r w:rsidRPr="00C83DF5">
        <w:rPr>
          <w:rFonts w:eastAsia="Calibri" w:cs="Tahoma"/>
          <w:color w:val="000000"/>
          <w:szCs w:val="18"/>
          <w:lang w:val="de-DE"/>
        </w:rPr>
        <w:t xml:space="preserve">Windows VDA-Rechte sind für Kunden mit aktiver Software Assurance für das Windows Desktop-Betriebssystem und Kunden mit Lizenzen für Windows Intune </w:t>
      </w:r>
      <w:r w:rsidRPr="00C83DF5">
        <w:rPr>
          <w:rFonts w:cs="Tahoma"/>
          <w:szCs w:val="18"/>
          <w:lang w:val="de-DE"/>
        </w:rPr>
        <w:t>(Pro Gerät)</w:t>
      </w:r>
      <w:r w:rsidRPr="00C83DF5">
        <w:rPr>
          <w:rFonts w:eastAsia="Calibri" w:cs="Tahoma"/>
          <w:color w:val="000000"/>
          <w:szCs w:val="18"/>
          <w:lang w:val="de-DE"/>
        </w:rPr>
        <w:t xml:space="preserve"> verfügbar.</w:t>
      </w:r>
      <w:r w:rsidR="00E71F46" w:rsidRPr="00C83DF5">
        <w:rPr>
          <w:rFonts w:eastAsia="Calibri" w:cs="Tahoma"/>
          <w:color w:val="000000"/>
          <w:szCs w:val="18"/>
          <w:lang w:val="de-DE"/>
        </w:rPr>
        <w:t xml:space="preserve"> </w:t>
      </w:r>
      <w:r w:rsidRPr="00C83DF5">
        <w:rPr>
          <w:rFonts w:eastAsia="Calibri" w:cs="Tahoma"/>
          <w:color w:val="000000"/>
          <w:szCs w:val="18"/>
          <w:lang w:val="de-DE"/>
        </w:rPr>
        <w:t>Sie sind außerdem als separate Abonnementlizenz verfügbar. Windows VDA kommt Kunden zugute, die Windows mithilfe von Thin Client-Geräten (normalerweise bei einem eingebetteten Betriebssystem vorinstalliert) bereitstellen möchten. Die VDA-Abonnementlizenz berechtigt die Kunden, die neueste Version des Windows Desktop-Betriebssystems, das während ihrer Abonnement-Laufzeit zur Verfügung gestellt wurde, auszuführen.</w:t>
      </w:r>
    </w:p>
    <w:p w:rsidR="00EC5C9D" w:rsidRPr="008B3D04" w:rsidRDefault="00EC5C9D" w:rsidP="00EC5C9D">
      <w:pPr>
        <w:rPr>
          <w:rFonts w:eastAsia="Calibri" w:cs="Tahoma"/>
          <w:color w:val="000000"/>
          <w:szCs w:val="18"/>
          <w:lang w:val="de-DE"/>
        </w:rPr>
      </w:pPr>
    </w:p>
    <w:p w:rsidR="00EC5C9D" w:rsidRPr="00C83DF5" w:rsidRDefault="00EC5C9D" w:rsidP="00EC5C9D">
      <w:pPr>
        <w:rPr>
          <w:lang w:val="de-DE"/>
        </w:rPr>
      </w:pPr>
      <w:r w:rsidRPr="00C83DF5">
        <w:rPr>
          <w:rFonts w:eastAsia="Calibri" w:cs="Tahoma"/>
          <w:color w:val="000000"/>
          <w:szCs w:val="18"/>
          <w:lang w:val="de-DE"/>
        </w:rPr>
        <w:t>Weitere Informationen über VDA finden Sie unter den Produktbenutzungsrechten.</w:t>
      </w:r>
    </w:p>
    <w:bookmarkEnd w:id="901"/>
    <w:p w:rsidR="00023FE7" w:rsidRPr="008B3D04" w:rsidRDefault="00023FE7" w:rsidP="006B7139">
      <w:pPr>
        <w:rPr>
          <w:rFonts w:cs="Tahoma"/>
          <w:b/>
          <w:sz w:val="20"/>
          <w:szCs w:val="20"/>
          <w:lang w:val="de-DE"/>
        </w:rPr>
      </w:pPr>
    </w:p>
    <w:p w:rsidR="00023FE7" w:rsidRPr="00C83DF5" w:rsidRDefault="00023FE7">
      <w:pPr>
        <w:rPr>
          <w:lang w:val="de-DE"/>
        </w:rPr>
      </w:pPr>
      <w:bookmarkStart w:id="904" w:name="_Toc336338246"/>
      <w:bookmarkStart w:id="905" w:name="_Toc370983355"/>
      <w:r w:rsidRPr="00C83DF5">
        <w:rPr>
          <w:rStyle w:val="Heading3Char"/>
          <w:rFonts w:ascii="Tahoma" w:hAnsi="Tahoma"/>
          <w:sz w:val="24"/>
          <w:lang w:val="de-DE"/>
        </w:rPr>
        <w:t>Step Up-Lizenzverfügbarkeit</w:t>
      </w:r>
      <w:bookmarkEnd w:id="904"/>
      <w:bookmarkEnd w:id="905"/>
      <w:r w:rsidRPr="00C83DF5">
        <w:rPr>
          <w:rFonts w:cs="Tahoma"/>
          <w:b/>
          <w:sz w:val="24"/>
          <w:szCs w:val="20"/>
          <w:lang w:val="de-DE"/>
        </w:rPr>
        <w:t>*</w:t>
      </w:r>
    </w:p>
    <w:p w:rsidR="00023FE7" w:rsidRPr="008B3D04" w:rsidRDefault="00023FE7">
      <w:pPr>
        <w:rPr>
          <w:rFonts w:cs="Tahoma"/>
          <w:lang w:val="de-DE"/>
        </w:rPr>
      </w:pPr>
    </w:p>
    <w:p w:rsidR="00023FE7" w:rsidRPr="00C83DF5" w:rsidRDefault="00AD6AD6" w:rsidP="00651E9C">
      <w:pPr>
        <w:rPr>
          <w:lang w:val="de-DE"/>
        </w:rPr>
      </w:pPr>
      <w:r w:rsidRPr="00C83DF5">
        <w:rPr>
          <w:rFonts w:cs="Tahoma"/>
          <w:szCs w:val="18"/>
          <w:lang w:val="de-DE"/>
        </w:rPr>
        <w:t>Kunden können bei bestimmten Produkten mit einer Step Up-Lizenz von einer niedrigeren Edition zu einer höheren</w:t>
      </w:r>
      <w:r w:rsidR="005845B6">
        <w:rPr>
          <w:rFonts w:cs="Tahoma"/>
          <w:szCs w:val="18"/>
          <w:lang w:val="de-DE"/>
        </w:rPr>
        <w:t> </w:t>
      </w:r>
      <w:r w:rsidRPr="00C83DF5">
        <w:rPr>
          <w:rFonts w:cs="Tahoma"/>
          <w:szCs w:val="18"/>
          <w:lang w:val="de-DE"/>
        </w:rPr>
        <w:t>Edition migrieren.</w:t>
      </w:r>
      <w:r w:rsidR="00E71F46" w:rsidRPr="00C83DF5">
        <w:rPr>
          <w:rFonts w:cs="Tahoma"/>
          <w:szCs w:val="18"/>
          <w:lang w:val="de-DE"/>
        </w:rPr>
        <w:t xml:space="preserve"> </w:t>
      </w:r>
      <w:r w:rsidRPr="00C83DF5">
        <w:rPr>
          <w:rFonts w:cs="Tahoma"/>
          <w:szCs w:val="18"/>
          <w:lang w:val="de-DE"/>
        </w:rPr>
        <w:t>Um eine Step Up-Lizenz erwerben zu können, müssen die Kunden über eine Lizenz mit</w:t>
      </w:r>
      <w:r w:rsidR="005845B6">
        <w:rPr>
          <w:rFonts w:cs="Tahoma"/>
          <w:szCs w:val="18"/>
          <w:lang w:val="de-DE"/>
        </w:rPr>
        <w:t> </w:t>
      </w:r>
      <w:r w:rsidRPr="00C83DF5">
        <w:rPr>
          <w:rFonts w:cs="Tahoma"/>
          <w:szCs w:val="18"/>
          <w:lang w:val="de-DE"/>
        </w:rPr>
        <w:t xml:space="preserve">aktiver Software Assurance für </w:t>
      </w:r>
      <w:r w:rsidRPr="00C83DF5">
        <w:rPr>
          <w:rFonts w:cs="Tahoma"/>
          <w:color w:val="000000"/>
          <w:szCs w:val="18"/>
          <w:lang w:val="de-DE"/>
        </w:rPr>
        <w:t>das qualifizierende Produkt verfügen.</w:t>
      </w:r>
      <w:r w:rsidR="00E71F46" w:rsidRPr="00C83DF5">
        <w:rPr>
          <w:rFonts w:cs="Tahoma"/>
          <w:color w:val="000000"/>
          <w:szCs w:val="18"/>
          <w:lang w:val="de-DE"/>
        </w:rPr>
        <w:t xml:space="preserve"> </w:t>
      </w:r>
      <w:r w:rsidRPr="00C83DF5">
        <w:rPr>
          <w:rFonts w:cs="Tahoma"/>
          <w:color w:val="000000"/>
          <w:szCs w:val="18"/>
          <w:lang w:val="de-DE"/>
        </w:rPr>
        <w:t>Die Step Up-Lizenz muss unter demselben Volumenlizenzprogramm-Vertrag und -Beitritt (sofern vorhanden) erworben werden, unter dem bzw. denen Software</w:t>
      </w:r>
      <w:r w:rsidR="005845B6">
        <w:rPr>
          <w:rFonts w:cs="Tahoma"/>
          <w:color w:val="000000"/>
          <w:szCs w:val="18"/>
          <w:lang w:val="de-DE"/>
        </w:rPr>
        <w:t> </w:t>
      </w:r>
      <w:r w:rsidRPr="00C83DF5">
        <w:rPr>
          <w:rFonts w:cs="Tahoma"/>
          <w:color w:val="000000"/>
          <w:szCs w:val="18"/>
          <w:lang w:val="de-DE"/>
        </w:rPr>
        <w:t>Assurance für das qualifizierende</w:t>
      </w:r>
      <w:r w:rsidRPr="00C83DF5">
        <w:rPr>
          <w:rFonts w:cs="Tahoma"/>
          <w:szCs w:val="18"/>
          <w:lang w:val="de-DE"/>
        </w:rPr>
        <w:t xml:space="preserve"> Produkt ursprünglich erworben wurde, und ist nur unter diesen Umständen gültig.</w:t>
      </w:r>
      <w:r w:rsidR="00E71F46" w:rsidRPr="00C83DF5">
        <w:rPr>
          <w:rFonts w:cs="Tahoma"/>
          <w:szCs w:val="18"/>
          <w:lang w:val="de-DE"/>
        </w:rPr>
        <w:t xml:space="preserve"> </w:t>
      </w:r>
      <w:r w:rsidRPr="00C83DF5">
        <w:rPr>
          <w:rFonts w:cs="Tahoma"/>
          <w:szCs w:val="18"/>
          <w:lang w:val="de-DE"/>
        </w:rPr>
        <w:t>Das Recht des Kunden, Software unter einer Step Up-Lizenz zu nutzen, setzt voraus, dass der Kunde eine Lizenz für das qualifizierende Produkt besitzt und diese behält.</w:t>
      </w:r>
      <w:r w:rsidR="00E71F46" w:rsidRPr="00C83DF5">
        <w:rPr>
          <w:rFonts w:cs="Tahoma"/>
          <w:szCs w:val="18"/>
          <w:lang w:val="de-DE"/>
        </w:rPr>
        <w:t xml:space="preserve"> </w:t>
      </w:r>
      <w:r w:rsidRPr="00C83DF5">
        <w:rPr>
          <w:rFonts w:cs="Tahoma"/>
          <w:szCs w:val="18"/>
          <w:lang w:val="de-DE"/>
        </w:rPr>
        <w:t>Die Kunden können die Lizenz für das</w:t>
      </w:r>
      <w:r w:rsidR="005845B6">
        <w:rPr>
          <w:rFonts w:cs="Tahoma"/>
          <w:szCs w:val="18"/>
          <w:lang w:val="de-DE"/>
        </w:rPr>
        <w:t> </w:t>
      </w:r>
      <w:r w:rsidRPr="00C83DF5">
        <w:rPr>
          <w:rFonts w:cs="Tahoma"/>
          <w:szCs w:val="18"/>
          <w:lang w:val="de-DE"/>
        </w:rPr>
        <w:t>qualifizierende Produkt nicht separat von der Step Up-Lizenz übertragen.</w:t>
      </w:r>
      <w:r w:rsidR="00E71F46" w:rsidRPr="00C83DF5">
        <w:rPr>
          <w:rFonts w:cs="Tahoma"/>
          <w:szCs w:val="18"/>
          <w:lang w:val="de-DE"/>
        </w:rPr>
        <w:t xml:space="preserve"> </w:t>
      </w:r>
      <w:r w:rsidRPr="00C83DF5">
        <w:rPr>
          <w:rFonts w:cs="Tahoma"/>
          <w:szCs w:val="18"/>
          <w:lang w:val="de-DE"/>
        </w:rPr>
        <w:t>Die zeitlich unbeschränkten Rechte im</w:t>
      </w:r>
      <w:r w:rsidR="005845B6">
        <w:rPr>
          <w:rFonts w:cs="Tahoma"/>
          <w:szCs w:val="18"/>
          <w:lang w:val="de-DE"/>
        </w:rPr>
        <w:t> </w:t>
      </w:r>
      <w:r w:rsidRPr="00C83DF5">
        <w:rPr>
          <w:rFonts w:cs="Tahoma"/>
          <w:szCs w:val="18"/>
          <w:lang w:val="de-DE"/>
        </w:rPr>
        <w:t>Rahmen einer Step Up-Lizenz haben Vorrang vor der und ersetzen die zugrunde liegende Lizenz für das qualifizierende Produkt.</w:t>
      </w:r>
      <w:r w:rsidR="00E71F46" w:rsidRPr="00C83DF5">
        <w:rPr>
          <w:rFonts w:cs="Tahoma"/>
          <w:szCs w:val="18"/>
          <w:lang w:val="de-DE"/>
        </w:rPr>
        <w:t xml:space="preserve"> </w:t>
      </w:r>
      <w:r w:rsidRPr="00C83DF5">
        <w:rPr>
          <w:rFonts w:cs="Tahoma"/>
          <w:szCs w:val="18"/>
          <w:lang w:val="de-DE"/>
        </w:rPr>
        <w:t xml:space="preserve">Weitere Informationen erhalten Sie in der Volumenlizenz-Kurzdarstellung zu Step Up-Lizenzen für Enterprise Edition: </w:t>
      </w:r>
      <w:r w:rsidR="00651E9C" w:rsidRPr="00651E9C">
        <w:rPr>
          <w:rFonts w:cs="Tahoma"/>
          <w:szCs w:val="18"/>
          <w:lang w:val="de-DE"/>
        </w:rPr>
        <w:t>http://</w:t>
      </w:r>
      <w:hyperlink r:id="rId29" w:history="1">
        <w:r w:rsidR="00651E9C" w:rsidRPr="00651E9C">
          <w:rPr>
            <w:rStyle w:val="Hyperlink"/>
            <w:rFonts w:cs="Tahoma"/>
            <w:szCs w:val="18"/>
            <w:lang w:val="de-DE"/>
          </w:rPr>
          <w:t>www.microsoft.com/licensing</w:t>
        </w:r>
      </w:hyperlink>
      <w:r w:rsidRPr="00C83DF5">
        <w:rPr>
          <w:rFonts w:cs="Tahoma"/>
          <w:szCs w:val="18"/>
          <w:lang w:val="de-DE"/>
        </w:rPr>
        <w:t xml:space="preserve"> </w:t>
      </w:r>
    </w:p>
    <w:p w:rsidR="00023FE7" w:rsidRPr="008B3D04" w:rsidRDefault="00023FE7">
      <w:pPr>
        <w:rPr>
          <w:rFonts w:cs="Tahoma"/>
          <w:sz w:val="20"/>
          <w:szCs w:val="20"/>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C83DF5" w:rsidTr="001E3F7D">
        <w:trPr>
          <w:tblHeader/>
        </w:trPr>
        <w:tc>
          <w:tcPr>
            <w:tcW w:w="4230" w:type="dxa"/>
            <w:shd w:val="clear" w:color="auto" w:fill="FABF8F"/>
            <w:tcMar>
              <w:top w:w="0" w:type="dxa"/>
              <w:left w:w="108" w:type="dxa"/>
              <w:bottom w:w="0" w:type="dxa"/>
              <w:right w:w="108" w:type="dxa"/>
            </w:tcMar>
            <w:hideMark/>
          </w:tcPr>
          <w:p w:rsidR="003573CD" w:rsidRPr="00C83DF5" w:rsidRDefault="003573CD" w:rsidP="00554A35">
            <w:pPr>
              <w:jc w:val="center"/>
              <w:rPr>
                <w:rFonts w:eastAsia="Calibri" w:cs="Tahoma"/>
                <w:b/>
                <w:sz w:val="20"/>
                <w:szCs w:val="20"/>
              </w:rPr>
            </w:pPr>
            <w:r w:rsidRPr="00C83DF5">
              <w:rPr>
                <w:rFonts w:cs="Tahoma"/>
                <w:b/>
                <w:sz w:val="20"/>
                <w:szCs w:val="20"/>
              </w:rPr>
              <w:t>Step Up von</w:t>
            </w:r>
          </w:p>
        </w:tc>
        <w:tc>
          <w:tcPr>
            <w:tcW w:w="4230" w:type="dxa"/>
            <w:shd w:val="clear" w:color="auto" w:fill="FABF8F"/>
            <w:tcMar>
              <w:top w:w="0" w:type="dxa"/>
              <w:left w:w="108" w:type="dxa"/>
              <w:bottom w:w="0" w:type="dxa"/>
              <w:right w:w="108" w:type="dxa"/>
            </w:tcMar>
            <w:hideMark/>
          </w:tcPr>
          <w:p w:rsidR="003573CD" w:rsidRPr="00C83DF5" w:rsidRDefault="003573CD" w:rsidP="00554A35">
            <w:pPr>
              <w:jc w:val="center"/>
              <w:rPr>
                <w:rFonts w:eastAsia="Calibri" w:cs="Tahoma"/>
                <w:b/>
                <w:sz w:val="20"/>
                <w:szCs w:val="20"/>
              </w:rPr>
            </w:pPr>
            <w:r w:rsidRPr="00C83DF5">
              <w:rPr>
                <w:rFonts w:cs="Tahoma"/>
                <w:b/>
                <w:sz w:val="20"/>
                <w:szCs w:val="20"/>
              </w:rPr>
              <w:t>Step Up zu</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BizTalk</w:t>
            </w:r>
            <w:r w:rsidRPr="00C51D15">
              <w:rPr>
                <w:rFonts w:cs="Tahoma"/>
                <w:szCs w:val="18"/>
                <w:vertAlign w:val="superscript"/>
              </w:rPr>
              <w:t>®</w:t>
            </w:r>
            <w:r w:rsidRPr="00C83DF5">
              <w:rPr>
                <w:rFonts w:cs="Tahoma"/>
                <w:szCs w:val="18"/>
              </w:rPr>
              <w:t xml:space="preserve"> Server Branch</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BizTalk</w:t>
            </w:r>
            <w:r w:rsidRPr="00C51D15">
              <w:rPr>
                <w:rFonts w:cs="Tahoma"/>
                <w:szCs w:val="18"/>
                <w:vertAlign w:val="superscript"/>
              </w:rPr>
              <w:t>®</w:t>
            </w:r>
            <w:r w:rsidRPr="00C83DF5">
              <w:rPr>
                <w:rFonts w:cs="Tahoma"/>
                <w:szCs w:val="18"/>
              </w:rPr>
              <w:t xml:space="preserve"> Server Standard</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BizTalk</w:t>
            </w:r>
            <w:r w:rsidRPr="00C51D15">
              <w:rPr>
                <w:rFonts w:cs="Tahoma"/>
                <w:szCs w:val="18"/>
                <w:vertAlign w:val="superscript"/>
              </w:rPr>
              <w:t>®</w:t>
            </w:r>
            <w:r w:rsidRPr="00C83DF5">
              <w:rPr>
                <w:rFonts w:cs="Tahoma"/>
                <w:szCs w:val="18"/>
              </w:rPr>
              <w:t xml:space="preserve"> Server Branch</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BizTalk</w:t>
            </w:r>
            <w:r w:rsidRPr="00C51D15">
              <w:rPr>
                <w:rFonts w:cs="Tahoma"/>
                <w:szCs w:val="18"/>
                <w:vertAlign w:val="superscript"/>
              </w:rPr>
              <w:t>®</w:t>
            </w:r>
            <w:r w:rsidRPr="00C83DF5">
              <w:rPr>
                <w:rFonts w:cs="Tahoma"/>
                <w:szCs w:val="18"/>
              </w:rPr>
              <w:t xml:space="preserve"> Server Enterprise</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BizTalk</w:t>
            </w:r>
            <w:r w:rsidRPr="00C51D15">
              <w:rPr>
                <w:rFonts w:cs="Tahoma"/>
                <w:szCs w:val="18"/>
                <w:vertAlign w:val="superscript"/>
              </w:rPr>
              <w:t>®</w:t>
            </w:r>
            <w:r w:rsidRPr="00C83DF5">
              <w:rPr>
                <w:rFonts w:cs="Tahoma"/>
                <w:szCs w:val="18"/>
              </w:rPr>
              <w:t xml:space="preserve"> Server Standard</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BizTalk</w:t>
            </w:r>
            <w:r w:rsidRPr="00C51D15">
              <w:rPr>
                <w:rFonts w:cs="Tahoma"/>
                <w:szCs w:val="18"/>
                <w:vertAlign w:val="superscript"/>
              </w:rPr>
              <w:t>®</w:t>
            </w:r>
            <w:r w:rsidRPr="00C83DF5">
              <w:rPr>
                <w:rFonts w:cs="Tahoma"/>
                <w:szCs w:val="18"/>
              </w:rPr>
              <w:t xml:space="preserve"> Server Enterprise</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Commerce Server Standard</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Commerce Server Enterprise</w:t>
            </w:r>
          </w:p>
        </w:tc>
      </w:tr>
      <w:tr w:rsidR="003573CD" w:rsidRPr="00C83DF5" w:rsidTr="001E3F7D">
        <w:trPr>
          <w:trHeight w:val="238"/>
        </w:trPr>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Core-CAL-Suite</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Enterprise-CAL-Suite</w:t>
            </w:r>
          </w:p>
        </w:tc>
      </w:tr>
      <w:tr w:rsidR="00E87953" w:rsidRPr="00C83DF5" w:rsidTr="001E3F7D">
        <w:trPr>
          <w:trHeight w:val="247"/>
        </w:trPr>
        <w:tc>
          <w:tcPr>
            <w:tcW w:w="4230" w:type="dxa"/>
            <w:tcMar>
              <w:top w:w="0" w:type="dxa"/>
              <w:left w:w="108" w:type="dxa"/>
              <w:bottom w:w="0" w:type="dxa"/>
              <w:right w:w="108" w:type="dxa"/>
            </w:tcMar>
          </w:tcPr>
          <w:p w:rsidR="00E87953" w:rsidRPr="00C83DF5" w:rsidRDefault="00E87953" w:rsidP="00734CF4">
            <w:pPr>
              <w:rPr>
                <w:rFonts w:cs="Tahoma"/>
                <w:color w:val="000000"/>
                <w:szCs w:val="18"/>
              </w:rPr>
            </w:pPr>
            <w:r w:rsidRPr="00C83DF5">
              <w:rPr>
                <w:rFonts w:cs="Tahoma"/>
                <w:color w:val="000000"/>
                <w:szCs w:val="18"/>
              </w:rPr>
              <w:t>Core CAL Suite Bridge für Office 365</w:t>
            </w:r>
          </w:p>
        </w:tc>
        <w:tc>
          <w:tcPr>
            <w:tcW w:w="4230" w:type="dxa"/>
            <w:tcMar>
              <w:top w:w="0" w:type="dxa"/>
              <w:left w:w="108" w:type="dxa"/>
              <w:bottom w:w="0" w:type="dxa"/>
              <w:right w:w="108" w:type="dxa"/>
            </w:tcMar>
          </w:tcPr>
          <w:p w:rsidR="00E87953" w:rsidRPr="00C83DF5" w:rsidRDefault="00E87953" w:rsidP="00734CF4">
            <w:pPr>
              <w:rPr>
                <w:rFonts w:cs="Tahoma"/>
                <w:color w:val="000000"/>
                <w:szCs w:val="18"/>
              </w:rPr>
            </w:pPr>
            <w:r w:rsidRPr="00C83DF5">
              <w:rPr>
                <w:rFonts w:cs="Tahoma"/>
                <w:color w:val="000000"/>
                <w:szCs w:val="18"/>
              </w:rPr>
              <w:t>Enterprise CAL Suite Bridge für Office 365</w:t>
            </w:r>
          </w:p>
        </w:tc>
      </w:tr>
      <w:tr w:rsidR="00E87953" w:rsidRPr="00C83DF5" w:rsidTr="001E3F7D">
        <w:trPr>
          <w:trHeight w:val="247"/>
        </w:trPr>
        <w:tc>
          <w:tcPr>
            <w:tcW w:w="4230" w:type="dxa"/>
            <w:tcMar>
              <w:top w:w="0" w:type="dxa"/>
              <w:left w:w="108" w:type="dxa"/>
              <w:bottom w:w="0" w:type="dxa"/>
              <w:right w:w="108" w:type="dxa"/>
            </w:tcMar>
          </w:tcPr>
          <w:p w:rsidR="00E87953" w:rsidRPr="00C83DF5" w:rsidRDefault="00E87953" w:rsidP="007C6582">
            <w:pPr>
              <w:rPr>
                <w:rFonts w:cs="Tahoma"/>
                <w:color w:val="000000"/>
                <w:szCs w:val="18"/>
              </w:rPr>
            </w:pPr>
            <w:r w:rsidRPr="00C83DF5">
              <w:rPr>
                <w:rFonts w:cs="Tahoma"/>
                <w:color w:val="000000"/>
                <w:szCs w:val="18"/>
              </w:rPr>
              <w:t>Core CAL Suite Bridge für Windows</w:t>
            </w:r>
            <w:r w:rsidRPr="00C83DF5">
              <w:rPr>
                <w:rFonts w:cs="Tahoma"/>
                <w:color w:val="000000"/>
                <w:szCs w:val="18"/>
                <w:vertAlign w:val="superscript"/>
              </w:rPr>
              <w:t>®</w:t>
            </w:r>
            <w:r w:rsidRPr="00C83DF5">
              <w:rPr>
                <w:rFonts w:cs="Tahoma"/>
                <w:color w:val="000000"/>
                <w:szCs w:val="18"/>
              </w:rPr>
              <w:t xml:space="preserve"> Intune</w:t>
            </w:r>
          </w:p>
        </w:tc>
        <w:tc>
          <w:tcPr>
            <w:tcW w:w="4230" w:type="dxa"/>
            <w:tcMar>
              <w:top w:w="0" w:type="dxa"/>
              <w:left w:w="108" w:type="dxa"/>
              <w:bottom w:w="0" w:type="dxa"/>
              <w:right w:w="108" w:type="dxa"/>
            </w:tcMar>
          </w:tcPr>
          <w:p w:rsidR="00E87953" w:rsidRPr="00C83DF5" w:rsidRDefault="00E87953" w:rsidP="007C6582">
            <w:pPr>
              <w:rPr>
                <w:rFonts w:cs="Tahoma"/>
                <w:color w:val="000000"/>
                <w:szCs w:val="18"/>
              </w:rPr>
            </w:pPr>
            <w:r w:rsidRPr="00C83DF5">
              <w:rPr>
                <w:rFonts w:cs="Tahoma"/>
                <w:color w:val="000000"/>
                <w:szCs w:val="18"/>
              </w:rPr>
              <w:t>Enterprise CAL Suite Bridge für Windows</w:t>
            </w:r>
            <w:r w:rsidRPr="00C83DF5">
              <w:rPr>
                <w:rFonts w:cs="Tahoma"/>
                <w:color w:val="000000"/>
                <w:szCs w:val="18"/>
                <w:vertAlign w:val="superscript"/>
              </w:rPr>
              <w:t>®</w:t>
            </w:r>
            <w:r w:rsidRPr="00C83DF5">
              <w:rPr>
                <w:rFonts w:cs="Tahoma"/>
                <w:color w:val="000000"/>
                <w:szCs w:val="18"/>
              </w:rPr>
              <w:t xml:space="preserve"> Intune</w:t>
            </w:r>
          </w:p>
        </w:tc>
      </w:tr>
      <w:tr w:rsidR="000466E8" w:rsidRPr="00C83DF5" w:rsidTr="001E3F7D">
        <w:trPr>
          <w:trHeight w:val="247"/>
        </w:trPr>
        <w:tc>
          <w:tcPr>
            <w:tcW w:w="4230" w:type="dxa"/>
            <w:tcMar>
              <w:top w:w="0" w:type="dxa"/>
              <w:left w:w="108" w:type="dxa"/>
              <w:bottom w:w="0" w:type="dxa"/>
              <w:right w:w="108" w:type="dxa"/>
            </w:tcMar>
          </w:tcPr>
          <w:p w:rsidR="000466E8" w:rsidRPr="00C83DF5" w:rsidRDefault="0054507B" w:rsidP="007C6582">
            <w:pPr>
              <w:rPr>
                <w:rFonts w:cs="Tahoma"/>
                <w:color w:val="000000"/>
                <w:szCs w:val="18"/>
              </w:rPr>
            </w:pPr>
            <w:r w:rsidRPr="00C83DF5">
              <w:rPr>
                <w:rFonts w:cs="Tahoma"/>
                <w:color w:val="000000"/>
                <w:szCs w:val="18"/>
              </w:rPr>
              <w:t>Core CAL Suite Bridge für Office 365 und Windows</w:t>
            </w:r>
            <w:r w:rsidRPr="00C83DF5">
              <w:rPr>
                <w:rFonts w:cs="Tahoma"/>
                <w:color w:val="000000"/>
                <w:szCs w:val="18"/>
                <w:vertAlign w:val="superscript"/>
              </w:rPr>
              <w:t>®</w:t>
            </w:r>
            <w:r w:rsidRPr="00C83DF5">
              <w:rPr>
                <w:rFonts w:cs="Tahoma"/>
                <w:color w:val="000000"/>
                <w:szCs w:val="18"/>
              </w:rPr>
              <w:t xml:space="preserve"> Intune</w:t>
            </w:r>
          </w:p>
        </w:tc>
        <w:tc>
          <w:tcPr>
            <w:tcW w:w="4230" w:type="dxa"/>
            <w:tcMar>
              <w:top w:w="0" w:type="dxa"/>
              <w:left w:w="108" w:type="dxa"/>
              <w:bottom w:w="0" w:type="dxa"/>
              <w:right w:w="108" w:type="dxa"/>
            </w:tcMar>
          </w:tcPr>
          <w:p w:rsidR="000466E8" w:rsidRPr="00C83DF5" w:rsidRDefault="00C3058D" w:rsidP="007C6582">
            <w:pPr>
              <w:rPr>
                <w:rFonts w:cs="Tahoma"/>
                <w:color w:val="000000"/>
                <w:szCs w:val="18"/>
              </w:rPr>
            </w:pPr>
            <w:r w:rsidRPr="00C83DF5">
              <w:rPr>
                <w:rFonts w:eastAsia="Calibri" w:cs="Tahoma"/>
                <w:szCs w:val="18"/>
              </w:rPr>
              <w:t>Enterprise CAL Suite Bridge für Office 365 und Windows</w:t>
            </w:r>
            <w:r w:rsidRPr="00C83DF5">
              <w:rPr>
                <w:rFonts w:cs="Tahoma"/>
                <w:color w:val="000000"/>
                <w:szCs w:val="18"/>
                <w:vertAlign w:val="superscript"/>
              </w:rPr>
              <w:t xml:space="preserve">® </w:t>
            </w:r>
            <w:r w:rsidRPr="00C83DF5">
              <w:rPr>
                <w:rFonts w:eastAsia="Calibri" w:cs="Tahoma"/>
                <w:szCs w:val="18"/>
              </w:rPr>
              <w:t>Intune</w:t>
            </w:r>
          </w:p>
        </w:tc>
      </w:tr>
      <w:tr w:rsidR="004C6855" w:rsidRPr="004D388E" w:rsidTr="001E3F7D">
        <w:trPr>
          <w:trHeight w:val="247"/>
        </w:trPr>
        <w:tc>
          <w:tcPr>
            <w:tcW w:w="4230" w:type="dxa"/>
            <w:tcMar>
              <w:top w:w="0" w:type="dxa"/>
              <w:left w:w="108" w:type="dxa"/>
              <w:bottom w:w="0" w:type="dxa"/>
              <w:right w:w="108" w:type="dxa"/>
            </w:tcMar>
            <w:hideMark/>
          </w:tcPr>
          <w:p w:rsidR="004C6855" w:rsidRPr="00C83DF5" w:rsidRDefault="004C6855" w:rsidP="00554A35">
            <w:pPr>
              <w:rPr>
                <w:rFonts w:cs="Tahoma"/>
                <w:szCs w:val="18"/>
                <w:lang w:val="fr-FR"/>
              </w:rPr>
            </w:pPr>
            <w:r w:rsidRPr="00C83DF5">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C83DF5" w:rsidRDefault="004C6855" w:rsidP="00933674">
            <w:pPr>
              <w:rPr>
                <w:rFonts w:cs="Tahoma"/>
                <w:szCs w:val="18"/>
                <w:lang w:val="fr-FR"/>
              </w:rPr>
            </w:pPr>
            <w:r w:rsidRPr="00C83DF5">
              <w:rPr>
                <w:rFonts w:cs="Tahoma"/>
                <w:color w:val="000000"/>
                <w:szCs w:val="18"/>
                <w:lang w:val="fr-FR"/>
              </w:rPr>
              <w:t>Core Infrastructure Server Suite Datacenter</w:t>
            </w:r>
          </w:p>
        </w:tc>
      </w:tr>
      <w:tr w:rsidR="003573CD" w:rsidRPr="004D388E" w:rsidTr="001E3F7D">
        <w:tc>
          <w:tcPr>
            <w:tcW w:w="4230" w:type="dxa"/>
            <w:tcMar>
              <w:top w:w="0" w:type="dxa"/>
              <w:left w:w="108" w:type="dxa"/>
              <w:bottom w:w="0" w:type="dxa"/>
              <w:right w:w="108" w:type="dxa"/>
            </w:tcMar>
            <w:hideMark/>
          </w:tcPr>
          <w:p w:rsidR="003573CD" w:rsidRPr="00C83DF5" w:rsidRDefault="003573CD" w:rsidP="00394D2B">
            <w:pPr>
              <w:rPr>
                <w:rFonts w:eastAsia="Calibri" w:cs="Tahoma"/>
                <w:szCs w:val="18"/>
              </w:rPr>
            </w:pPr>
            <w:r w:rsidRPr="00C83DF5">
              <w:rPr>
                <w:rFonts w:cs="Tahoma"/>
                <w:szCs w:val="18"/>
              </w:rPr>
              <w:t>Desktop Education mit Core CAL</w:t>
            </w:r>
          </w:p>
        </w:tc>
        <w:tc>
          <w:tcPr>
            <w:tcW w:w="4230" w:type="dxa"/>
            <w:tcMar>
              <w:top w:w="0" w:type="dxa"/>
              <w:left w:w="108" w:type="dxa"/>
              <w:bottom w:w="0" w:type="dxa"/>
              <w:right w:w="108" w:type="dxa"/>
            </w:tcMar>
            <w:hideMark/>
          </w:tcPr>
          <w:p w:rsidR="003573CD" w:rsidRPr="00C83DF5" w:rsidRDefault="003573CD" w:rsidP="00394D2B">
            <w:pPr>
              <w:rPr>
                <w:rFonts w:eastAsia="Calibri" w:cs="Tahoma"/>
                <w:szCs w:val="18"/>
                <w:lang w:val="fr-FR"/>
              </w:rPr>
            </w:pPr>
            <w:r w:rsidRPr="00C83DF5">
              <w:rPr>
                <w:rFonts w:cs="Tahoma"/>
                <w:szCs w:val="18"/>
                <w:lang w:val="fr-FR"/>
              </w:rPr>
              <w:t>Desktop Education mit Enterprise CAL Suite</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Desktop School mit Core CAL</w:t>
            </w:r>
          </w:p>
        </w:tc>
        <w:tc>
          <w:tcPr>
            <w:tcW w:w="4230" w:type="dxa"/>
            <w:tcMar>
              <w:top w:w="0" w:type="dxa"/>
              <w:left w:w="108" w:type="dxa"/>
              <w:bottom w:w="0" w:type="dxa"/>
              <w:right w:w="108" w:type="dxa"/>
            </w:tcMar>
            <w:hideMark/>
          </w:tcPr>
          <w:p w:rsidR="003573CD" w:rsidRPr="00C83DF5" w:rsidRDefault="00ED0F02" w:rsidP="00554A35">
            <w:pPr>
              <w:rPr>
                <w:rFonts w:eastAsia="Calibri" w:cs="Tahoma"/>
                <w:szCs w:val="18"/>
              </w:rPr>
            </w:pPr>
            <w:r w:rsidRPr="00C83DF5">
              <w:rPr>
                <w:rFonts w:cs="Tahoma"/>
                <w:szCs w:val="18"/>
              </w:rPr>
              <w:t>Desktop School mit Enterprise CAL Suite</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lang w:val="fr-FR"/>
              </w:rPr>
            </w:pPr>
            <w:r w:rsidRPr="00C83DF5">
              <w:rPr>
                <w:rFonts w:cs="Tahoma"/>
                <w:szCs w:val="18"/>
              </w:rPr>
              <w:t>Exchange Server Standard</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Exchange Server Enterprise</w:t>
            </w:r>
          </w:p>
        </w:tc>
      </w:tr>
      <w:tr w:rsidR="004D4D43" w:rsidRPr="00C83DF5" w:rsidTr="001E3F7D">
        <w:tc>
          <w:tcPr>
            <w:tcW w:w="4230" w:type="dxa"/>
            <w:tcMar>
              <w:top w:w="0" w:type="dxa"/>
              <w:left w:w="108" w:type="dxa"/>
              <w:bottom w:w="0" w:type="dxa"/>
              <w:right w:w="108" w:type="dxa"/>
            </w:tcMar>
          </w:tcPr>
          <w:p w:rsidR="004D4D43" w:rsidRPr="00C83DF5" w:rsidRDefault="004D4D43" w:rsidP="00AB4C80">
            <w:pPr>
              <w:rPr>
                <w:rFonts w:cs="Tahoma"/>
                <w:szCs w:val="18"/>
              </w:rPr>
            </w:pPr>
            <w:r w:rsidRPr="00C83DF5">
              <w:rPr>
                <w:rFonts w:cs="Tahoma"/>
                <w:szCs w:val="18"/>
              </w:rPr>
              <w:t>Forefront TMG Standard</w:t>
            </w:r>
          </w:p>
        </w:tc>
        <w:tc>
          <w:tcPr>
            <w:tcW w:w="4230" w:type="dxa"/>
            <w:tcMar>
              <w:top w:w="0" w:type="dxa"/>
              <w:left w:w="108" w:type="dxa"/>
              <w:bottom w:w="0" w:type="dxa"/>
              <w:right w:w="108" w:type="dxa"/>
            </w:tcMar>
          </w:tcPr>
          <w:p w:rsidR="004D4D43" w:rsidRPr="00C83DF5" w:rsidRDefault="004D4D43" w:rsidP="00AB4C80">
            <w:pPr>
              <w:rPr>
                <w:rFonts w:cs="Tahoma"/>
                <w:szCs w:val="18"/>
              </w:rPr>
            </w:pPr>
            <w:r w:rsidRPr="00C83DF5">
              <w:rPr>
                <w:rFonts w:cs="Tahoma"/>
                <w:szCs w:val="18"/>
              </w:rPr>
              <w:t>Forefront TMG Enterprise</w:t>
            </w:r>
          </w:p>
        </w:tc>
      </w:tr>
      <w:tr w:rsidR="003573CD" w:rsidRPr="00C83DF5" w:rsidTr="001E3F7D">
        <w:tc>
          <w:tcPr>
            <w:tcW w:w="4230" w:type="dxa"/>
            <w:tcMar>
              <w:top w:w="0" w:type="dxa"/>
              <w:left w:w="108" w:type="dxa"/>
              <w:bottom w:w="0" w:type="dxa"/>
              <w:right w:w="108" w:type="dxa"/>
            </w:tcMar>
            <w:hideMark/>
          </w:tcPr>
          <w:p w:rsidR="003573CD" w:rsidRPr="00C83DF5" w:rsidRDefault="003573CD" w:rsidP="00403C28">
            <w:pPr>
              <w:rPr>
                <w:rFonts w:eastAsia="Calibri" w:cs="Tahoma"/>
                <w:szCs w:val="18"/>
              </w:rPr>
            </w:pPr>
            <w:r w:rsidRPr="00C83DF5">
              <w:rPr>
                <w:rFonts w:cs="Tahoma"/>
                <w:szCs w:val="18"/>
              </w:rPr>
              <w:lastRenderedPageBreak/>
              <w:t>Internet Security and Acceleration (ISA) Standard</w:t>
            </w:r>
            <w:r w:rsidR="00403C28">
              <w:rPr>
                <w:rFonts w:cs="Tahoma"/>
                <w:szCs w:val="18"/>
              </w:rPr>
              <w:t> </w:t>
            </w:r>
            <w:r w:rsidRPr="00C83DF5">
              <w:rPr>
                <w:rFonts w:cs="Tahoma"/>
                <w:szCs w:val="18"/>
              </w:rPr>
              <w:t>Server</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Internet Security and Acceleration (ISA) Enterprise Server</w:t>
            </w:r>
          </w:p>
        </w:tc>
      </w:tr>
      <w:tr w:rsidR="00781A60" w:rsidRPr="00C83DF5" w:rsidTr="001E3F7D">
        <w:tc>
          <w:tcPr>
            <w:tcW w:w="4230" w:type="dxa"/>
            <w:tcMar>
              <w:top w:w="0" w:type="dxa"/>
              <w:left w:w="108" w:type="dxa"/>
              <w:bottom w:w="0" w:type="dxa"/>
              <w:right w:w="108" w:type="dxa"/>
            </w:tcMar>
          </w:tcPr>
          <w:p w:rsidR="00781A60" w:rsidRPr="00C83DF5" w:rsidRDefault="00781A60" w:rsidP="00554A35">
            <w:pPr>
              <w:rPr>
                <w:rFonts w:cs="Tahoma"/>
                <w:szCs w:val="18"/>
              </w:rPr>
            </w:pPr>
            <w:r w:rsidRPr="00C83DF5">
              <w:rPr>
                <w:rFonts w:cs="Tahoma"/>
                <w:szCs w:val="18"/>
              </w:rPr>
              <w:t>Microsoft Dynamics CRM Workgroup Server 2011</w:t>
            </w:r>
          </w:p>
        </w:tc>
        <w:tc>
          <w:tcPr>
            <w:tcW w:w="4230" w:type="dxa"/>
            <w:tcMar>
              <w:top w:w="0" w:type="dxa"/>
              <w:left w:w="108" w:type="dxa"/>
              <w:bottom w:w="0" w:type="dxa"/>
              <w:right w:w="108" w:type="dxa"/>
            </w:tcMar>
          </w:tcPr>
          <w:p w:rsidR="00781A60" w:rsidRPr="00C83DF5" w:rsidRDefault="00781A60" w:rsidP="00554A35">
            <w:pPr>
              <w:rPr>
                <w:rFonts w:cs="Tahoma"/>
                <w:szCs w:val="18"/>
              </w:rPr>
            </w:pPr>
            <w:r w:rsidRPr="00C83DF5">
              <w:rPr>
                <w:rFonts w:cs="Tahoma"/>
                <w:szCs w:val="18"/>
              </w:rPr>
              <w:t>Microsoft Dynamics CRM Server 2011</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 xml:space="preserve">Office Standard </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lang w:val="fr-FR"/>
              </w:rPr>
            </w:pPr>
            <w:r w:rsidRPr="00C83DF5">
              <w:rPr>
                <w:rFonts w:cs="Tahoma"/>
                <w:szCs w:val="18"/>
              </w:rPr>
              <w:t xml:space="preserve">Office Professional Plus </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Professional Desktop</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Enterprise Desktop</w:t>
            </w:r>
          </w:p>
        </w:tc>
      </w:tr>
      <w:tr w:rsidR="008925CF" w:rsidRPr="00C83DF5" w:rsidTr="001E3F7D">
        <w:tc>
          <w:tcPr>
            <w:tcW w:w="4230" w:type="dxa"/>
            <w:tcMar>
              <w:top w:w="0" w:type="dxa"/>
              <w:left w:w="108" w:type="dxa"/>
              <w:bottom w:w="0" w:type="dxa"/>
              <w:right w:w="108" w:type="dxa"/>
            </w:tcMar>
            <w:hideMark/>
          </w:tcPr>
          <w:p w:rsidR="008925CF" w:rsidRPr="00C83DF5" w:rsidRDefault="008925CF" w:rsidP="008925CF">
            <w:pPr>
              <w:rPr>
                <w:rFonts w:cs="Tahoma"/>
                <w:color w:val="000000"/>
                <w:szCs w:val="18"/>
              </w:rPr>
            </w:pPr>
            <w:r w:rsidRPr="00C83DF5">
              <w:rPr>
                <w:rFonts w:cs="Tahoma"/>
                <w:color w:val="000000"/>
                <w:szCs w:val="18"/>
              </w:rPr>
              <w:t>Professional Desktop mit Microsoft</w:t>
            </w:r>
            <w:bookmarkStart w:id="906" w:name="_Toc236810936"/>
            <w:r w:rsidRPr="00C83DF5">
              <w:rPr>
                <w:rFonts w:cs="Tahoma"/>
                <w:color w:val="000000"/>
                <w:szCs w:val="18"/>
              </w:rPr>
              <w:t xml:space="preserve"> Desktop Optimization Pack </w:t>
            </w:r>
            <w:bookmarkEnd w:id="906"/>
          </w:p>
        </w:tc>
        <w:tc>
          <w:tcPr>
            <w:tcW w:w="4230" w:type="dxa"/>
            <w:tcMar>
              <w:top w:w="0" w:type="dxa"/>
              <w:left w:w="108" w:type="dxa"/>
              <w:bottom w:w="0" w:type="dxa"/>
              <w:right w:w="108" w:type="dxa"/>
            </w:tcMar>
            <w:hideMark/>
          </w:tcPr>
          <w:p w:rsidR="008925CF" w:rsidRPr="00C83DF5" w:rsidRDefault="008925CF" w:rsidP="00554A35">
            <w:pPr>
              <w:rPr>
                <w:rFonts w:cs="Tahoma"/>
                <w:color w:val="000000"/>
                <w:szCs w:val="18"/>
              </w:rPr>
            </w:pPr>
            <w:r w:rsidRPr="00C83DF5">
              <w:rPr>
                <w:rFonts w:cs="Tahoma"/>
                <w:color w:val="000000"/>
                <w:szCs w:val="18"/>
              </w:rPr>
              <w:t>Enterprise Desktop mit Microsoft Desktop Optimization Pack</w:t>
            </w:r>
          </w:p>
        </w:tc>
      </w:tr>
      <w:tr w:rsidR="009F254F" w:rsidRPr="00C83DF5" w:rsidTr="001E3F7D">
        <w:tc>
          <w:tcPr>
            <w:tcW w:w="4230" w:type="dxa"/>
            <w:tcMar>
              <w:top w:w="0" w:type="dxa"/>
              <w:left w:w="108" w:type="dxa"/>
              <w:bottom w:w="0" w:type="dxa"/>
              <w:right w:w="108" w:type="dxa"/>
            </w:tcMar>
            <w:hideMark/>
          </w:tcPr>
          <w:p w:rsidR="009F254F" w:rsidRPr="00C83DF5" w:rsidRDefault="009F254F" w:rsidP="00CA4488">
            <w:pPr>
              <w:rPr>
                <w:rFonts w:eastAsia="Calibri" w:cs="Tahoma"/>
                <w:color w:val="000000"/>
                <w:szCs w:val="18"/>
              </w:rPr>
            </w:pPr>
            <w:r w:rsidRPr="00C83DF5">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C83DF5" w:rsidRDefault="009F254F" w:rsidP="00CA4488">
            <w:pPr>
              <w:rPr>
                <w:rFonts w:eastAsia="Calibri" w:cs="Tahoma"/>
                <w:color w:val="000000"/>
                <w:szCs w:val="18"/>
              </w:rPr>
            </w:pPr>
            <w:r w:rsidRPr="00C83DF5">
              <w:rPr>
                <w:rFonts w:cs="Tahoma"/>
                <w:color w:val="000000"/>
                <w:szCs w:val="18"/>
              </w:rPr>
              <w:t xml:space="preserve">Project Professional </w:t>
            </w:r>
          </w:p>
        </w:tc>
      </w:tr>
      <w:tr w:rsidR="003573CD" w:rsidRPr="00C83DF5" w:rsidTr="001E3F7D">
        <w:tc>
          <w:tcPr>
            <w:tcW w:w="4230" w:type="dxa"/>
            <w:tcMar>
              <w:top w:w="0" w:type="dxa"/>
              <w:left w:w="108" w:type="dxa"/>
              <w:bottom w:w="0" w:type="dxa"/>
              <w:right w:w="108" w:type="dxa"/>
            </w:tcMar>
            <w:hideMark/>
          </w:tcPr>
          <w:p w:rsidR="003573CD" w:rsidRPr="00C83DF5" w:rsidRDefault="003573CD" w:rsidP="00C102BC">
            <w:pPr>
              <w:rPr>
                <w:rFonts w:eastAsia="Calibri" w:cs="Tahoma"/>
                <w:color w:val="000000"/>
                <w:szCs w:val="18"/>
              </w:rPr>
            </w:pPr>
            <w:r w:rsidRPr="00C83DF5">
              <w:rPr>
                <w:rFonts w:cs="Tahoma"/>
                <w:color w:val="000000"/>
                <w:szCs w:val="18"/>
              </w:rPr>
              <w:t>SQL Server™ Standard Core</w:t>
            </w:r>
          </w:p>
        </w:tc>
        <w:tc>
          <w:tcPr>
            <w:tcW w:w="4230" w:type="dxa"/>
            <w:tcMar>
              <w:top w:w="0" w:type="dxa"/>
              <w:left w:w="108" w:type="dxa"/>
              <w:bottom w:w="0" w:type="dxa"/>
              <w:right w:w="108" w:type="dxa"/>
            </w:tcMar>
            <w:hideMark/>
          </w:tcPr>
          <w:p w:rsidR="003573CD" w:rsidRPr="00C83DF5" w:rsidRDefault="003573CD" w:rsidP="00554A35">
            <w:pPr>
              <w:rPr>
                <w:rFonts w:eastAsia="Calibri" w:cs="Tahoma"/>
                <w:color w:val="000000"/>
                <w:szCs w:val="18"/>
              </w:rPr>
            </w:pPr>
            <w:r w:rsidRPr="00C83DF5">
              <w:rPr>
                <w:rFonts w:cs="Tahoma"/>
                <w:color w:val="000000"/>
                <w:szCs w:val="18"/>
              </w:rPr>
              <w:t>SQL Server™ Enterprise Core</w:t>
            </w:r>
          </w:p>
        </w:tc>
      </w:tr>
      <w:tr w:rsidR="00270F92" w:rsidRPr="00C83DF5" w:rsidTr="001E3F7D">
        <w:tc>
          <w:tcPr>
            <w:tcW w:w="4230" w:type="dxa"/>
            <w:tcMar>
              <w:top w:w="0" w:type="dxa"/>
              <w:left w:w="108" w:type="dxa"/>
              <w:bottom w:w="0" w:type="dxa"/>
              <w:right w:w="108" w:type="dxa"/>
            </w:tcMar>
            <w:hideMark/>
          </w:tcPr>
          <w:p w:rsidR="00270F92" w:rsidRPr="00C83DF5" w:rsidRDefault="00C102BC" w:rsidP="00270F92">
            <w:pPr>
              <w:rPr>
                <w:rFonts w:eastAsia="Calibri" w:cs="Tahoma"/>
                <w:szCs w:val="18"/>
              </w:rPr>
            </w:pPr>
            <w:r>
              <w:rPr>
                <w:rFonts w:cs="Tahoma"/>
                <w:szCs w:val="18"/>
              </w:rPr>
              <w:t>SQL Server</w:t>
            </w:r>
            <w:r w:rsidR="00270F92" w:rsidRPr="00C83DF5">
              <w:rPr>
                <w:rFonts w:cs="Tahoma"/>
                <w:szCs w:val="18"/>
              </w:rPr>
              <w:t xml:space="preserve">™ </w:t>
            </w:r>
            <w:r w:rsidR="00270F92" w:rsidRPr="00C83DF5">
              <w:rPr>
                <w:rFonts w:cs="Tahoma"/>
                <w:color w:val="000000"/>
                <w:szCs w:val="18"/>
              </w:rPr>
              <w:t>Standard</w:t>
            </w:r>
          </w:p>
        </w:tc>
        <w:tc>
          <w:tcPr>
            <w:tcW w:w="4230" w:type="dxa"/>
            <w:tcMar>
              <w:top w:w="0" w:type="dxa"/>
              <w:left w:w="108" w:type="dxa"/>
              <w:bottom w:w="0" w:type="dxa"/>
              <w:right w:w="108" w:type="dxa"/>
            </w:tcMar>
            <w:hideMark/>
          </w:tcPr>
          <w:p w:rsidR="00270F92" w:rsidRPr="00C83DF5" w:rsidRDefault="00270F92" w:rsidP="00BB516F">
            <w:pPr>
              <w:rPr>
                <w:rFonts w:eastAsia="Calibri" w:cs="Tahoma"/>
                <w:szCs w:val="18"/>
              </w:rPr>
            </w:pPr>
            <w:r w:rsidRPr="00C83DF5">
              <w:rPr>
                <w:rFonts w:cs="Tahoma"/>
                <w:szCs w:val="18"/>
              </w:rPr>
              <w:t>SQL Server™ Business Intelligence</w:t>
            </w:r>
          </w:p>
        </w:tc>
      </w:tr>
      <w:tr w:rsidR="003573CD" w:rsidRPr="00C83DF5" w:rsidTr="001E3F7D">
        <w:tc>
          <w:tcPr>
            <w:tcW w:w="4230" w:type="dxa"/>
            <w:tcMar>
              <w:top w:w="0" w:type="dxa"/>
              <w:left w:w="108" w:type="dxa"/>
              <w:bottom w:w="0" w:type="dxa"/>
              <w:right w:w="108" w:type="dxa"/>
            </w:tcMar>
            <w:hideMark/>
          </w:tcPr>
          <w:p w:rsidR="003573CD" w:rsidRPr="00C83DF5" w:rsidRDefault="00D04131" w:rsidP="00554A35">
            <w:pPr>
              <w:rPr>
                <w:rFonts w:eastAsia="Calibri" w:cs="Tahoma"/>
                <w:szCs w:val="18"/>
              </w:rPr>
            </w:pPr>
            <w:r w:rsidRPr="00C83DF5">
              <w:rPr>
                <w:rFonts w:cs="Tahoma"/>
                <w:szCs w:val="18"/>
              </w:rPr>
              <w:t>System Center 2012 Standard</w:t>
            </w:r>
          </w:p>
        </w:tc>
        <w:tc>
          <w:tcPr>
            <w:tcW w:w="4230" w:type="dxa"/>
            <w:tcMar>
              <w:top w:w="0" w:type="dxa"/>
              <w:left w:w="108" w:type="dxa"/>
              <w:bottom w:w="0" w:type="dxa"/>
              <w:right w:w="108" w:type="dxa"/>
            </w:tcMar>
            <w:hideMark/>
          </w:tcPr>
          <w:p w:rsidR="003573CD" w:rsidRPr="00C83DF5" w:rsidRDefault="00D04131" w:rsidP="00554A35">
            <w:pPr>
              <w:rPr>
                <w:rFonts w:eastAsia="Calibri" w:cs="Tahoma"/>
                <w:szCs w:val="18"/>
              </w:rPr>
            </w:pPr>
            <w:r w:rsidRPr="00C83DF5">
              <w:rPr>
                <w:rFonts w:cs="Tahoma"/>
                <w:szCs w:val="18"/>
              </w:rPr>
              <w:t>System Center 2012 Datacenter</w:t>
            </w:r>
          </w:p>
        </w:tc>
      </w:tr>
      <w:tr w:rsidR="009F254F" w:rsidRPr="00C83DF5" w:rsidTr="001E3F7D">
        <w:tc>
          <w:tcPr>
            <w:tcW w:w="4230" w:type="dxa"/>
            <w:tcMar>
              <w:top w:w="0" w:type="dxa"/>
              <w:left w:w="108" w:type="dxa"/>
              <w:bottom w:w="0" w:type="dxa"/>
              <w:right w:w="108" w:type="dxa"/>
            </w:tcMar>
            <w:hideMark/>
          </w:tcPr>
          <w:p w:rsidR="009F254F" w:rsidRPr="00C83DF5" w:rsidRDefault="009F254F" w:rsidP="00CA4488">
            <w:pPr>
              <w:rPr>
                <w:rFonts w:eastAsia="Calibri" w:cs="Tahoma"/>
                <w:color w:val="000000"/>
                <w:szCs w:val="18"/>
              </w:rPr>
            </w:pPr>
            <w:r w:rsidRPr="00C83DF5">
              <w:rPr>
                <w:rFonts w:cs="Tahoma"/>
                <w:color w:val="000000"/>
                <w:szCs w:val="18"/>
              </w:rPr>
              <w:t>Visio</w:t>
            </w:r>
            <w:r w:rsidRPr="00C51D15">
              <w:rPr>
                <w:rFonts w:cs="Tahoma"/>
                <w:color w:val="000000"/>
                <w:szCs w:val="18"/>
                <w:vertAlign w:val="superscript"/>
              </w:rPr>
              <w:t>®</w:t>
            </w:r>
            <w:r w:rsidRPr="00C83DF5">
              <w:rPr>
                <w:rFonts w:cs="Tahoma"/>
                <w:color w:val="000000"/>
                <w:szCs w:val="18"/>
              </w:rPr>
              <w:t xml:space="preserve"> Standard</w:t>
            </w:r>
          </w:p>
        </w:tc>
        <w:tc>
          <w:tcPr>
            <w:tcW w:w="4230" w:type="dxa"/>
            <w:tcMar>
              <w:top w:w="0" w:type="dxa"/>
              <w:left w:w="108" w:type="dxa"/>
              <w:bottom w:w="0" w:type="dxa"/>
              <w:right w:w="108" w:type="dxa"/>
            </w:tcMar>
            <w:hideMark/>
          </w:tcPr>
          <w:p w:rsidR="009F254F" w:rsidRPr="00C83DF5" w:rsidRDefault="009F254F" w:rsidP="00CA4488">
            <w:pPr>
              <w:rPr>
                <w:rFonts w:eastAsia="Calibri" w:cs="Tahoma"/>
                <w:color w:val="000000"/>
                <w:szCs w:val="18"/>
              </w:rPr>
            </w:pPr>
            <w:r w:rsidRPr="00C83DF5">
              <w:rPr>
                <w:rFonts w:cs="Tahoma"/>
                <w:color w:val="000000"/>
                <w:szCs w:val="18"/>
              </w:rPr>
              <w:t>Visio</w:t>
            </w:r>
            <w:r w:rsidRPr="00C51D15">
              <w:rPr>
                <w:rFonts w:cs="Tahoma"/>
                <w:color w:val="000000"/>
                <w:szCs w:val="18"/>
                <w:vertAlign w:val="superscript"/>
              </w:rPr>
              <w:t>®</w:t>
            </w:r>
            <w:r w:rsidRPr="00C83DF5">
              <w:rPr>
                <w:rFonts w:cs="Tahoma"/>
                <w:color w:val="000000"/>
                <w:szCs w:val="18"/>
              </w:rPr>
              <w:t xml:space="preserve"> Professional</w:t>
            </w:r>
          </w:p>
        </w:tc>
      </w:tr>
      <w:tr w:rsidR="009F254F" w:rsidRPr="00C83DF5" w:rsidTr="001E3F7D">
        <w:tc>
          <w:tcPr>
            <w:tcW w:w="4230" w:type="dxa"/>
            <w:tcMar>
              <w:top w:w="0" w:type="dxa"/>
              <w:left w:w="108" w:type="dxa"/>
              <w:bottom w:w="0" w:type="dxa"/>
              <w:right w:w="108" w:type="dxa"/>
            </w:tcMar>
            <w:hideMark/>
          </w:tcPr>
          <w:p w:rsidR="009F254F" w:rsidRPr="00C83DF5" w:rsidRDefault="009F254F" w:rsidP="00CA4488">
            <w:pPr>
              <w:rPr>
                <w:rFonts w:eastAsia="Calibri" w:cs="Tahoma"/>
                <w:color w:val="000000"/>
                <w:szCs w:val="18"/>
              </w:rPr>
            </w:pPr>
            <w:r w:rsidRPr="00C83DF5">
              <w:rPr>
                <w:rFonts w:cs="Tahoma"/>
                <w:color w:val="000000"/>
                <w:szCs w:val="18"/>
              </w:rPr>
              <w:t>Visual Studio Professional mit MSDN</w:t>
            </w:r>
          </w:p>
        </w:tc>
        <w:tc>
          <w:tcPr>
            <w:tcW w:w="4230" w:type="dxa"/>
            <w:tcMar>
              <w:top w:w="0" w:type="dxa"/>
              <w:left w:w="108" w:type="dxa"/>
              <w:bottom w:w="0" w:type="dxa"/>
              <w:right w:w="108" w:type="dxa"/>
            </w:tcMar>
            <w:hideMark/>
          </w:tcPr>
          <w:p w:rsidR="009F254F" w:rsidRPr="00C83DF5" w:rsidRDefault="009F254F" w:rsidP="00CA4488">
            <w:pPr>
              <w:rPr>
                <w:rFonts w:eastAsia="Calibri" w:cs="Tahoma"/>
                <w:color w:val="000000"/>
                <w:szCs w:val="18"/>
              </w:rPr>
            </w:pPr>
            <w:r w:rsidRPr="00C83DF5">
              <w:rPr>
                <w:rFonts w:cs="Tahoma"/>
                <w:color w:val="000000"/>
                <w:szCs w:val="18"/>
              </w:rPr>
              <w:t>Visual Studio Premium mit MSDN</w:t>
            </w:r>
          </w:p>
        </w:tc>
      </w:tr>
      <w:tr w:rsidR="009F254F" w:rsidRPr="00C83DF5" w:rsidTr="001E3F7D">
        <w:tc>
          <w:tcPr>
            <w:tcW w:w="4230" w:type="dxa"/>
            <w:tcMar>
              <w:top w:w="0" w:type="dxa"/>
              <w:left w:w="108" w:type="dxa"/>
              <w:bottom w:w="0" w:type="dxa"/>
              <w:right w:w="108" w:type="dxa"/>
            </w:tcMar>
            <w:hideMark/>
          </w:tcPr>
          <w:p w:rsidR="009F254F" w:rsidRPr="00C83DF5" w:rsidRDefault="009F254F" w:rsidP="00CA4488">
            <w:pPr>
              <w:rPr>
                <w:rFonts w:eastAsia="Calibri" w:cs="Tahoma"/>
                <w:szCs w:val="18"/>
              </w:rPr>
            </w:pPr>
            <w:r w:rsidRPr="00C83DF5">
              <w:rPr>
                <w:rFonts w:cs="Tahoma"/>
                <w:szCs w:val="18"/>
              </w:rPr>
              <w:t>Visual Studio Premium mit MSDN</w:t>
            </w:r>
          </w:p>
        </w:tc>
        <w:tc>
          <w:tcPr>
            <w:tcW w:w="4230" w:type="dxa"/>
            <w:tcMar>
              <w:top w:w="0" w:type="dxa"/>
              <w:left w:w="108" w:type="dxa"/>
              <w:bottom w:w="0" w:type="dxa"/>
              <w:right w:w="108" w:type="dxa"/>
            </w:tcMar>
            <w:hideMark/>
          </w:tcPr>
          <w:p w:rsidR="009F254F" w:rsidRPr="00C83DF5" w:rsidRDefault="009F254F" w:rsidP="00CA4488">
            <w:pPr>
              <w:rPr>
                <w:rFonts w:eastAsia="Calibri" w:cs="Tahoma"/>
                <w:szCs w:val="18"/>
              </w:rPr>
            </w:pPr>
            <w:r w:rsidRPr="00C83DF5">
              <w:rPr>
                <w:rFonts w:cs="Tahoma"/>
                <w:szCs w:val="18"/>
              </w:rPr>
              <w:t>Visual Studio Ultimate mit MSDN</w:t>
            </w:r>
          </w:p>
        </w:tc>
      </w:tr>
      <w:tr w:rsidR="009F254F" w:rsidRPr="00C83DF5" w:rsidTr="001E3F7D">
        <w:tc>
          <w:tcPr>
            <w:tcW w:w="4230" w:type="dxa"/>
            <w:tcMar>
              <w:top w:w="0" w:type="dxa"/>
              <w:left w:w="108" w:type="dxa"/>
              <w:bottom w:w="0" w:type="dxa"/>
              <w:right w:w="108" w:type="dxa"/>
            </w:tcMar>
            <w:hideMark/>
          </w:tcPr>
          <w:p w:rsidR="009F254F" w:rsidRPr="00C83DF5" w:rsidRDefault="009F254F" w:rsidP="00CA4488">
            <w:pPr>
              <w:rPr>
                <w:rFonts w:eastAsia="Calibri" w:cs="Tahoma"/>
                <w:szCs w:val="18"/>
              </w:rPr>
            </w:pPr>
            <w:r w:rsidRPr="00C83DF5">
              <w:rPr>
                <w:rFonts w:cs="Tahoma"/>
                <w:szCs w:val="18"/>
              </w:rPr>
              <w:t>Visual Studio Test Professional mit MSDN</w:t>
            </w:r>
          </w:p>
        </w:tc>
        <w:tc>
          <w:tcPr>
            <w:tcW w:w="4230" w:type="dxa"/>
            <w:tcMar>
              <w:top w:w="0" w:type="dxa"/>
              <w:left w:w="108" w:type="dxa"/>
              <w:bottom w:w="0" w:type="dxa"/>
              <w:right w:w="108" w:type="dxa"/>
            </w:tcMar>
            <w:hideMark/>
          </w:tcPr>
          <w:p w:rsidR="009F254F" w:rsidRPr="00C83DF5" w:rsidRDefault="009F254F" w:rsidP="007E710C">
            <w:pPr>
              <w:rPr>
                <w:rFonts w:eastAsia="Calibri" w:cs="Tahoma"/>
                <w:szCs w:val="18"/>
              </w:rPr>
            </w:pPr>
            <w:r w:rsidRPr="00C83DF5">
              <w:rPr>
                <w:rFonts w:cs="Tahoma"/>
                <w:szCs w:val="18"/>
              </w:rPr>
              <w:t>Visual Studio Premium mit MSDN</w:t>
            </w:r>
          </w:p>
        </w:tc>
      </w:tr>
      <w:tr w:rsidR="003573CD" w:rsidRPr="00C83DF5" w:rsidTr="001E3F7D">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Windows</w:t>
            </w:r>
            <w:r w:rsidRPr="00C51D15">
              <w:rPr>
                <w:rFonts w:cs="Tahoma"/>
                <w:szCs w:val="18"/>
                <w:vertAlign w:val="superscript"/>
              </w:rPr>
              <w:t>®</w:t>
            </w:r>
            <w:r w:rsidRPr="00C83DF5">
              <w:rPr>
                <w:rFonts w:cs="Tahoma"/>
                <w:szCs w:val="18"/>
              </w:rPr>
              <w:t xml:space="preserve"> Server™ Standard</w:t>
            </w:r>
          </w:p>
        </w:tc>
        <w:tc>
          <w:tcPr>
            <w:tcW w:w="4230" w:type="dxa"/>
            <w:tcMar>
              <w:top w:w="0" w:type="dxa"/>
              <w:left w:w="108" w:type="dxa"/>
              <w:bottom w:w="0" w:type="dxa"/>
              <w:right w:w="108" w:type="dxa"/>
            </w:tcMar>
            <w:hideMark/>
          </w:tcPr>
          <w:p w:rsidR="003573CD" w:rsidRPr="00C83DF5" w:rsidRDefault="003573CD" w:rsidP="00554A35">
            <w:pPr>
              <w:rPr>
                <w:rFonts w:eastAsia="Calibri" w:cs="Tahoma"/>
                <w:szCs w:val="18"/>
              </w:rPr>
            </w:pPr>
            <w:r w:rsidRPr="00C83DF5">
              <w:rPr>
                <w:rFonts w:cs="Tahoma"/>
                <w:szCs w:val="18"/>
              </w:rPr>
              <w:t>Windows</w:t>
            </w:r>
            <w:r w:rsidRPr="00C51D15">
              <w:rPr>
                <w:rFonts w:cs="Tahoma"/>
                <w:szCs w:val="18"/>
                <w:vertAlign w:val="superscript"/>
              </w:rPr>
              <w:t>®</w:t>
            </w:r>
            <w:r w:rsidRPr="00C83DF5">
              <w:rPr>
                <w:rFonts w:cs="Tahoma"/>
                <w:szCs w:val="18"/>
              </w:rPr>
              <w:t xml:space="preserve"> Server™ Datacenter</w:t>
            </w:r>
          </w:p>
        </w:tc>
      </w:tr>
    </w:tbl>
    <w:p w:rsidR="003573CD" w:rsidRPr="00C83DF5" w:rsidRDefault="003573CD" w:rsidP="00AF1D88">
      <w:pPr>
        <w:pStyle w:val="AppendixBodyText"/>
        <w:rPr>
          <w:lang w:val="de-DE"/>
        </w:rPr>
      </w:pPr>
      <w:r w:rsidRPr="00C83DF5">
        <w:rPr>
          <w:rFonts w:ascii="Tahoma" w:hAnsi="Tahoma" w:cs="Tahoma"/>
          <w:b/>
          <w:i/>
          <w:sz w:val="16"/>
          <w:szCs w:val="16"/>
          <w:lang w:val="de-DE"/>
        </w:rPr>
        <w:t>*Anmerkung:</w:t>
      </w:r>
      <w:r w:rsidRPr="00C83DF5">
        <w:rPr>
          <w:rFonts w:ascii="Tahoma" w:hAnsi="Tahoma" w:cs="Tahoma"/>
          <w:i/>
          <w:sz w:val="16"/>
          <w:szCs w:val="16"/>
          <w:lang w:val="de-DE"/>
        </w:rPr>
        <w:t xml:space="preserve"> Änderungen an der Liste der Produkte, für die Step Up-Lizenzen angeboten werden, sind vorbehalten.</w:t>
      </w:r>
    </w:p>
    <w:p w:rsidR="003573CD" w:rsidRPr="00C83DF5" w:rsidRDefault="003573CD">
      <w:pPr>
        <w:rPr>
          <w:lang w:val="de-DE"/>
        </w:rPr>
      </w:pPr>
    </w:p>
    <w:p w:rsidR="00023FE7" w:rsidRPr="00C83DF5" w:rsidRDefault="00023FE7">
      <w:pPr>
        <w:pStyle w:val="AppendixBodyText"/>
        <w:ind w:left="1710" w:hanging="1260"/>
        <w:rPr>
          <w:lang w:val="de-DE"/>
        </w:rPr>
      </w:pPr>
      <w:r w:rsidRPr="00C83DF5">
        <w:rPr>
          <w:rFonts w:ascii="Tahoma" w:hAnsi="Tahoma" w:cs="Tahoma"/>
          <w:b/>
          <w:i/>
          <w:lang w:val="de-DE"/>
        </w:rPr>
        <w:t xml:space="preserve"> </w:t>
      </w:r>
    </w:p>
    <w:p w:rsidR="00023FE7" w:rsidRPr="008B3D04" w:rsidRDefault="00CA395A" w:rsidP="00B0065F">
      <w:pPr>
        <w:pStyle w:val="Heading1"/>
        <w:rPr>
          <w:lang w:val="de-DE"/>
        </w:rPr>
      </w:pPr>
      <w:r w:rsidRPr="008B3D04">
        <w:rPr>
          <w:lang w:val="de-DE"/>
        </w:rPr>
        <w:br w:type="page"/>
      </w:r>
      <w:bookmarkStart w:id="907" w:name="_Toc317591256"/>
      <w:bookmarkStart w:id="908" w:name="_Toc336338247"/>
      <w:bookmarkStart w:id="909" w:name="_Toc370983356"/>
      <w:r w:rsidRPr="008B3D04">
        <w:rPr>
          <w:lang w:val="de-DE"/>
        </w:rPr>
        <w:lastRenderedPageBreak/>
        <w:t>ABSCHNITT 8 – SERVICES</w:t>
      </w:r>
      <w:bookmarkEnd w:id="907"/>
      <w:bookmarkEnd w:id="908"/>
      <w:bookmarkEnd w:id="909"/>
    </w:p>
    <w:p w:rsidR="00023FE7" w:rsidRPr="008B3D04" w:rsidRDefault="00023FE7">
      <w:pPr>
        <w:rPr>
          <w:rFonts w:cs="Tahoma"/>
          <w:sz w:val="20"/>
          <w:szCs w:val="20"/>
          <w:lang w:val="de-DE"/>
        </w:rPr>
      </w:pPr>
    </w:p>
    <w:p w:rsidR="00DD7F8E" w:rsidRPr="00C83DF5" w:rsidRDefault="00DD7F8E" w:rsidP="0041456E">
      <w:pPr>
        <w:jc w:val="both"/>
        <w:rPr>
          <w:lang w:val="de-DE"/>
        </w:rPr>
      </w:pPr>
      <w:r w:rsidRPr="00C83DF5">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w:t>
      </w:r>
      <w:r w:rsidR="00E71F46" w:rsidRPr="00C83DF5">
        <w:rPr>
          <w:rFonts w:eastAsia="Times New Roman" w:cs="Tahoma"/>
          <w:szCs w:val="20"/>
          <w:lang w:val="de-DE"/>
        </w:rPr>
        <w:t xml:space="preserve"> </w:t>
      </w:r>
      <w:r w:rsidRPr="00C83DF5">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E71F46" w:rsidRPr="00C83DF5">
        <w:rPr>
          <w:rFonts w:cs="Tahoma"/>
          <w:color w:val="000000"/>
          <w:szCs w:val="18"/>
          <w:lang w:val="de-DE"/>
        </w:rPr>
        <w:t xml:space="preserve"> </w:t>
      </w:r>
      <w:r w:rsidRPr="00C83DF5">
        <w:rPr>
          <w:rFonts w:eastAsia="Times New Roman" w:cs="Tahoma"/>
          <w:szCs w:val="20"/>
          <w:lang w:val="de-DE"/>
        </w:rPr>
        <w:t>Falls der Kunde keine aktuelle Rahmen-Servicevereinbarung mit Microsoft</w:t>
      </w:r>
      <w:r w:rsidR="0041456E">
        <w:rPr>
          <w:rFonts w:eastAsia="Times New Roman" w:cs="Tahoma"/>
          <w:szCs w:val="20"/>
          <w:lang w:val="de-DE"/>
        </w:rPr>
        <w:t> </w:t>
      </w:r>
      <w:r w:rsidRPr="00C83DF5">
        <w:rPr>
          <w:rFonts w:eastAsia="Times New Roman" w:cs="Tahoma"/>
          <w:szCs w:val="20"/>
          <w:lang w:val="de-DE"/>
        </w:rPr>
        <w:t>besitzt, gelten alle Zusätzlichen Servicebestimmungen im Abschnitt unten.</w:t>
      </w:r>
    </w:p>
    <w:p w:rsidR="00DD7F8E" w:rsidRPr="0041456E" w:rsidRDefault="00DD7F8E" w:rsidP="00607FE8">
      <w:pPr>
        <w:jc w:val="both"/>
        <w:rPr>
          <w:rFonts w:cs="Tahoma"/>
          <w:color w:val="000000"/>
          <w:szCs w:val="18"/>
          <w:lang w:val="de-DE"/>
        </w:rPr>
      </w:pPr>
    </w:p>
    <w:p w:rsidR="00DD7F8E" w:rsidRPr="00C83DF5" w:rsidRDefault="00DD7F8E" w:rsidP="00607FE8">
      <w:pPr>
        <w:spacing w:after="75"/>
        <w:rPr>
          <w:lang w:val="de-DE"/>
        </w:rPr>
      </w:pPr>
      <w:r w:rsidRPr="00C83DF5">
        <w:rPr>
          <w:rFonts w:eastAsia="Times New Roman" w:cs="Tahoma"/>
          <w:szCs w:val="20"/>
          <w:lang w:val="de-DE"/>
        </w:rPr>
        <w:t xml:space="preserve">Die Abschnitte unten enthalten eine detaillierte Beschreibung der Services, die Kunden erwerben können. </w:t>
      </w:r>
    </w:p>
    <w:p w:rsidR="00DD7F8E" w:rsidRPr="00C83DF5" w:rsidRDefault="00DD7F8E" w:rsidP="003B7275">
      <w:pPr>
        <w:spacing w:after="75"/>
        <w:rPr>
          <w:lang w:val="de-DE"/>
        </w:rPr>
      </w:pPr>
      <w:r w:rsidRPr="00C83DF5">
        <w:rPr>
          <w:rFonts w:eastAsia="Times New Roman" w:cs="Tahoma"/>
          <w:szCs w:val="20"/>
          <w:lang w:val="de-DE"/>
        </w:rPr>
        <w:t>Die Verfügbarkeit der folgenden Angebote variiert je nach Region und Volumenlizenzprogramm. Einige Angebote sind</w:t>
      </w:r>
      <w:r w:rsidR="0041456E">
        <w:rPr>
          <w:rFonts w:eastAsia="Times New Roman" w:cs="Tahoma"/>
          <w:szCs w:val="20"/>
          <w:lang w:val="de-DE"/>
        </w:rPr>
        <w:t> </w:t>
      </w:r>
      <w:r w:rsidRPr="00C83DF5">
        <w:rPr>
          <w:rFonts w:eastAsia="Times New Roman" w:cs="Tahoma"/>
          <w:szCs w:val="20"/>
          <w:lang w:val="de-DE"/>
        </w:rPr>
        <w:t>möglicherweise für Verwaltungseinrichtungen nicht verfügbar, wobei bestimmte eingeschränkte Ausnahmen auf</w:t>
      </w:r>
      <w:r w:rsidR="0041456E">
        <w:rPr>
          <w:rFonts w:eastAsia="Times New Roman" w:cs="Tahoma"/>
          <w:szCs w:val="20"/>
          <w:lang w:val="de-DE"/>
        </w:rPr>
        <w:t> </w:t>
      </w:r>
      <w:r w:rsidRPr="00C83DF5">
        <w:rPr>
          <w:rFonts w:eastAsia="Times New Roman" w:cs="Tahoma"/>
          <w:szCs w:val="20"/>
          <w:lang w:val="de-DE"/>
        </w:rPr>
        <w:t>Pilotbasis gelten. Für Informationen bezüglich der Verfügbarkeit eines bestimmten Angebots sollten sich Kunden</w:t>
      </w:r>
      <w:r w:rsidR="003B7275">
        <w:rPr>
          <w:rFonts w:eastAsia="Times New Roman" w:cs="Tahoma"/>
          <w:szCs w:val="20"/>
          <w:lang w:val="de-DE"/>
        </w:rPr>
        <w:t> </w:t>
      </w:r>
      <w:r w:rsidRPr="00C83DF5">
        <w:rPr>
          <w:rFonts w:eastAsia="Times New Roman" w:cs="Tahoma"/>
          <w:szCs w:val="20"/>
          <w:lang w:val="de-DE"/>
        </w:rPr>
        <w:t>an ihren Handelspartner oder Microsoft-Kundenbetreuer wenden.</w:t>
      </w:r>
    </w:p>
    <w:p w:rsidR="00F42FB8" w:rsidRPr="008B3D04" w:rsidRDefault="00F42FB8" w:rsidP="00DD7F8E">
      <w:pPr>
        <w:rPr>
          <w:b/>
          <w:szCs w:val="24"/>
          <w:lang w:val="de-DE"/>
        </w:rPr>
      </w:pPr>
    </w:p>
    <w:p w:rsidR="00DD7F8E" w:rsidRPr="00C83DF5" w:rsidRDefault="00DD7F8E" w:rsidP="00DD7F8E">
      <w:r w:rsidRPr="00C83DF5">
        <w:rPr>
          <w:b/>
          <w:sz w:val="24"/>
          <w:szCs w:val="24"/>
        </w:rPr>
        <w:t>Microsoft Premier-Supportangebote</w:t>
      </w:r>
    </w:p>
    <w:p w:rsidR="00DB2D1E" w:rsidRPr="0041456E" w:rsidRDefault="00DB2D1E" w:rsidP="00DC0853">
      <w:pPr>
        <w:rPr>
          <w:rFonts w:cs="Tahoma"/>
          <w:color w:val="000000"/>
          <w:szCs w:val="18"/>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52"/>
        <w:gridCol w:w="1404"/>
        <w:gridCol w:w="1858"/>
        <w:gridCol w:w="1675"/>
        <w:gridCol w:w="1579"/>
      </w:tblGrid>
      <w:tr w:rsidR="00DB2D1E" w:rsidRPr="00C83DF5" w:rsidTr="009C7BBE">
        <w:tc>
          <w:tcPr>
            <w:tcW w:w="2952" w:type="dxa"/>
            <w:shd w:val="clear" w:color="auto" w:fill="FABF8F"/>
            <w:vAlign w:val="center"/>
          </w:tcPr>
          <w:p w:rsidR="00DB2D1E" w:rsidRPr="00C83DF5" w:rsidRDefault="00DB2D1E" w:rsidP="00DE73D4">
            <w:pPr>
              <w:jc w:val="center"/>
              <w:rPr>
                <w:rFonts w:cs="Tahoma"/>
                <w:color w:val="000000"/>
                <w:szCs w:val="18"/>
              </w:rPr>
            </w:pPr>
            <w:r w:rsidRPr="00C83DF5">
              <w:rPr>
                <w:rFonts w:cs="Tahoma"/>
                <w:b/>
                <w:bCs/>
                <w:color w:val="000000"/>
                <w:sz w:val="20"/>
                <w:szCs w:val="18"/>
              </w:rPr>
              <w:t xml:space="preserve">Bereich </w:t>
            </w:r>
            <w:r w:rsidRPr="00C83DF5">
              <w:rPr>
                <w:rFonts w:cs="Tahoma"/>
                <w:b/>
                <w:bCs/>
                <w:color w:val="000000"/>
                <w:sz w:val="20"/>
                <w:szCs w:val="18"/>
                <w:vertAlign w:val="superscript"/>
              </w:rPr>
              <w:t>1</w:t>
            </w:r>
          </w:p>
        </w:tc>
        <w:tc>
          <w:tcPr>
            <w:tcW w:w="1404" w:type="dxa"/>
            <w:shd w:val="clear" w:color="auto" w:fill="FABF8F"/>
            <w:vAlign w:val="center"/>
          </w:tcPr>
          <w:p w:rsidR="00DB2D1E" w:rsidRPr="00C83DF5" w:rsidRDefault="00DB2D1E" w:rsidP="00DE73D4">
            <w:pPr>
              <w:jc w:val="center"/>
              <w:rPr>
                <w:rFonts w:cs="Tahoma"/>
                <w:color w:val="000000"/>
                <w:sz w:val="20"/>
                <w:szCs w:val="20"/>
              </w:rPr>
            </w:pPr>
            <w:r w:rsidRPr="00C83DF5">
              <w:rPr>
                <w:rFonts w:cs="Tahoma"/>
                <w:b/>
                <w:bCs/>
                <w:color w:val="000000"/>
                <w:sz w:val="20"/>
                <w:szCs w:val="20"/>
              </w:rPr>
              <w:t>Premier Core</w:t>
            </w:r>
          </w:p>
        </w:tc>
        <w:tc>
          <w:tcPr>
            <w:tcW w:w="1858" w:type="dxa"/>
            <w:shd w:val="clear" w:color="auto" w:fill="FABF8F"/>
          </w:tcPr>
          <w:p w:rsidR="00DB2D1E" w:rsidRPr="00C83DF5" w:rsidRDefault="00DB2D1E" w:rsidP="00DE73D4">
            <w:pPr>
              <w:jc w:val="center"/>
              <w:rPr>
                <w:rFonts w:cs="Tahoma"/>
                <w:b/>
                <w:bCs/>
                <w:color w:val="000000"/>
                <w:sz w:val="20"/>
                <w:szCs w:val="18"/>
              </w:rPr>
            </w:pPr>
            <w:r w:rsidRPr="00C83DF5">
              <w:rPr>
                <w:rFonts w:cs="Tahoma"/>
                <w:b/>
                <w:bCs/>
                <w:color w:val="000000"/>
                <w:sz w:val="20"/>
                <w:szCs w:val="18"/>
              </w:rPr>
              <w:t>Premier Foundation</w:t>
            </w:r>
          </w:p>
        </w:tc>
        <w:tc>
          <w:tcPr>
            <w:tcW w:w="1675" w:type="dxa"/>
            <w:shd w:val="clear" w:color="auto" w:fill="FABF8F"/>
            <w:vAlign w:val="center"/>
          </w:tcPr>
          <w:p w:rsidR="00DB2D1E" w:rsidRPr="00C83DF5" w:rsidRDefault="00DB2D1E" w:rsidP="00DE73D4">
            <w:pPr>
              <w:jc w:val="center"/>
              <w:rPr>
                <w:rFonts w:cs="Tahoma"/>
                <w:color w:val="000000"/>
                <w:szCs w:val="18"/>
              </w:rPr>
            </w:pPr>
            <w:r w:rsidRPr="00C83DF5">
              <w:rPr>
                <w:rFonts w:cs="Tahoma"/>
                <w:b/>
                <w:bCs/>
                <w:color w:val="000000"/>
                <w:sz w:val="20"/>
                <w:szCs w:val="18"/>
              </w:rPr>
              <w:t>Premier Standard</w:t>
            </w:r>
          </w:p>
        </w:tc>
        <w:tc>
          <w:tcPr>
            <w:tcW w:w="1579" w:type="dxa"/>
            <w:shd w:val="clear" w:color="auto" w:fill="FABF8F"/>
            <w:vAlign w:val="center"/>
          </w:tcPr>
          <w:p w:rsidR="00DB2D1E" w:rsidRPr="00C83DF5" w:rsidRDefault="00DB2D1E" w:rsidP="00DE73D4">
            <w:pPr>
              <w:jc w:val="center"/>
              <w:rPr>
                <w:rFonts w:cs="Tahoma"/>
                <w:color w:val="000000"/>
                <w:szCs w:val="18"/>
              </w:rPr>
            </w:pPr>
            <w:r w:rsidRPr="00C83DF5">
              <w:rPr>
                <w:rFonts w:cs="Tahoma"/>
                <w:b/>
                <w:bCs/>
                <w:color w:val="000000"/>
                <w:sz w:val="20"/>
                <w:szCs w:val="18"/>
              </w:rPr>
              <w:t>Premier Plus</w:t>
            </w:r>
          </w:p>
        </w:tc>
      </w:tr>
      <w:tr w:rsidR="00DB2D1E" w:rsidRPr="00C83DF5" w:rsidTr="009C7BBE">
        <w:tc>
          <w:tcPr>
            <w:tcW w:w="2952" w:type="dxa"/>
            <w:vAlign w:val="center"/>
          </w:tcPr>
          <w:p w:rsidR="00DB2D1E" w:rsidRPr="00C83DF5" w:rsidRDefault="00DB2D1E" w:rsidP="006D4BEA">
            <w:pPr>
              <w:spacing w:after="20"/>
              <w:rPr>
                <w:rFonts w:cs="Tahoma"/>
                <w:color w:val="000000"/>
                <w:szCs w:val="18"/>
              </w:rPr>
            </w:pPr>
            <w:r w:rsidRPr="00C83DF5">
              <w:rPr>
                <w:rFonts w:cs="Tahoma"/>
                <w:color w:val="000000"/>
                <w:szCs w:val="18"/>
              </w:rPr>
              <w:t xml:space="preserve">Support Account Management </w:t>
            </w:r>
          </w:p>
        </w:tc>
        <w:tc>
          <w:tcPr>
            <w:tcW w:w="1404"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858"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675"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c>
          <w:tcPr>
            <w:tcW w:w="1579"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r>
      <w:tr w:rsidR="00DB2D1E" w:rsidRPr="00C83DF5" w:rsidTr="009C7BBE">
        <w:tc>
          <w:tcPr>
            <w:tcW w:w="2952" w:type="dxa"/>
            <w:vAlign w:val="center"/>
          </w:tcPr>
          <w:p w:rsidR="00DB2D1E" w:rsidRPr="00C83DF5" w:rsidRDefault="00DB2D1E" w:rsidP="006D4BEA">
            <w:pPr>
              <w:spacing w:after="20"/>
              <w:rPr>
                <w:rFonts w:cs="Tahoma"/>
                <w:color w:val="000000"/>
                <w:szCs w:val="18"/>
              </w:rPr>
            </w:pPr>
            <w:r w:rsidRPr="00C83DF5">
              <w:rPr>
                <w:rFonts w:cs="Tahoma"/>
                <w:color w:val="000000"/>
                <w:szCs w:val="18"/>
              </w:rPr>
              <w:t>Accountprofilerstellung &amp;</w:t>
            </w:r>
            <w:r w:rsidR="006D4BEA">
              <w:rPr>
                <w:rFonts w:cs="Tahoma"/>
                <w:color w:val="000000"/>
                <w:szCs w:val="18"/>
              </w:rPr>
              <w:t> </w:t>
            </w:r>
            <w:r w:rsidRPr="00C83DF5">
              <w:rPr>
                <w:rFonts w:cs="Tahoma"/>
                <w:color w:val="000000"/>
                <w:szCs w:val="18"/>
              </w:rPr>
              <w:t>Berichterstattung</w:t>
            </w:r>
          </w:p>
        </w:tc>
        <w:tc>
          <w:tcPr>
            <w:tcW w:w="1404"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Monatlich</w:t>
            </w:r>
          </w:p>
        </w:tc>
        <w:tc>
          <w:tcPr>
            <w:tcW w:w="1858"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Monatlich</w:t>
            </w:r>
          </w:p>
        </w:tc>
        <w:tc>
          <w:tcPr>
            <w:tcW w:w="1675"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Monatlich</w:t>
            </w:r>
          </w:p>
        </w:tc>
        <w:tc>
          <w:tcPr>
            <w:tcW w:w="1579"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Monatlich</w:t>
            </w:r>
          </w:p>
        </w:tc>
      </w:tr>
      <w:tr w:rsidR="00DB2D1E" w:rsidRPr="00C83DF5" w:rsidTr="009C7BBE">
        <w:tc>
          <w:tcPr>
            <w:tcW w:w="2952" w:type="dxa"/>
            <w:vAlign w:val="center"/>
          </w:tcPr>
          <w:p w:rsidR="00DB2D1E" w:rsidRPr="00C83DF5" w:rsidRDefault="00DB2D1E" w:rsidP="006D4BEA">
            <w:pPr>
              <w:spacing w:after="20"/>
              <w:rPr>
                <w:rFonts w:cs="Tahoma"/>
                <w:color w:val="000000"/>
                <w:szCs w:val="18"/>
              </w:rPr>
            </w:pPr>
            <w:r w:rsidRPr="00C83DF5">
              <w:rPr>
                <w:rFonts w:cs="Tahoma"/>
                <w:color w:val="000000"/>
                <w:szCs w:val="18"/>
              </w:rPr>
              <w:t>Supportunterstützung (jährlich zugeteilte Stunden)</w:t>
            </w:r>
          </w:p>
        </w:tc>
        <w:tc>
          <w:tcPr>
            <w:tcW w:w="1404" w:type="dxa"/>
            <w:vAlign w:val="center"/>
          </w:tcPr>
          <w:p w:rsidR="00DB2D1E" w:rsidRPr="00C83DF5" w:rsidRDefault="00DB2D1E" w:rsidP="009C7BBE">
            <w:pPr>
              <w:spacing w:after="20"/>
              <w:jc w:val="center"/>
              <w:rPr>
                <w:rFonts w:cs="Tahoma"/>
                <w:color w:val="000000"/>
                <w:szCs w:val="18"/>
              </w:rPr>
            </w:pPr>
            <w:r w:rsidRPr="00C83DF5">
              <w:rPr>
                <w:rFonts w:cs="Tahoma"/>
                <w:color w:val="000000"/>
                <w:szCs w:val="18"/>
              </w:rPr>
              <w:t>Bis zu 10</w:t>
            </w:r>
            <w:r w:rsidR="009C7BBE">
              <w:rPr>
                <w:rFonts w:cs="Tahoma"/>
                <w:color w:val="000000"/>
                <w:szCs w:val="18"/>
              </w:rPr>
              <w:t> </w:t>
            </w:r>
            <w:r w:rsidRPr="00C83DF5">
              <w:rPr>
                <w:rFonts w:cs="Tahoma"/>
                <w:color w:val="000000"/>
                <w:szCs w:val="18"/>
              </w:rPr>
              <w:t>Stunden</w:t>
            </w:r>
          </w:p>
        </w:tc>
        <w:tc>
          <w:tcPr>
            <w:tcW w:w="1858" w:type="dxa"/>
          </w:tcPr>
          <w:p w:rsidR="00DB2D1E" w:rsidRPr="00C83DF5" w:rsidRDefault="00DB2D1E" w:rsidP="006D4BEA">
            <w:pPr>
              <w:spacing w:after="20"/>
              <w:jc w:val="center"/>
              <w:rPr>
                <w:rFonts w:cs="Tahoma"/>
                <w:color w:val="000000"/>
                <w:szCs w:val="18"/>
                <w:lang w:val="de-DE"/>
              </w:rPr>
            </w:pPr>
            <w:r w:rsidRPr="00C83DF5">
              <w:rPr>
                <w:rFonts w:cs="Tahoma"/>
                <w:color w:val="000000"/>
                <w:szCs w:val="18"/>
                <w:lang w:val="de-DE"/>
              </w:rPr>
              <w:t>Bis zu 10 Stunden</w:t>
            </w:r>
            <w:r w:rsidRPr="00C83DF5">
              <w:rPr>
                <w:rFonts w:cs="Tahoma"/>
                <w:color w:val="000000"/>
                <w:szCs w:val="18"/>
                <w:lang w:val="de-DE"/>
              </w:rPr>
              <w:br/>
              <w:t>+ 1 Systemdiagnose</w:t>
            </w:r>
            <w:r w:rsidRPr="00C83DF5">
              <w:rPr>
                <w:rFonts w:cs="Tahoma"/>
                <w:color w:val="000000"/>
                <w:szCs w:val="18"/>
                <w:lang w:val="de-DE"/>
              </w:rPr>
              <w:br/>
              <w:t>+ 1 Workshop</w:t>
            </w:r>
          </w:p>
        </w:tc>
        <w:tc>
          <w:tcPr>
            <w:tcW w:w="1675" w:type="dxa"/>
            <w:vAlign w:val="center"/>
          </w:tcPr>
          <w:p w:rsidR="00DB2D1E" w:rsidRPr="00C83DF5" w:rsidRDefault="00DB2D1E" w:rsidP="009C7BBE">
            <w:pPr>
              <w:spacing w:after="20"/>
              <w:jc w:val="center"/>
              <w:rPr>
                <w:rFonts w:cs="Tahoma"/>
                <w:color w:val="000000"/>
                <w:szCs w:val="18"/>
              </w:rPr>
            </w:pPr>
            <w:r w:rsidRPr="00C83DF5">
              <w:rPr>
                <w:rFonts w:cs="Tahoma"/>
                <w:color w:val="000000"/>
                <w:szCs w:val="18"/>
              </w:rPr>
              <w:t>Bis zu 120</w:t>
            </w:r>
            <w:r w:rsidR="009C7BBE">
              <w:rPr>
                <w:rFonts w:cs="Tahoma"/>
                <w:color w:val="000000"/>
                <w:szCs w:val="18"/>
              </w:rPr>
              <w:t> </w:t>
            </w:r>
            <w:r w:rsidRPr="00C83DF5">
              <w:rPr>
                <w:rFonts w:cs="Tahoma"/>
                <w:color w:val="000000"/>
                <w:szCs w:val="18"/>
              </w:rPr>
              <w:t>Stunden</w:t>
            </w:r>
          </w:p>
        </w:tc>
        <w:tc>
          <w:tcPr>
            <w:tcW w:w="1579" w:type="dxa"/>
            <w:vAlign w:val="center"/>
          </w:tcPr>
          <w:p w:rsidR="00DB2D1E" w:rsidRPr="00C83DF5" w:rsidRDefault="00DB2D1E" w:rsidP="009C7BBE">
            <w:pPr>
              <w:spacing w:after="20"/>
              <w:jc w:val="center"/>
              <w:rPr>
                <w:rFonts w:cs="Tahoma"/>
                <w:color w:val="000000"/>
                <w:szCs w:val="18"/>
              </w:rPr>
            </w:pPr>
            <w:r w:rsidRPr="00C83DF5">
              <w:rPr>
                <w:rFonts w:cs="Tahoma"/>
                <w:color w:val="000000"/>
                <w:szCs w:val="18"/>
              </w:rPr>
              <w:t>Bis zu 160</w:t>
            </w:r>
            <w:r w:rsidR="009C7BBE">
              <w:rPr>
                <w:rFonts w:cs="Tahoma"/>
                <w:color w:val="000000"/>
                <w:szCs w:val="18"/>
              </w:rPr>
              <w:t> </w:t>
            </w:r>
            <w:r w:rsidRPr="00C83DF5">
              <w:rPr>
                <w:rFonts w:cs="Tahoma"/>
                <w:color w:val="000000"/>
                <w:szCs w:val="18"/>
              </w:rPr>
              <w:t>Stunden</w:t>
            </w:r>
          </w:p>
        </w:tc>
      </w:tr>
      <w:tr w:rsidR="00DB2D1E" w:rsidRPr="00C83DF5" w:rsidTr="009C7BBE">
        <w:tc>
          <w:tcPr>
            <w:tcW w:w="2952" w:type="dxa"/>
            <w:vAlign w:val="center"/>
          </w:tcPr>
          <w:p w:rsidR="00DB2D1E" w:rsidRPr="00C83DF5" w:rsidRDefault="00DB2D1E" w:rsidP="006D4BEA">
            <w:pPr>
              <w:spacing w:after="20"/>
              <w:rPr>
                <w:rFonts w:cs="Tahoma"/>
                <w:color w:val="000000"/>
                <w:szCs w:val="18"/>
              </w:rPr>
            </w:pPr>
            <w:r w:rsidRPr="00C83DF5">
              <w:rPr>
                <w:rFonts w:cs="Tahoma"/>
                <w:color w:val="000000"/>
                <w:szCs w:val="18"/>
              </w:rPr>
              <w:t>Problembehebungssupport (jährlich zugeteilt)</w:t>
            </w:r>
          </w:p>
        </w:tc>
        <w:tc>
          <w:tcPr>
            <w:tcW w:w="1404" w:type="dxa"/>
            <w:vAlign w:val="center"/>
          </w:tcPr>
          <w:p w:rsidR="00DB2D1E" w:rsidRPr="00C83DF5" w:rsidRDefault="00DB2D1E" w:rsidP="009C7BBE">
            <w:pPr>
              <w:spacing w:after="20"/>
              <w:jc w:val="center"/>
              <w:rPr>
                <w:rFonts w:cs="Tahoma"/>
                <w:color w:val="000000"/>
                <w:szCs w:val="18"/>
              </w:rPr>
            </w:pPr>
            <w:r w:rsidRPr="00C83DF5">
              <w:rPr>
                <w:rFonts w:cs="Tahoma"/>
                <w:color w:val="000000"/>
                <w:szCs w:val="18"/>
              </w:rPr>
              <w:t>Bis zu 40</w:t>
            </w:r>
            <w:r w:rsidR="009C7BBE">
              <w:rPr>
                <w:rFonts w:cs="Tahoma"/>
                <w:color w:val="000000"/>
                <w:szCs w:val="18"/>
              </w:rPr>
              <w:t> </w:t>
            </w:r>
            <w:r w:rsidRPr="00C83DF5">
              <w:rPr>
                <w:rFonts w:cs="Tahoma"/>
                <w:color w:val="000000"/>
                <w:szCs w:val="18"/>
              </w:rPr>
              <w:t>Stunden</w:t>
            </w:r>
          </w:p>
        </w:tc>
        <w:tc>
          <w:tcPr>
            <w:tcW w:w="1858" w:type="dxa"/>
          </w:tcPr>
          <w:p w:rsidR="00DB2D1E" w:rsidRPr="00C83DF5" w:rsidRDefault="00DB2D1E" w:rsidP="009C7BBE">
            <w:pPr>
              <w:spacing w:before="120" w:after="20"/>
              <w:jc w:val="center"/>
              <w:rPr>
                <w:rFonts w:cs="Tahoma"/>
                <w:color w:val="000000"/>
                <w:szCs w:val="18"/>
              </w:rPr>
            </w:pPr>
            <w:r w:rsidRPr="00C83DF5">
              <w:rPr>
                <w:rFonts w:cs="Tahoma"/>
                <w:color w:val="000000"/>
                <w:szCs w:val="18"/>
              </w:rPr>
              <w:t>Bis zu 30</w:t>
            </w:r>
            <w:r w:rsidR="009C7BBE">
              <w:rPr>
                <w:rFonts w:cs="Tahoma"/>
                <w:color w:val="000000"/>
                <w:szCs w:val="18"/>
              </w:rPr>
              <w:t> </w:t>
            </w:r>
            <w:r w:rsidRPr="00C83DF5">
              <w:rPr>
                <w:rFonts w:cs="Tahoma"/>
                <w:color w:val="000000"/>
                <w:szCs w:val="18"/>
              </w:rPr>
              <w:t>Stunden</w:t>
            </w:r>
          </w:p>
        </w:tc>
        <w:tc>
          <w:tcPr>
            <w:tcW w:w="1675"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Bis zu 80 Stunden</w:t>
            </w:r>
          </w:p>
        </w:tc>
        <w:tc>
          <w:tcPr>
            <w:tcW w:w="1579" w:type="dxa"/>
            <w:vAlign w:val="center"/>
          </w:tcPr>
          <w:p w:rsidR="00DB2D1E" w:rsidRPr="00C83DF5" w:rsidRDefault="00DB2D1E" w:rsidP="009C7BBE">
            <w:pPr>
              <w:spacing w:after="20"/>
              <w:jc w:val="center"/>
              <w:rPr>
                <w:rFonts w:cs="Tahoma"/>
                <w:color w:val="000000"/>
                <w:szCs w:val="18"/>
              </w:rPr>
            </w:pPr>
            <w:r w:rsidRPr="00C83DF5">
              <w:rPr>
                <w:rFonts w:cs="Tahoma"/>
                <w:color w:val="000000"/>
                <w:szCs w:val="18"/>
              </w:rPr>
              <w:t>Bis zu 140</w:t>
            </w:r>
            <w:r w:rsidR="009C7BBE">
              <w:rPr>
                <w:rFonts w:cs="Tahoma"/>
                <w:color w:val="000000"/>
                <w:szCs w:val="18"/>
              </w:rPr>
              <w:t> </w:t>
            </w:r>
            <w:r w:rsidRPr="00C83DF5">
              <w:rPr>
                <w:rFonts w:cs="Tahoma"/>
                <w:color w:val="000000"/>
                <w:szCs w:val="18"/>
              </w:rPr>
              <w:t>Stunden</w:t>
            </w:r>
          </w:p>
        </w:tc>
      </w:tr>
      <w:tr w:rsidR="00DB2D1E" w:rsidRPr="00C83DF5" w:rsidTr="009C7BBE">
        <w:tc>
          <w:tcPr>
            <w:tcW w:w="2952" w:type="dxa"/>
            <w:vAlign w:val="center"/>
          </w:tcPr>
          <w:p w:rsidR="00DB2D1E" w:rsidRPr="00C83DF5" w:rsidRDefault="00DB2D1E" w:rsidP="006D4BEA">
            <w:pPr>
              <w:spacing w:after="20"/>
              <w:rPr>
                <w:rFonts w:cs="Tahoma"/>
                <w:color w:val="000000"/>
                <w:szCs w:val="18"/>
                <w:lang w:val="de-DE"/>
              </w:rPr>
            </w:pPr>
            <w:r w:rsidRPr="00C83DF5">
              <w:rPr>
                <w:rFonts w:cs="Tahoma"/>
                <w:color w:val="000000"/>
                <w:szCs w:val="18"/>
                <w:lang w:val="de-DE"/>
              </w:rPr>
              <w:t>Eskalationsverwaltung für kritische Situationen rund um die Uhr (Schweregrad 1)</w:t>
            </w:r>
          </w:p>
        </w:tc>
        <w:tc>
          <w:tcPr>
            <w:tcW w:w="1404"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858"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675"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c>
          <w:tcPr>
            <w:tcW w:w="1579"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r>
      <w:tr w:rsidR="00DB2D1E" w:rsidRPr="00C83DF5" w:rsidTr="009C7BBE">
        <w:tc>
          <w:tcPr>
            <w:tcW w:w="2952" w:type="dxa"/>
            <w:vAlign w:val="center"/>
          </w:tcPr>
          <w:p w:rsidR="00DB2D1E" w:rsidRPr="00C83DF5" w:rsidRDefault="00DB2D1E" w:rsidP="006D4BEA">
            <w:pPr>
              <w:spacing w:after="20"/>
              <w:rPr>
                <w:rFonts w:cs="Tahoma"/>
                <w:color w:val="000000"/>
                <w:szCs w:val="18"/>
              </w:rPr>
            </w:pPr>
            <w:r w:rsidRPr="00C83DF5">
              <w:rPr>
                <w:rFonts w:cs="Tahoma"/>
                <w:color w:val="000000"/>
                <w:szCs w:val="18"/>
              </w:rPr>
              <w:t>Schneller Support vor Ort</w:t>
            </w:r>
          </w:p>
        </w:tc>
        <w:tc>
          <w:tcPr>
            <w:tcW w:w="1404"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858"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675"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c>
          <w:tcPr>
            <w:tcW w:w="1579"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r>
      <w:tr w:rsidR="00DB2D1E" w:rsidRPr="00C83DF5" w:rsidTr="009C7BBE">
        <w:tc>
          <w:tcPr>
            <w:tcW w:w="2952" w:type="dxa"/>
            <w:vAlign w:val="center"/>
          </w:tcPr>
          <w:p w:rsidR="00DB2D1E" w:rsidRPr="00C83DF5" w:rsidRDefault="00DB2D1E" w:rsidP="006D4BEA">
            <w:pPr>
              <w:spacing w:after="20"/>
              <w:rPr>
                <w:rFonts w:cs="Tahoma"/>
                <w:color w:val="000000"/>
                <w:szCs w:val="18"/>
              </w:rPr>
            </w:pPr>
            <w:r w:rsidRPr="00C83DF5">
              <w:rPr>
                <w:rFonts w:cs="Tahoma"/>
                <w:color w:val="000000"/>
                <w:szCs w:val="18"/>
              </w:rPr>
              <w:t>Proaktive Informationsdienste</w:t>
            </w:r>
          </w:p>
        </w:tc>
        <w:tc>
          <w:tcPr>
            <w:tcW w:w="1404"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858"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675"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c>
          <w:tcPr>
            <w:tcW w:w="1579"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r>
      <w:tr w:rsidR="00DB2D1E" w:rsidRPr="00C83DF5" w:rsidTr="009C7BBE">
        <w:tc>
          <w:tcPr>
            <w:tcW w:w="2952" w:type="dxa"/>
            <w:vAlign w:val="center"/>
          </w:tcPr>
          <w:p w:rsidR="00DB2D1E" w:rsidRPr="00C83DF5" w:rsidRDefault="00DB2D1E" w:rsidP="006D4BEA">
            <w:pPr>
              <w:spacing w:after="20"/>
              <w:rPr>
                <w:rFonts w:cs="Tahoma"/>
                <w:color w:val="000000"/>
                <w:szCs w:val="18"/>
              </w:rPr>
            </w:pPr>
            <w:r w:rsidRPr="00C83DF5">
              <w:rPr>
                <w:rFonts w:cs="Tahoma"/>
                <w:color w:val="000000"/>
                <w:szCs w:val="18"/>
              </w:rPr>
              <w:t>Microsoft Premier Online</w:t>
            </w:r>
          </w:p>
        </w:tc>
        <w:tc>
          <w:tcPr>
            <w:tcW w:w="1404"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858" w:type="dxa"/>
            <w:vAlign w:val="center"/>
          </w:tcPr>
          <w:p w:rsidR="00DB2D1E" w:rsidRPr="00C83DF5" w:rsidRDefault="00DB2D1E" w:rsidP="006D4BEA">
            <w:pPr>
              <w:spacing w:after="20"/>
              <w:jc w:val="center"/>
              <w:rPr>
                <w:rFonts w:cs="Tahoma"/>
                <w:color w:val="000000"/>
                <w:szCs w:val="18"/>
              </w:rPr>
            </w:pPr>
            <w:r w:rsidRPr="00C83DF5">
              <w:rPr>
                <w:rFonts w:ascii="MS UI Gothic" w:eastAsia="MS UI Gothic" w:hAnsi="MS UI Gothic" w:cs="MS UI Gothic"/>
                <w:color w:val="000000"/>
                <w:szCs w:val="18"/>
              </w:rPr>
              <w:t>✓</w:t>
            </w:r>
          </w:p>
        </w:tc>
        <w:tc>
          <w:tcPr>
            <w:tcW w:w="1675"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c>
          <w:tcPr>
            <w:tcW w:w="1579" w:type="dxa"/>
            <w:vAlign w:val="center"/>
          </w:tcPr>
          <w:p w:rsidR="00DB2D1E" w:rsidRPr="00C83DF5" w:rsidRDefault="00DB2D1E" w:rsidP="006D4BEA">
            <w:pPr>
              <w:spacing w:after="20"/>
              <w:jc w:val="center"/>
              <w:rPr>
                <w:rFonts w:cs="Tahoma"/>
                <w:color w:val="000000"/>
                <w:szCs w:val="18"/>
              </w:rPr>
            </w:pPr>
            <w:r w:rsidRPr="00C83DF5">
              <w:rPr>
                <w:rFonts w:cs="Tahoma"/>
                <w:color w:val="000000"/>
                <w:szCs w:val="18"/>
              </w:rPr>
              <w:t>√</w:t>
            </w:r>
          </w:p>
        </w:tc>
      </w:tr>
      <w:tr w:rsidR="00DB2D1E" w:rsidRPr="00C83DF5" w:rsidTr="009C7BBE">
        <w:tc>
          <w:tcPr>
            <w:tcW w:w="2952" w:type="dxa"/>
            <w:vAlign w:val="center"/>
          </w:tcPr>
          <w:p w:rsidR="00DB2D1E" w:rsidRPr="00C83DF5" w:rsidRDefault="00DB2D1E" w:rsidP="006D4BEA">
            <w:pPr>
              <w:spacing w:after="20"/>
              <w:rPr>
                <w:rFonts w:cs="Tahoma"/>
                <w:color w:val="000000"/>
                <w:szCs w:val="18"/>
              </w:rPr>
            </w:pPr>
            <w:r w:rsidRPr="00C83DF5">
              <w:rPr>
                <w:rFonts w:cs="Tahoma"/>
                <w:color w:val="000000"/>
                <w:szCs w:val="18"/>
              </w:rPr>
              <w:t xml:space="preserve">Zusätzliche Stunden </w:t>
            </w:r>
          </w:p>
        </w:tc>
        <w:tc>
          <w:tcPr>
            <w:tcW w:w="1404" w:type="dxa"/>
            <w:vAlign w:val="center"/>
          </w:tcPr>
          <w:p w:rsidR="00DB2D1E" w:rsidRPr="00C83DF5" w:rsidRDefault="00DB2D1E" w:rsidP="00406106">
            <w:pPr>
              <w:spacing w:after="20"/>
              <w:jc w:val="center"/>
              <w:rPr>
                <w:rFonts w:cs="Tahoma"/>
                <w:color w:val="000000"/>
                <w:szCs w:val="18"/>
              </w:rPr>
            </w:pPr>
            <w:r w:rsidRPr="00C83DF5">
              <w:rPr>
                <w:rFonts w:cs="Tahoma"/>
                <w:color w:val="000000"/>
                <w:szCs w:val="18"/>
              </w:rPr>
              <w:t>20 Stunden pro</w:t>
            </w:r>
            <w:r w:rsidR="00406106">
              <w:rPr>
                <w:rFonts w:cs="Tahoma"/>
                <w:color w:val="000000"/>
                <w:szCs w:val="18"/>
              </w:rPr>
              <w:t> </w:t>
            </w:r>
            <w:r w:rsidRPr="00C83DF5">
              <w:rPr>
                <w:rFonts w:cs="Tahoma"/>
                <w:color w:val="000000"/>
                <w:szCs w:val="18"/>
              </w:rPr>
              <w:t>Paket</w:t>
            </w:r>
          </w:p>
        </w:tc>
        <w:tc>
          <w:tcPr>
            <w:tcW w:w="1858" w:type="dxa"/>
            <w:vAlign w:val="center"/>
          </w:tcPr>
          <w:p w:rsidR="00DB2D1E" w:rsidRPr="00C83DF5" w:rsidRDefault="00DB2D1E" w:rsidP="00406106">
            <w:pPr>
              <w:spacing w:after="20"/>
              <w:jc w:val="center"/>
              <w:rPr>
                <w:rFonts w:cs="Tahoma"/>
                <w:color w:val="000000"/>
                <w:szCs w:val="18"/>
              </w:rPr>
            </w:pPr>
            <w:r w:rsidRPr="00C83DF5">
              <w:rPr>
                <w:rFonts w:cs="Tahoma"/>
                <w:color w:val="000000"/>
                <w:szCs w:val="18"/>
              </w:rPr>
              <w:t>20 Stunden pro</w:t>
            </w:r>
            <w:r w:rsidR="00406106">
              <w:rPr>
                <w:rFonts w:cs="Tahoma"/>
                <w:color w:val="000000"/>
                <w:szCs w:val="18"/>
              </w:rPr>
              <w:t> </w:t>
            </w:r>
            <w:r w:rsidRPr="00C83DF5">
              <w:rPr>
                <w:rFonts w:cs="Tahoma"/>
                <w:color w:val="000000"/>
                <w:szCs w:val="18"/>
              </w:rPr>
              <w:t>Paket</w:t>
            </w:r>
          </w:p>
        </w:tc>
        <w:tc>
          <w:tcPr>
            <w:tcW w:w="1675" w:type="dxa"/>
            <w:vAlign w:val="center"/>
          </w:tcPr>
          <w:p w:rsidR="00DB2D1E" w:rsidRPr="00C83DF5" w:rsidRDefault="00DB2D1E" w:rsidP="00406106">
            <w:pPr>
              <w:spacing w:after="20"/>
              <w:jc w:val="center"/>
              <w:rPr>
                <w:rFonts w:cs="Tahoma"/>
                <w:color w:val="000000"/>
                <w:szCs w:val="18"/>
              </w:rPr>
            </w:pPr>
            <w:r w:rsidRPr="00C83DF5">
              <w:rPr>
                <w:rFonts w:cs="Tahoma"/>
                <w:color w:val="000000"/>
                <w:szCs w:val="18"/>
              </w:rPr>
              <w:t>20 Stunden pro</w:t>
            </w:r>
            <w:r w:rsidR="00406106">
              <w:rPr>
                <w:rFonts w:cs="Tahoma"/>
                <w:color w:val="000000"/>
                <w:szCs w:val="18"/>
              </w:rPr>
              <w:t> </w:t>
            </w:r>
            <w:r w:rsidRPr="00C83DF5">
              <w:rPr>
                <w:rFonts w:cs="Tahoma"/>
                <w:color w:val="000000"/>
                <w:szCs w:val="18"/>
              </w:rPr>
              <w:t>Paket</w:t>
            </w:r>
          </w:p>
        </w:tc>
        <w:tc>
          <w:tcPr>
            <w:tcW w:w="1579" w:type="dxa"/>
            <w:vAlign w:val="center"/>
          </w:tcPr>
          <w:p w:rsidR="00DB2D1E" w:rsidRPr="00C83DF5" w:rsidRDefault="00DB2D1E" w:rsidP="00406106">
            <w:pPr>
              <w:spacing w:after="20"/>
              <w:jc w:val="center"/>
              <w:rPr>
                <w:rFonts w:cs="Tahoma"/>
                <w:color w:val="000000"/>
                <w:szCs w:val="18"/>
              </w:rPr>
            </w:pPr>
            <w:r w:rsidRPr="00C83DF5">
              <w:rPr>
                <w:rFonts w:cs="Tahoma"/>
                <w:color w:val="000000"/>
                <w:szCs w:val="18"/>
              </w:rPr>
              <w:t>20 Stunden pro</w:t>
            </w:r>
            <w:r w:rsidR="00406106">
              <w:rPr>
                <w:rFonts w:cs="Tahoma"/>
                <w:color w:val="000000"/>
                <w:szCs w:val="18"/>
              </w:rPr>
              <w:t> </w:t>
            </w:r>
            <w:r w:rsidRPr="00C83DF5">
              <w:rPr>
                <w:rFonts w:cs="Tahoma"/>
                <w:color w:val="000000"/>
                <w:szCs w:val="18"/>
              </w:rPr>
              <w:t>Paket</w:t>
            </w:r>
          </w:p>
        </w:tc>
      </w:tr>
    </w:tbl>
    <w:p w:rsidR="00DB2D1E" w:rsidRPr="00C83DF5" w:rsidRDefault="00DB2D1E" w:rsidP="00DB2D1E">
      <w:pPr>
        <w:pStyle w:val="tableclose"/>
        <w:tabs>
          <w:tab w:val="left" w:pos="810"/>
        </w:tabs>
        <w:ind w:left="810" w:hanging="720"/>
        <w:rPr>
          <w:lang w:val="de-DE"/>
        </w:rPr>
      </w:pPr>
      <w:r w:rsidRPr="00C83DF5">
        <w:rPr>
          <w:rFonts w:ascii="Tahoma" w:hAnsi="Tahoma" w:cs="Tahoma"/>
          <w:i/>
          <w:color w:val="000000"/>
          <w:sz w:val="16"/>
          <w:szCs w:val="16"/>
          <w:vertAlign w:val="superscript"/>
          <w:lang w:val="de-DE"/>
        </w:rPr>
        <w:t xml:space="preserve"> 1</w:t>
      </w:r>
      <w:r w:rsidRPr="00C83DF5">
        <w:rPr>
          <w:rFonts w:ascii="Tahoma" w:hAnsi="Tahoma" w:cs="Tahoma"/>
          <w:i/>
          <w:color w:val="000000"/>
          <w:sz w:val="16"/>
          <w:szCs w:val="16"/>
          <w:lang w:val="de-DE"/>
        </w:rPr>
        <w:t xml:space="preserve"> Die Geschäftszeiten sind lokal festgelegt.</w:t>
      </w:r>
    </w:p>
    <w:p w:rsidR="00DB2D1E" w:rsidRPr="008B3D04" w:rsidRDefault="00DB2D1E" w:rsidP="00F42FB8">
      <w:pPr>
        <w:pStyle w:val="BodyText2"/>
        <w:spacing w:after="0" w:line="240" w:lineRule="auto"/>
        <w:rPr>
          <w:rFonts w:ascii="Tahoma" w:hAnsi="Tahoma" w:cs="Tahoma"/>
          <w:b/>
          <w:bCs/>
          <w:color w:val="000000"/>
          <w:sz w:val="18"/>
          <w:szCs w:val="18"/>
          <w:lang w:val="de-DE"/>
        </w:rPr>
      </w:pPr>
    </w:p>
    <w:p w:rsidR="00DB2D1E" w:rsidRPr="00C83DF5" w:rsidRDefault="00DB2D1E" w:rsidP="00CA52FE">
      <w:pPr>
        <w:pStyle w:val="BodyText2"/>
        <w:spacing w:after="0" w:line="240" w:lineRule="auto"/>
        <w:rPr>
          <w:lang w:val="de-DE"/>
        </w:rPr>
      </w:pPr>
      <w:r w:rsidRPr="00C83DF5">
        <w:rPr>
          <w:rFonts w:ascii="Tahoma" w:hAnsi="Tahoma" w:cs="Tahoma"/>
          <w:b/>
          <w:bCs/>
          <w:color w:val="000000"/>
          <w:sz w:val="18"/>
          <w:szCs w:val="18"/>
          <w:lang w:val="de-DE"/>
        </w:rPr>
        <w:t>Supportaccountverwaltung</w:t>
      </w:r>
      <w:r w:rsidRPr="00C83DF5">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 </w:t>
      </w:r>
    </w:p>
    <w:p w:rsidR="00CA52FE" w:rsidRPr="008B3D04" w:rsidRDefault="00CA52FE" w:rsidP="00CA52FE">
      <w:pPr>
        <w:pStyle w:val="BodyText2"/>
        <w:spacing w:after="0" w:line="240" w:lineRule="auto"/>
        <w:rPr>
          <w:rFonts w:ascii="Tahoma" w:hAnsi="Tahoma" w:cs="Tahoma"/>
          <w:color w:val="000000"/>
          <w:sz w:val="18"/>
          <w:szCs w:val="18"/>
          <w:lang w:val="de-DE"/>
        </w:rPr>
      </w:pPr>
    </w:p>
    <w:p w:rsidR="00DB2D1E" w:rsidRPr="00C83DF5" w:rsidRDefault="00DB2D1E" w:rsidP="00CA52FE">
      <w:pPr>
        <w:jc w:val="both"/>
        <w:rPr>
          <w:lang w:val="de-DE"/>
        </w:rPr>
      </w:pPr>
      <w:r w:rsidRPr="00C83DF5">
        <w:rPr>
          <w:rFonts w:cs="Tahoma"/>
          <w:b/>
          <w:bCs/>
          <w:color w:val="000000"/>
          <w:szCs w:val="18"/>
          <w:lang w:val="de-DE"/>
        </w:rPr>
        <w:t xml:space="preserve">Supportunterstützung </w:t>
      </w:r>
      <w:r w:rsidRPr="00C83DF5">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rsidR="00CA52FE" w:rsidRPr="001A7DB3" w:rsidRDefault="00CA52FE" w:rsidP="00CA52FE">
      <w:pPr>
        <w:jc w:val="both"/>
        <w:rPr>
          <w:rFonts w:cs="Tahoma"/>
          <w:color w:val="000000"/>
          <w:szCs w:val="18"/>
          <w:lang w:val="de-DE"/>
        </w:rPr>
      </w:pPr>
    </w:p>
    <w:p w:rsidR="00676723" w:rsidRPr="00C83DF5" w:rsidRDefault="00DB2D1E" w:rsidP="001A7DB3">
      <w:pPr>
        <w:rPr>
          <w:lang w:val="de-DE"/>
        </w:rPr>
      </w:pPr>
      <w:r w:rsidRPr="00C83DF5">
        <w:rPr>
          <w:rFonts w:cs="Tahoma"/>
          <w:b/>
          <w:bCs/>
          <w:color w:val="000000"/>
          <w:szCs w:val="18"/>
          <w:lang w:val="de-DE"/>
        </w:rPr>
        <w:t xml:space="preserve">Problembehebungssupport </w:t>
      </w:r>
      <w:r w:rsidRPr="00C83DF5">
        <w:rPr>
          <w:rFonts w:cs="Tahoma"/>
          <w:color w:val="000000"/>
          <w:szCs w:val="18"/>
          <w:lang w:val="de-DE"/>
        </w:rPr>
        <w:t>bietet Unterstützung für Probleme mit bestimmten Symptomen, die bei der Verwendung von Microsoft-Produkten aufgetreten sind, wenn eine vernünftige Erwartung besteht, dass das Problem</w:t>
      </w:r>
      <w:r w:rsidR="001A7DB3">
        <w:rPr>
          <w:rFonts w:cs="Tahoma"/>
          <w:color w:val="000000"/>
          <w:szCs w:val="18"/>
          <w:lang w:val="de-DE"/>
        </w:rPr>
        <w:t> </w:t>
      </w:r>
      <w:r w:rsidRPr="00C83DF5">
        <w:rPr>
          <w:rFonts w:cs="Tahoma"/>
          <w:color w:val="000000"/>
          <w:szCs w:val="18"/>
          <w:lang w:val="de-DE"/>
        </w:rPr>
        <w:t>von Microsoft-Produkten verursacht wird.</w:t>
      </w:r>
    </w:p>
    <w:p w:rsidR="00676723" w:rsidRPr="00C83DF5" w:rsidRDefault="00676723">
      <w:pPr>
        <w:rPr>
          <w:lang w:val="de-DE"/>
        </w:rPr>
      </w:pPr>
      <w:r w:rsidRPr="00C83DF5">
        <w:rPr>
          <w:rFonts w:cs="Tahoma"/>
          <w:color w:val="000000"/>
          <w:szCs w:val="18"/>
          <w:lang w:val="de-DE"/>
        </w:rPr>
        <w:br w:type="page"/>
      </w:r>
    </w:p>
    <w:p w:rsidR="00DB2D1E" w:rsidRPr="00C83DF5" w:rsidRDefault="00DB2D1E" w:rsidP="00CA52FE">
      <w:pPr>
        <w:rPr>
          <w:lang w:val="de-DE"/>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547"/>
        <w:gridCol w:w="2763"/>
      </w:tblGrid>
      <w:tr w:rsidR="00DB2D1E" w:rsidRPr="00C83DF5" w:rsidTr="00CD4898">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C83DF5" w:rsidRDefault="001C1727" w:rsidP="00DE73D4">
            <w:pPr>
              <w:pStyle w:val="tableclose"/>
              <w:spacing w:line="276" w:lineRule="auto"/>
              <w:rPr>
                <w:rFonts w:ascii="Tahoma" w:hAnsi="Tahoma" w:cs="Tahoma"/>
                <w:b/>
                <w:color w:val="000000"/>
              </w:rPr>
            </w:pPr>
            <w:r w:rsidRPr="00C83DF5">
              <w:rPr>
                <w:rFonts w:cs="Tahoma"/>
                <w:color w:val="000000"/>
                <w:sz w:val="6"/>
                <w:lang w:val="de-DE"/>
              </w:rPr>
              <w:br w:type="page"/>
            </w:r>
            <w:r w:rsidRPr="00C83DF5">
              <w:rPr>
                <w:rFonts w:ascii="Tahoma" w:hAnsi="Tahoma" w:cs="Tahoma"/>
                <w:b/>
                <w:color w:val="000000"/>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83DF5" w:rsidRDefault="00DB2D1E" w:rsidP="00DE73D4">
            <w:pPr>
              <w:pStyle w:val="tableclose"/>
              <w:spacing w:line="276" w:lineRule="auto"/>
              <w:rPr>
                <w:rFonts w:ascii="Tahoma" w:hAnsi="Tahoma" w:cs="Tahoma"/>
                <w:b/>
                <w:color w:val="000000"/>
              </w:rPr>
            </w:pPr>
            <w:r w:rsidRPr="00C83DF5">
              <w:rPr>
                <w:rFonts w:ascii="Tahoma" w:hAnsi="Tahoma" w:cs="Tahoma"/>
                <w:b/>
                <w:color w:val="000000"/>
              </w:rPr>
              <w:t>Situation</w:t>
            </w:r>
          </w:p>
        </w:tc>
        <w:tc>
          <w:tcPr>
            <w:tcW w:w="254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83DF5" w:rsidRDefault="00DB2D1E" w:rsidP="00DE73D4">
            <w:pPr>
              <w:pStyle w:val="tableclose"/>
              <w:spacing w:line="276" w:lineRule="auto"/>
              <w:rPr>
                <w:rFonts w:ascii="Tahoma" w:hAnsi="Tahoma" w:cs="Tahoma"/>
                <w:b/>
                <w:color w:val="000000"/>
              </w:rPr>
            </w:pPr>
            <w:r w:rsidRPr="00C83DF5">
              <w:rPr>
                <w:rFonts w:ascii="Tahoma" w:hAnsi="Tahoma" w:cs="Tahoma"/>
                <w:b/>
                <w:color w:val="000000"/>
              </w:rPr>
              <w:t>Unsere erwartete Reaktion</w:t>
            </w:r>
          </w:p>
        </w:tc>
        <w:tc>
          <w:tcPr>
            <w:tcW w:w="276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83DF5" w:rsidRDefault="00DB2D1E" w:rsidP="00DE73D4">
            <w:pPr>
              <w:pStyle w:val="tableclose"/>
              <w:spacing w:line="276" w:lineRule="auto"/>
              <w:rPr>
                <w:rFonts w:ascii="Tahoma" w:hAnsi="Tahoma" w:cs="Tahoma"/>
                <w:b/>
                <w:color w:val="000000"/>
              </w:rPr>
            </w:pPr>
            <w:r w:rsidRPr="00C83DF5">
              <w:rPr>
                <w:rFonts w:ascii="Tahoma" w:hAnsi="Tahoma" w:cs="Tahoma"/>
                <w:b/>
                <w:color w:val="000000"/>
              </w:rPr>
              <w:t>Vom Kunden erwartete Reaktion</w:t>
            </w:r>
          </w:p>
        </w:tc>
      </w:tr>
      <w:tr w:rsidR="00DB2D1E" w:rsidRPr="004D388E" w:rsidTr="00CD4898">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83DF5" w:rsidRDefault="00DB2D1E" w:rsidP="00DE73D4">
            <w:pPr>
              <w:pStyle w:val="tableclose"/>
              <w:spacing w:line="276" w:lineRule="auto"/>
              <w:rPr>
                <w:rFonts w:ascii="Tahoma" w:hAnsi="Tahoma" w:cs="Tahoma"/>
                <w:color w:val="000000"/>
                <w:sz w:val="18"/>
                <w:szCs w:val="18"/>
              </w:rPr>
            </w:pPr>
            <w:r w:rsidRPr="00C83DF5">
              <w:rPr>
                <w:rFonts w:ascii="Tahoma" w:hAnsi="Tahoma" w:cs="Tahoma"/>
                <w:color w:val="000000"/>
                <w:sz w:val="18"/>
                <w:szCs w:val="18"/>
              </w:rPr>
              <w:t>1.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C469F8">
            <w:pPr>
              <w:pStyle w:val="ListBullet3"/>
              <w:numPr>
                <w:ilvl w:val="0"/>
                <w:numId w:val="60"/>
              </w:numPr>
              <w:spacing w:line="276" w:lineRule="auto"/>
              <w:rPr>
                <w:lang w:val="de-DE"/>
              </w:rPr>
            </w:pPr>
            <w:r w:rsidRPr="00C83DF5">
              <w:rPr>
                <w:rFonts w:ascii="Tahoma" w:hAnsi="Tahoma" w:cs="Tahoma"/>
                <w:color w:val="000000"/>
                <w:sz w:val="18"/>
                <w:szCs w:val="18"/>
                <w:lang w:val="de-DE"/>
              </w:rPr>
              <w:t>Katastrophale Auswirkungen auf das</w:t>
            </w:r>
            <w:r w:rsidR="00C469F8">
              <w:rPr>
                <w:rFonts w:ascii="Tahoma" w:hAnsi="Tahoma" w:cs="Tahoma"/>
                <w:color w:val="000000"/>
                <w:sz w:val="18"/>
                <w:szCs w:val="18"/>
                <w:lang w:val="de-DE"/>
              </w:rPr>
              <w:t> </w:t>
            </w:r>
            <w:r w:rsidRPr="00C83DF5">
              <w:rPr>
                <w:rFonts w:ascii="Tahoma" w:hAnsi="Tahoma" w:cs="Tahoma"/>
                <w:color w:val="000000"/>
                <w:sz w:val="18"/>
                <w:szCs w:val="18"/>
                <w:lang w:val="de-DE"/>
              </w:rPr>
              <w:t xml:space="preserve">Geschäft: </w:t>
            </w:r>
          </w:p>
          <w:p w:rsidR="00DB2D1E" w:rsidRPr="00C83DF5" w:rsidRDefault="00DB2D1E" w:rsidP="00346F4B">
            <w:pPr>
              <w:pStyle w:val="ListBullet3"/>
              <w:numPr>
                <w:ilvl w:val="0"/>
                <w:numId w:val="60"/>
              </w:numPr>
              <w:spacing w:line="276" w:lineRule="auto"/>
              <w:rPr>
                <w:lang w:val="de-DE"/>
              </w:rPr>
            </w:pPr>
            <w:r w:rsidRPr="00C83DF5">
              <w:rPr>
                <w:rFonts w:ascii="Tahoma" w:hAnsi="Tahoma" w:cs="Tahoma"/>
                <w:color w:val="000000"/>
                <w:sz w:val="18"/>
                <w:szCs w:val="18"/>
                <w:lang w:val="de-DE"/>
              </w:rPr>
              <w:t>Vollständiger Verlust eines zentralen (geschäftskritischen) Geschäftsprozesses, Arbeit kann vernünftigerweise nicht fortgesetzt werden</w:t>
            </w:r>
          </w:p>
          <w:p w:rsidR="00DB2D1E" w:rsidRPr="00C83DF5" w:rsidRDefault="00DB2D1E" w:rsidP="00346F4B">
            <w:pPr>
              <w:pStyle w:val="ListBullet3"/>
              <w:numPr>
                <w:ilvl w:val="0"/>
                <w:numId w:val="60"/>
              </w:numPr>
              <w:spacing w:line="276" w:lineRule="auto"/>
              <w:rPr>
                <w:rFonts w:ascii="Tahoma" w:hAnsi="Tahoma" w:cs="Tahoma"/>
                <w:color w:val="000000"/>
                <w:sz w:val="18"/>
                <w:szCs w:val="18"/>
              </w:rPr>
            </w:pPr>
            <w:r w:rsidRPr="00C83DF5">
              <w:rPr>
                <w:rFonts w:ascii="Tahoma" w:hAnsi="Tahoma" w:cs="Tahoma"/>
                <w:color w:val="000000"/>
                <w:sz w:val="18"/>
                <w:szCs w:val="18"/>
              </w:rPr>
              <w:t>Sofortige Bearbeitung erforderlich</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DB2D1E" w:rsidRPr="004E0926" w:rsidRDefault="00DB2D1E" w:rsidP="00C469F8">
            <w:pPr>
              <w:pStyle w:val="ListBullet3"/>
              <w:numPr>
                <w:ilvl w:val="0"/>
                <w:numId w:val="61"/>
              </w:numPr>
              <w:spacing w:line="276" w:lineRule="auto"/>
              <w:rPr>
                <w:lang w:val="de-DE"/>
              </w:rPr>
            </w:pPr>
            <w:r w:rsidRPr="004E0926">
              <w:rPr>
                <w:rFonts w:ascii="Tahoma" w:hAnsi="Tahoma" w:cs="Tahoma"/>
                <w:color w:val="000000"/>
                <w:sz w:val="18"/>
                <w:szCs w:val="18"/>
                <w:lang w:val="de-DE"/>
              </w:rPr>
              <w:t>1. Reaktion auf Anruf in 1</w:t>
            </w:r>
            <w:r w:rsidR="00C469F8" w:rsidRPr="004E0926">
              <w:rPr>
                <w:rFonts w:ascii="Tahoma" w:hAnsi="Tahoma" w:cs="Tahoma"/>
                <w:color w:val="000000"/>
                <w:sz w:val="18"/>
                <w:szCs w:val="18"/>
                <w:lang w:val="de-DE"/>
              </w:rPr>
              <w:t> </w:t>
            </w:r>
            <w:r w:rsidRPr="004E0926">
              <w:rPr>
                <w:rFonts w:ascii="Tahoma" w:hAnsi="Tahoma" w:cs="Tahoma"/>
                <w:color w:val="000000"/>
                <w:sz w:val="18"/>
                <w:szCs w:val="18"/>
                <w:lang w:val="de-DE"/>
              </w:rPr>
              <w:t>Stunde oder weniger</w:t>
            </w:r>
          </w:p>
          <w:p w:rsidR="00DB2D1E" w:rsidRPr="00C83DF5" w:rsidRDefault="00DB2D1E" w:rsidP="00346F4B">
            <w:pPr>
              <w:pStyle w:val="ListBullet3"/>
              <w:numPr>
                <w:ilvl w:val="0"/>
                <w:numId w:val="61"/>
              </w:numPr>
              <w:spacing w:line="276" w:lineRule="auto"/>
              <w:rPr>
                <w:lang w:val="de-DE"/>
              </w:rPr>
            </w:pPr>
            <w:r w:rsidRPr="00C83DF5">
              <w:rPr>
                <w:rFonts w:ascii="Tahoma" w:hAnsi="Tahoma" w:cs="Tahoma"/>
                <w:color w:val="000000"/>
                <w:sz w:val="18"/>
                <w:szCs w:val="18"/>
                <w:lang w:val="de-DE"/>
              </w:rPr>
              <w:t>Unsere Ressourcen schnellstmöglich am Standort des Kunden</w:t>
            </w:r>
          </w:p>
          <w:p w:rsidR="00DB2D1E" w:rsidRPr="00C83DF5" w:rsidRDefault="00DB2D1E" w:rsidP="00CD4898">
            <w:pPr>
              <w:pStyle w:val="ListBullet3"/>
              <w:numPr>
                <w:ilvl w:val="0"/>
                <w:numId w:val="61"/>
              </w:numPr>
              <w:spacing w:line="276" w:lineRule="auto"/>
              <w:rPr>
                <w:lang w:val="de-DE"/>
              </w:rPr>
            </w:pPr>
            <w:r w:rsidRPr="00C83DF5">
              <w:rPr>
                <w:rFonts w:ascii="Tahoma" w:hAnsi="Tahoma" w:cs="Tahoma"/>
                <w:color w:val="000000"/>
                <w:sz w:val="18"/>
                <w:szCs w:val="18"/>
                <w:lang w:val="de-DE"/>
              </w:rPr>
              <w:t>Durchgehende Bemühungen rund um</w:t>
            </w:r>
            <w:r w:rsidR="00CD4898">
              <w:rPr>
                <w:rFonts w:ascii="Tahoma" w:hAnsi="Tahoma" w:cs="Tahoma"/>
                <w:color w:val="000000"/>
                <w:sz w:val="18"/>
                <w:szCs w:val="18"/>
                <w:lang w:val="de-DE"/>
              </w:rPr>
              <w:t> </w:t>
            </w:r>
            <w:r w:rsidRPr="00C83DF5">
              <w:rPr>
                <w:rFonts w:ascii="Tahoma" w:hAnsi="Tahoma" w:cs="Tahoma"/>
                <w:color w:val="000000"/>
                <w:sz w:val="18"/>
                <w:szCs w:val="18"/>
                <w:lang w:val="de-DE"/>
              </w:rPr>
              <w:t>die Uhr</w:t>
            </w:r>
          </w:p>
          <w:p w:rsidR="00DB2D1E" w:rsidRPr="00C83DF5" w:rsidRDefault="00DB2D1E" w:rsidP="00C469F8">
            <w:pPr>
              <w:pStyle w:val="ListBullet3"/>
              <w:numPr>
                <w:ilvl w:val="0"/>
                <w:numId w:val="61"/>
              </w:numPr>
              <w:spacing w:line="276" w:lineRule="auto"/>
              <w:rPr>
                <w:lang w:val="de-DE"/>
              </w:rPr>
            </w:pPr>
            <w:r w:rsidRPr="00C83DF5">
              <w:rPr>
                <w:rFonts w:ascii="Tahoma" w:hAnsi="Tahoma" w:cs="Tahoma"/>
                <w:color w:val="000000"/>
                <w:sz w:val="18"/>
                <w:szCs w:val="18"/>
                <w:lang w:val="de-DE"/>
              </w:rPr>
              <w:t>Schnelle Eskalation innerhalb von Microsoft an</w:t>
            </w:r>
            <w:r w:rsidR="00C469F8">
              <w:rPr>
                <w:rFonts w:ascii="Tahoma" w:hAnsi="Tahoma" w:cs="Tahoma"/>
                <w:color w:val="000000"/>
                <w:sz w:val="18"/>
                <w:szCs w:val="18"/>
                <w:lang w:val="de-DE"/>
              </w:rPr>
              <w:t> </w:t>
            </w:r>
            <w:r w:rsidRPr="00C83DF5">
              <w:rPr>
                <w:rFonts w:ascii="Tahoma" w:hAnsi="Tahoma" w:cs="Tahoma"/>
                <w:color w:val="000000"/>
                <w:sz w:val="18"/>
                <w:szCs w:val="18"/>
                <w:lang w:val="de-DE"/>
              </w:rPr>
              <w:t>Produktteams</w:t>
            </w:r>
          </w:p>
          <w:p w:rsidR="00DB2D1E" w:rsidRPr="00C83DF5" w:rsidRDefault="00DB2D1E" w:rsidP="00CD4898">
            <w:pPr>
              <w:pStyle w:val="ListBullet3"/>
              <w:numPr>
                <w:ilvl w:val="0"/>
                <w:numId w:val="61"/>
              </w:numPr>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Benachrichtigung der</w:t>
            </w:r>
            <w:r w:rsidR="00CD4898">
              <w:rPr>
                <w:rFonts w:ascii="Tahoma" w:hAnsi="Tahoma" w:cs="Tahoma"/>
                <w:color w:val="000000"/>
                <w:sz w:val="18"/>
                <w:szCs w:val="18"/>
                <w:lang w:val="de-DE"/>
              </w:rPr>
              <w:t> </w:t>
            </w:r>
            <w:r w:rsidRPr="00C83DF5">
              <w:rPr>
                <w:rFonts w:ascii="Tahoma" w:hAnsi="Tahoma" w:cs="Tahoma"/>
                <w:color w:val="000000"/>
                <w:sz w:val="18"/>
                <w:szCs w:val="18"/>
                <w:lang w:val="de-DE"/>
              </w:rPr>
              <w:t>leitenden Führungskräfte von</w:t>
            </w:r>
            <w:r w:rsidR="00CD4898">
              <w:rPr>
                <w:rFonts w:ascii="Tahoma" w:hAnsi="Tahoma" w:cs="Tahoma"/>
                <w:color w:val="000000"/>
                <w:sz w:val="18"/>
                <w:szCs w:val="18"/>
                <w:lang w:val="de-DE"/>
              </w:rPr>
              <w:t> </w:t>
            </w:r>
            <w:r w:rsidRPr="00C83DF5">
              <w:rPr>
                <w:rFonts w:ascii="Tahoma" w:hAnsi="Tahoma" w:cs="Tahoma"/>
                <w:color w:val="000000"/>
                <w:sz w:val="18"/>
                <w:szCs w:val="18"/>
                <w:lang w:val="de-DE"/>
              </w:rPr>
              <w:t xml:space="preserve">Microsoft </w:t>
            </w: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346F4B">
            <w:pPr>
              <w:pStyle w:val="ListBullet3"/>
              <w:numPr>
                <w:ilvl w:val="0"/>
                <w:numId w:val="62"/>
              </w:numPr>
              <w:spacing w:line="276" w:lineRule="auto"/>
              <w:rPr>
                <w:lang w:val="de-DE"/>
              </w:rPr>
            </w:pPr>
            <w:r w:rsidRPr="00C83DF5">
              <w:rPr>
                <w:rFonts w:ascii="Tahoma" w:hAnsi="Tahoma" w:cs="Tahoma"/>
                <w:color w:val="000000"/>
                <w:sz w:val="18"/>
                <w:szCs w:val="18"/>
                <w:lang w:val="de-DE"/>
              </w:rPr>
              <w:t xml:space="preserve">Benachrichtigung der leitenden Führungskräfte des Kunden </w:t>
            </w:r>
          </w:p>
          <w:p w:rsidR="00DB2D1E" w:rsidRPr="00C83DF5" w:rsidRDefault="00DB2D1E" w:rsidP="00CD4898">
            <w:pPr>
              <w:pStyle w:val="ListBullet3"/>
              <w:numPr>
                <w:ilvl w:val="0"/>
                <w:numId w:val="62"/>
              </w:numPr>
              <w:spacing w:line="276" w:lineRule="auto"/>
              <w:rPr>
                <w:lang w:val="de-DE"/>
              </w:rPr>
            </w:pPr>
            <w:r w:rsidRPr="00C83DF5">
              <w:rPr>
                <w:rFonts w:ascii="Tahoma" w:hAnsi="Tahoma" w:cs="Tahoma"/>
                <w:color w:val="000000"/>
                <w:sz w:val="18"/>
                <w:szCs w:val="18"/>
                <w:lang w:val="de-DE"/>
              </w:rPr>
              <w:t>Zuweisung geeigneter Ressourcen zur Aufrechterhaltung durchgehender Bemüh</w:t>
            </w:r>
            <w:r w:rsidR="00CD4898">
              <w:rPr>
                <w:rFonts w:ascii="Tahoma" w:hAnsi="Tahoma" w:cs="Tahoma"/>
                <w:color w:val="000000"/>
                <w:sz w:val="18"/>
                <w:szCs w:val="18"/>
                <w:lang w:val="de-DE"/>
              </w:rPr>
              <w:t>ungen rund um </w:t>
            </w:r>
            <w:r w:rsidRPr="00C83DF5">
              <w:rPr>
                <w:rFonts w:ascii="Tahoma" w:hAnsi="Tahoma" w:cs="Tahoma"/>
                <w:color w:val="000000"/>
                <w:sz w:val="18"/>
                <w:szCs w:val="18"/>
                <w:lang w:val="de-DE"/>
              </w:rPr>
              <w:t>die</w:t>
            </w:r>
            <w:r w:rsidR="00CD4898">
              <w:rPr>
                <w:rFonts w:ascii="Tahoma" w:hAnsi="Tahoma" w:cs="Tahoma"/>
                <w:color w:val="000000"/>
                <w:sz w:val="18"/>
                <w:szCs w:val="18"/>
                <w:lang w:val="de-DE"/>
              </w:rPr>
              <w:t> </w:t>
            </w:r>
            <w:r w:rsidRPr="00C83DF5">
              <w:rPr>
                <w:rFonts w:ascii="Tahoma" w:hAnsi="Tahoma" w:cs="Tahoma"/>
                <w:color w:val="000000"/>
                <w:sz w:val="18"/>
                <w:szCs w:val="18"/>
                <w:lang w:val="de-DE"/>
              </w:rPr>
              <w:t>Uhr</w:t>
            </w:r>
            <w:r w:rsidRPr="00C83DF5">
              <w:rPr>
                <w:rFonts w:ascii="Tahoma" w:hAnsi="Tahoma" w:cs="Tahoma"/>
                <w:color w:val="000000"/>
                <w:sz w:val="18"/>
                <w:szCs w:val="18"/>
                <w:vertAlign w:val="superscript"/>
                <w:lang w:val="de-DE"/>
              </w:rPr>
              <w:t>2</w:t>
            </w:r>
          </w:p>
          <w:p w:rsidR="00DB2D1E" w:rsidRPr="00C83DF5" w:rsidRDefault="00DB2D1E" w:rsidP="00346F4B">
            <w:pPr>
              <w:pStyle w:val="ListBullet3"/>
              <w:numPr>
                <w:ilvl w:val="0"/>
                <w:numId w:val="62"/>
              </w:numPr>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Schneller Zugriff und schnelle Reaktion durch Änderungskontrollautorität</w:t>
            </w:r>
          </w:p>
        </w:tc>
      </w:tr>
      <w:tr w:rsidR="00DB2D1E" w:rsidRPr="00C83DF5" w:rsidTr="00CD4898">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83DF5" w:rsidRDefault="00DB2D1E" w:rsidP="00DE73D4">
            <w:pPr>
              <w:pStyle w:val="tableclose"/>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346F4B">
            <w:pPr>
              <w:pStyle w:val="ListBullet3"/>
              <w:numPr>
                <w:ilvl w:val="0"/>
                <w:numId w:val="60"/>
              </w:numPr>
              <w:spacing w:line="276" w:lineRule="auto"/>
              <w:rPr>
                <w:lang w:val="de-DE"/>
              </w:rPr>
            </w:pPr>
            <w:r w:rsidRPr="00C83DF5">
              <w:rPr>
                <w:rFonts w:ascii="Tahoma" w:hAnsi="Tahoma" w:cs="Tahoma"/>
                <w:color w:val="000000"/>
                <w:sz w:val="18"/>
                <w:szCs w:val="18"/>
                <w:lang w:val="de-DE"/>
              </w:rPr>
              <w:t xml:space="preserve">Kritische Auswirkungen auf das Geschäft: </w:t>
            </w:r>
          </w:p>
          <w:p w:rsidR="00DB2D1E" w:rsidRPr="00C83DF5" w:rsidRDefault="00DB2D1E" w:rsidP="00CD4898">
            <w:pPr>
              <w:pStyle w:val="ListBullet3"/>
              <w:numPr>
                <w:ilvl w:val="0"/>
                <w:numId w:val="60"/>
              </w:numPr>
              <w:spacing w:line="276" w:lineRule="auto"/>
              <w:rPr>
                <w:lang w:val="de-DE"/>
              </w:rPr>
            </w:pPr>
            <w:r w:rsidRPr="00C83DF5">
              <w:rPr>
                <w:rFonts w:ascii="Tahoma" w:hAnsi="Tahoma" w:cs="Tahoma"/>
                <w:color w:val="000000"/>
                <w:sz w:val="18"/>
                <w:szCs w:val="18"/>
                <w:lang w:val="de-DE"/>
              </w:rPr>
              <w:t>Erheblicher Verlust oder</w:t>
            </w:r>
            <w:r w:rsidR="00CD4898">
              <w:rPr>
                <w:rFonts w:ascii="Tahoma" w:hAnsi="Tahoma" w:cs="Tahoma"/>
                <w:color w:val="000000"/>
                <w:sz w:val="18"/>
                <w:szCs w:val="18"/>
                <w:lang w:val="de-DE"/>
              </w:rPr>
              <w:t> </w:t>
            </w:r>
            <w:r w:rsidRPr="00C83DF5">
              <w:rPr>
                <w:rFonts w:ascii="Tahoma" w:hAnsi="Tahoma" w:cs="Tahoma"/>
                <w:color w:val="000000"/>
                <w:sz w:val="18"/>
                <w:szCs w:val="18"/>
                <w:lang w:val="de-DE"/>
              </w:rPr>
              <w:t>erhebliche Beeinträchtigung von</w:t>
            </w:r>
            <w:r w:rsidR="00CD4898">
              <w:rPr>
                <w:rFonts w:ascii="Tahoma" w:hAnsi="Tahoma" w:cs="Tahoma"/>
                <w:color w:val="000000"/>
                <w:sz w:val="18"/>
                <w:szCs w:val="18"/>
                <w:lang w:val="de-DE"/>
              </w:rPr>
              <w:t> </w:t>
            </w:r>
            <w:r w:rsidRPr="00C83DF5">
              <w:rPr>
                <w:rFonts w:ascii="Tahoma" w:hAnsi="Tahoma" w:cs="Tahoma"/>
                <w:color w:val="000000"/>
                <w:sz w:val="18"/>
                <w:szCs w:val="18"/>
                <w:lang w:val="de-DE"/>
              </w:rPr>
              <w:t>Diensten</w:t>
            </w:r>
          </w:p>
          <w:p w:rsidR="00DB2D1E" w:rsidRPr="00C83DF5" w:rsidRDefault="00DB2D1E" w:rsidP="00346F4B">
            <w:pPr>
              <w:pStyle w:val="ListBullet3"/>
              <w:numPr>
                <w:ilvl w:val="0"/>
                <w:numId w:val="60"/>
              </w:numPr>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Bearbeitung innerhalb von 1 Stunde erforderlich</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DB2D1E" w:rsidRPr="004E0926" w:rsidRDefault="00DB2D1E" w:rsidP="009D155A">
            <w:pPr>
              <w:pStyle w:val="ListBullet3"/>
              <w:numPr>
                <w:ilvl w:val="0"/>
                <w:numId w:val="61"/>
              </w:numPr>
              <w:spacing w:line="276" w:lineRule="auto"/>
              <w:rPr>
                <w:lang w:val="de-DE"/>
              </w:rPr>
            </w:pPr>
            <w:r w:rsidRPr="004E0926">
              <w:rPr>
                <w:rFonts w:ascii="Tahoma" w:hAnsi="Tahoma" w:cs="Tahoma"/>
                <w:color w:val="000000"/>
                <w:sz w:val="18"/>
                <w:szCs w:val="18"/>
                <w:lang w:val="de-DE"/>
              </w:rPr>
              <w:t>1. Reaktion auf Anruf in 1</w:t>
            </w:r>
            <w:r w:rsidR="009D155A" w:rsidRPr="004E0926">
              <w:rPr>
                <w:rFonts w:ascii="Tahoma" w:hAnsi="Tahoma" w:cs="Tahoma"/>
                <w:color w:val="000000"/>
                <w:sz w:val="18"/>
                <w:szCs w:val="18"/>
                <w:lang w:val="de-DE"/>
              </w:rPr>
              <w:t> </w:t>
            </w:r>
            <w:r w:rsidRPr="004E0926">
              <w:rPr>
                <w:rFonts w:ascii="Tahoma" w:hAnsi="Tahoma" w:cs="Tahoma"/>
                <w:color w:val="000000"/>
                <w:sz w:val="18"/>
                <w:szCs w:val="18"/>
                <w:lang w:val="de-DE"/>
              </w:rPr>
              <w:t>Stunde oder weniger</w:t>
            </w:r>
          </w:p>
          <w:p w:rsidR="00DB2D1E" w:rsidRPr="00C83DF5" w:rsidRDefault="00DB2D1E" w:rsidP="00CD4898">
            <w:pPr>
              <w:pStyle w:val="ListBullet3"/>
              <w:numPr>
                <w:ilvl w:val="0"/>
                <w:numId w:val="61"/>
              </w:numPr>
              <w:spacing w:line="276" w:lineRule="auto"/>
              <w:rPr>
                <w:lang w:val="de-DE"/>
              </w:rPr>
            </w:pPr>
            <w:r w:rsidRPr="00C83DF5">
              <w:rPr>
                <w:rFonts w:ascii="Tahoma" w:hAnsi="Tahoma" w:cs="Tahoma"/>
                <w:color w:val="000000"/>
                <w:sz w:val="18"/>
                <w:szCs w:val="18"/>
                <w:lang w:val="de-DE"/>
              </w:rPr>
              <w:t>Unsere Ressourcen nach Bedarf am Standort des</w:t>
            </w:r>
            <w:r w:rsidR="00CD4898">
              <w:rPr>
                <w:rFonts w:ascii="Tahoma" w:hAnsi="Tahoma" w:cs="Tahoma"/>
                <w:color w:val="000000"/>
                <w:sz w:val="18"/>
                <w:szCs w:val="18"/>
                <w:lang w:val="de-DE"/>
              </w:rPr>
              <w:t> </w:t>
            </w:r>
            <w:r w:rsidRPr="00C83DF5">
              <w:rPr>
                <w:rFonts w:ascii="Tahoma" w:hAnsi="Tahoma" w:cs="Tahoma"/>
                <w:color w:val="000000"/>
                <w:sz w:val="18"/>
                <w:szCs w:val="18"/>
                <w:lang w:val="de-DE"/>
              </w:rPr>
              <w:t>Kunden</w:t>
            </w:r>
          </w:p>
          <w:p w:rsidR="00DB2D1E" w:rsidRPr="00C83DF5" w:rsidRDefault="00DB2D1E" w:rsidP="00CD4898">
            <w:pPr>
              <w:pStyle w:val="ListBullet3"/>
              <w:numPr>
                <w:ilvl w:val="0"/>
                <w:numId w:val="61"/>
              </w:numPr>
              <w:spacing w:line="276" w:lineRule="auto"/>
              <w:rPr>
                <w:lang w:val="de-DE"/>
              </w:rPr>
            </w:pPr>
            <w:r w:rsidRPr="00C83DF5">
              <w:rPr>
                <w:rFonts w:ascii="Tahoma" w:hAnsi="Tahoma" w:cs="Tahoma"/>
                <w:color w:val="000000"/>
                <w:sz w:val="18"/>
                <w:szCs w:val="18"/>
                <w:lang w:val="de-DE"/>
              </w:rPr>
              <w:t>Durchgehende Bemühungen rund</w:t>
            </w:r>
            <w:r w:rsidR="00CD4898">
              <w:rPr>
                <w:rFonts w:ascii="Tahoma" w:hAnsi="Tahoma" w:cs="Tahoma"/>
                <w:color w:val="000000"/>
                <w:sz w:val="18"/>
                <w:szCs w:val="18"/>
                <w:lang w:val="de-DE"/>
              </w:rPr>
              <w:t> </w:t>
            </w:r>
            <w:r w:rsidRPr="00C83DF5">
              <w:rPr>
                <w:rFonts w:ascii="Tahoma" w:hAnsi="Tahoma" w:cs="Tahoma"/>
                <w:color w:val="000000"/>
                <w:sz w:val="18"/>
                <w:szCs w:val="18"/>
                <w:lang w:val="de-DE"/>
              </w:rPr>
              <w:t>um</w:t>
            </w:r>
            <w:r w:rsidR="00CD4898">
              <w:rPr>
                <w:rFonts w:ascii="Tahoma" w:hAnsi="Tahoma" w:cs="Tahoma"/>
                <w:color w:val="000000"/>
                <w:sz w:val="18"/>
                <w:szCs w:val="18"/>
                <w:lang w:val="de-DE"/>
              </w:rPr>
              <w:t> </w:t>
            </w:r>
            <w:r w:rsidRPr="00C83DF5">
              <w:rPr>
                <w:rFonts w:ascii="Tahoma" w:hAnsi="Tahoma" w:cs="Tahoma"/>
                <w:color w:val="000000"/>
                <w:sz w:val="18"/>
                <w:szCs w:val="18"/>
                <w:lang w:val="de-DE"/>
              </w:rPr>
              <w:t>die Uhr</w:t>
            </w:r>
          </w:p>
          <w:p w:rsidR="00DB2D1E" w:rsidRPr="00C83DF5" w:rsidRDefault="00DB2D1E" w:rsidP="00CD4898">
            <w:pPr>
              <w:pStyle w:val="ListBullet3"/>
              <w:numPr>
                <w:ilvl w:val="0"/>
                <w:numId w:val="61"/>
              </w:numPr>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Benachrichtigung der leitenden Manager von</w:t>
            </w:r>
            <w:r w:rsidR="00CD4898">
              <w:rPr>
                <w:rFonts w:ascii="Tahoma" w:hAnsi="Tahoma" w:cs="Tahoma"/>
                <w:color w:val="000000"/>
                <w:sz w:val="18"/>
                <w:szCs w:val="18"/>
                <w:lang w:val="de-DE"/>
              </w:rPr>
              <w:t> </w:t>
            </w:r>
            <w:r w:rsidRPr="00C83DF5">
              <w:rPr>
                <w:rFonts w:ascii="Tahoma" w:hAnsi="Tahoma" w:cs="Tahoma"/>
                <w:color w:val="000000"/>
                <w:sz w:val="18"/>
                <w:szCs w:val="18"/>
                <w:lang w:val="de-DE"/>
              </w:rPr>
              <w:t>Microsoft</w:t>
            </w: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F97460">
            <w:pPr>
              <w:pStyle w:val="ListBullet3"/>
              <w:numPr>
                <w:ilvl w:val="0"/>
                <w:numId w:val="62"/>
              </w:numPr>
              <w:spacing w:line="276" w:lineRule="auto"/>
              <w:rPr>
                <w:lang w:val="de-DE"/>
              </w:rPr>
            </w:pPr>
            <w:r w:rsidRPr="00C83DF5">
              <w:rPr>
                <w:rFonts w:ascii="Tahoma" w:hAnsi="Tahoma" w:cs="Tahoma"/>
                <w:color w:val="000000"/>
                <w:sz w:val="18"/>
                <w:szCs w:val="18"/>
                <w:lang w:val="de-DE"/>
              </w:rPr>
              <w:t>Zuweisung geeigneter Ressourcen zur Aufrechterhaltung durchgehender Bemühungen rund um</w:t>
            </w:r>
            <w:r w:rsidR="00F97460">
              <w:rPr>
                <w:rFonts w:ascii="Tahoma" w:hAnsi="Tahoma" w:cs="Tahoma"/>
                <w:color w:val="000000"/>
                <w:sz w:val="18"/>
                <w:szCs w:val="18"/>
                <w:lang w:val="de-DE"/>
              </w:rPr>
              <w:t> </w:t>
            </w:r>
            <w:r w:rsidRPr="00C83DF5">
              <w:rPr>
                <w:rFonts w:ascii="Tahoma" w:hAnsi="Tahoma" w:cs="Tahoma"/>
                <w:color w:val="000000"/>
                <w:sz w:val="18"/>
                <w:szCs w:val="18"/>
                <w:lang w:val="de-DE"/>
              </w:rPr>
              <w:t>die</w:t>
            </w:r>
            <w:r w:rsidR="00F97460">
              <w:rPr>
                <w:rFonts w:ascii="Tahoma" w:hAnsi="Tahoma" w:cs="Tahoma"/>
                <w:color w:val="000000"/>
                <w:sz w:val="18"/>
                <w:szCs w:val="18"/>
                <w:lang w:val="de-DE"/>
              </w:rPr>
              <w:t> </w:t>
            </w:r>
            <w:r w:rsidRPr="00C83DF5">
              <w:rPr>
                <w:rFonts w:ascii="Tahoma" w:hAnsi="Tahoma" w:cs="Tahoma"/>
                <w:color w:val="000000"/>
                <w:sz w:val="18"/>
                <w:szCs w:val="18"/>
                <w:lang w:val="de-DE"/>
              </w:rPr>
              <w:t>Uhr</w:t>
            </w:r>
            <w:r w:rsidRPr="00C83DF5">
              <w:rPr>
                <w:rFonts w:ascii="Tahoma" w:hAnsi="Tahoma" w:cs="Tahoma"/>
                <w:color w:val="000000"/>
                <w:sz w:val="18"/>
                <w:szCs w:val="18"/>
                <w:vertAlign w:val="superscript"/>
                <w:lang w:val="de-DE"/>
              </w:rPr>
              <w:t>2</w:t>
            </w:r>
          </w:p>
          <w:p w:rsidR="00DB2D1E" w:rsidRPr="00C83DF5" w:rsidRDefault="00DB2D1E" w:rsidP="00346F4B">
            <w:pPr>
              <w:pStyle w:val="ListBullet3"/>
              <w:numPr>
                <w:ilvl w:val="0"/>
                <w:numId w:val="62"/>
              </w:numPr>
              <w:spacing w:line="276" w:lineRule="auto"/>
              <w:rPr>
                <w:lang w:val="de-DE"/>
              </w:rPr>
            </w:pPr>
            <w:r w:rsidRPr="00C83DF5">
              <w:rPr>
                <w:rFonts w:ascii="Tahoma" w:hAnsi="Tahoma" w:cs="Tahoma"/>
                <w:color w:val="000000"/>
                <w:sz w:val="18"/>
                <w:szCs w:val="18"/>
                <w:lang w:val="de-DE"/>
              </w:rPr>
              <w:t>Schneller Zugriff und schnelle Reaktion durch Änderungskontrollautorität</w:t>
            </w:r>
          </w:p>
          <w:p w:rsidR="00DB2D1E" w:rsidRPr="00C83DF5" w:rsidRDefault="00DB2D1E" w:rsidP="00346F4B">
            <w:pPr>
              <w:pStyle w:val="ListBullet3"/>
              <w:numPr>
                <w:ilvl w:val="0"/>
                <w:numId w:val="62"/>
              </w:numPr>
              <w:spacing w:line="276" w:lineRule="auto"/>
              <w:rPr>
                <w:rFonts w:ascii="Tahoma" w:hAnsi="Tahoma" w:cs="Tahoma"/>
                <w:color w:val="000000"/>
                <w:sz w:val="18"/>
                <w:szCs w:val="18"/>
              </w:rPr>
            </w:pPr>
            <w:r w:rsidRPr="00C83DF5">
              <w:rPr>
                <w:rFonts w:ascii="Tahoma" w:hAnsi="Tahoma" w:cs="Tahoma"/>
                <w:color w:val="000000"/>
                <w:sz w:val="18"/>
                <w:szCs w:val="18"/>
              </w:rPr>
              <w:t>Benachrichtigung des Managements</w:t>
            </w:r>
          </w:p>
        </w:tc>
      </w:tr>
      <w:tr w:rsidR="00DB2D1E" w:rsidRPr="004D388E" w:rsidTr="00CD4898">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83DF5" w:rsidRDefault="00DB2D1E" w:rsidP="00F97460">
            <w:pPr>
              <w:pStyle w:val="tableclose"/>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B Einreichung per Telefon oder</w:t>
            </w:r>
            <w:r w:rsidR="00F97460">
              <w:rPr>
                <w:rFonts w:ascii="Tahoma" w:hAnsi="Tahoma" w:cs="Tahoma"/>
                <w:color w:val="000000"/>
                <w:sz w:val="18"/>
                <w:szCs w:val="18"/>
                <w:lang w:val="de-DE"/>
              </w:rPr>
              <w:t> </w:t>
            </w:r>
            <w:r w:rsidRPr="00C83DF5">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CD4898">
            <w:pPr>
              <w:pStyle w:val="ListBullet3"/>
              <w:numPr>
                <w:ilvl w:val="0"/>
                <w:numId w:val="60"/>
              </w:numPr>
              <w:spacing w:line="276" w:lineRule="auto"/>
              <w:rPr>
                <w:lang w:val="de-DE"/>
              </w:rPr>
            </w:pPr>
            <w:r w:rsidRPr="00C83DF5">
              <w:rPr>
                <w:rFonts w:ascii="Tahoma" w:hAnsi="Tahoma" w:cs="Tahoma"/>
                <w:color w:val="000000"/>
                <w:sz w:val="18"/>
                <w:szCs w:val="18"/>
                <w:lang w:val="de-DE"/>
              </w:rPr>
              <w:t>Mittelschwere Auswirkungen auf das</w:t>
            </w:r>
            <w:r w:rsidR="00CD4898">
              <w:rPr>
                <w:rFonts w:ascii="Tahoma" w:hAnsi="Tahoma" w:cs="Tahoma"/>
                <w:color w:val="000000"/>
                <w:sz w:val="18"/>
                <w:szCs w:val="18"/>
                <w:lang w:val="de-DE"/>
              </w:rPr>
              <w:t> </w:t>
            </w:r>
            <w:r w:rsidRPr="00C83DF5">
              <w:rPr>
                <w:rFonts w:ascii="Tahoma" w:hAnsi="Tahoma" w:cs="Tahoma"/>
                <w:color w:val="000000"/>
                <w:sz w:val="18"/>
                <w:szCs w:val="18"/>
                <w:lang w:val="de-DE"/>
              </w:rPr>
              <w:t xml:space="preserve">Geschäft: </w:t>
            </w:r>
          </w:p>
          <w:p w:rsidR="00DB2D1E" w:rsidRPr="00C83DF5" w:rsidRDefault="00DB2D1E" w:rsidP="00CD4898">
            <w:pPr>
              <w:pStyle w:val="ListBullet3"/>
              <w:numPr>
                <w:ilvl w:val="0"/>
                <w:numId w:val="60"/>
              </w:numPr>
              <w:spacing w:line="276" w:lineRule="auto"/>
              <w:rPr>
                <w:lang w:val="de-DE"/>
              </w:rPr>
            </w:pPr>
            <w:r w:rsidRPr="00C83DF5">
              <w:rPr>
                <w:rFonts w:ascii="Tahoma" w:hAnsi="Tahoma" w:cs="Tahoma"/>
                <w:color w:val="000000"/>
                <w:sz w:val="18"/>
                <w:szCs w:val="18"/>
                <w:lang w:val="de-DE"/>
              </w:rPr>
              <w:t>Mittelmäßiger Verlust oder mittelmäßige Beeinträchtigung von</w:t>
            </w:r>
            <w:r w:rsidR="00CD4898">
              <w:rPr>
                <w:rFonts w:ascii="Tahoma" w:hAnsi="Tahoma" w:cs="Tahoma"/>
                <w:color w:val="000000"/>
                <w:sz w:val="18"/>
                <w:szCs w:val="18"/>
                <w:lang w:val="de-DE"/>
              </w:rPr>
              <w:t> </w:t>
            </w:r>
            <w:r w:rsidRPr="00C83DF5">
              <w:rPr>
                <w:rFonts w:ascii="Tahoma" w:hAnsi="Tahoma" w:cs="Tahoma"/>
                <w:color w:val="000000"/>
                <w:sz w:val="18"/>
                <w:szCs w:val="18"/>
                <w:lang w:val="de-DE"/>
              </w:rPr>
              <w:t>Diensten, die Arbeit</w:t>
            </w:r>
            <w:r w:rsidR="00CD4898">
              <w:rPr>
                <w:rFonts w:ascii="Tahoma" w:hAnsi="Tahoma" w:cs="Tahoma"/>
                <w:color w:val="000000"/>
                <w:sz w:val="18"/>
                <w:szCs w:val="18"/>
                <w:lang w:val="de-DE"/>
              </w:rPr>
              <w:t> </w:t>
            </w:r>
            <w:r w:rsidRPr="00C83DF5">
              <w:rPr>
                <w:rFonts w:ascii="Tahoma" w:hAnsi="Tahoma" w:cs="Tahoma"/>
                <w:color w:val="000000"/>
                <w:sz w:val="18"/>
                <w:szCs w:val="18"/>
                <w:lang w:val="de-DE"/>
              </w:rPr>
              <w:t>kann jedoch vernünftigerweise mit Beeinträchtigungen fortgesetzt werden.</w:t>
            </w:r>
          </w:p>
          <w:p w:rsidR="00DB2D1E" w:rsidRPr="00C83DF5" w:rsidRDefault="00DB2D1E" w:rsidP="00346F4B">
            <w:pPr>
              <w:pStyle w:val="ListBullet3"/>
              <w:numPr>
                <w:ilvl w:val="0"/>
                <w:numId w:val="60"/>
              </w:numPr>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Bearbeitung innerhalb von 2 Geschäftsstunden erforderlich</w:t>
            </w:r>
            <w:r w:rsidRPr="00C83DF5">
              <w:rPr>
                <w:rFonts w:ascii="Tahoma" w:hAnsi="Tahoma" w:cs="Tahoma"/>
                <w:color w:val="000000"/>
                <w:sz w:val="18"/>
                <w:szCs w:val="18"/>
                <w:vertAlign w:val="superscript"/>
                <w:lang w:val="de-DE"/>
              </w:rPr>
              <w:t>1</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346F4B">
            <w:pPr>
              <w:pStyle w:val="ListBullet3"/>
              <w:numPr>
                <w:ilvl w:val="0"/>
                <w:numId w:val="61"/>
              </w:numPr>
              <w:spacing w:line="276" w:lineRule="auto"/>
              <w:rPr>
                <w:lang w:val="de-DE"/>
              </w:rPr>
            </w:pPr>
            <w:r w:rsidRPr="00C83DF5">
              <w:rPr>
                <w:rFonts w:ascii="Tahoma" w:hAnsi="Tahoma" w:cs="Tahoma"/>
                <w:color w:val="000000"/>
                <w:sz w:val="18"/>
                <w:szCs w:val="18"/>
                <w:lang w:val="de-DE"/>
              </w:rPr>
              <w:t>1. Reaktion auf Anruf in 2 Stunden oder weniger</w:t>
            </w:r>
          </w:p>
          <w:p w:rsidR="00DB2D1E" w:rsidRPr="00C83DF5" w:rsidRDefault="00DB2D1E" w:rsidP="00346F4B">
            <w:pPr>
              <w:pStyle w:val="ListBullet3"/>
              <w:numPr>
                <w:ilvl w:val="0"/>
                <w:numId w:val="61"/>
              </w:numPr>
              <w:spacing w:line="276" w:lineRule="auto"/>
            </w:pPr>
            <w:r w:rsidRPr="00C83DF5">
              <w:rPr>
                <w:rFonts w:ascii="Tahoma" w:hAnsi="Tahoma" w:cs="Tahoma"/>
                <w:color w:val="000000"/>
                <w:sz w:val="18"/>
                <w:szCs w:val="18"/>
              </w:rPr>
              <w:t>Bemühungen nur während der Geschäftszeiten</w:t>
            </w:r>
            <w:r w:rsidRPr="00C83DF5">
              <w:rPr>
                <w:rFonts w:ascii="Tahoma" w:hAnsi="Tahoma" w:cs="Tahoma"/>
                <w:color w:val="000000"/>
                <w:sz w:val="18"/>
                <w:szCs w:val="18"/>
                <w:vertAlign w:val="superscript"/>
              </w:rPr>
              <w:t>1</w:t>
            </w:r>
          </w:p>
          <w:p w:rsidR="00DB2D1E" w:rsidRPr="00C83DF5"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F97460">
            <w:pPr>
              <w:pStyle w:val="ListBullet3"/>
              <w:numPr>
                <w:ilvl w:val="0"/>
                <w:numId w:val="62"/>
              </w:numPr>
              <w:spacing w:line="276" w:lineRule="auto"/>
              <w:rPr>
                <w:lang w:val="de-DE"/>
              </w:rPr>
            </w:pPr>
            <w:r w:rsidRPr="00C83DF5">
              <w:rPr>
                <w:rFonts w:ascii="Tahoma" w:hAnsi="Tahoma" w:cs="Tahoma"/>
                <w:color w:val="000000"/>
                <w:sz w:val="18"/>
                <w:szCs w:val="18"/>
                <w:lang w:val="de-DE"/>
              </w:rPr>
              <w:t>Zuweisung geeigneter Ressourcen zur Aufrechterhaltung durchgehender Bemühungen während der</w:t>
            </w:r>
            <w:r w:rsidR="00F97460">
              <w:rPr>
                <w:rFonts w:ascii="Tahoma" w:hAnsi="Tahoma" w:cs="Tahoma"/>
                <w:color w:val="000000"/>
                <w:sz w:val="18"/>
                <w:szCs w:val="18"/>
                <w:lang w:val="de-DE"/>
              </w:rPr>
              <w:t> </w:t>
            </w:r>
            <w:r w:rsidRPr="00C83DF5">
              <w:rPr>
                <w:rFonts w:ascii="Tahoma" w:hAnsi="Tahoma" w:cs="Tahoma"/>
                <w:color w:val="000000"/>
                <w:sz w:val="18"/>
                <w:szCs w:val="18"/>
                <w:lang w:val="de-DE"/>
              </w:rPr>
              <w:t>Geschäftszeiten</w:t>
            </w:r>
            <w:r w:rsidRPr="00C83DF5">
              <w:rPr>
                <w:rFonts w:ascii="Tahoma" w:hAnsi="Tahoma" w:cs="Tahoma"/>
                <w:color w:val="000000"/>
                <w:sz w:val="18"/>
                <w:szCs w:val="18"/>
                <w:vertAlign w:val="superscript"/>
                <w:lang w:val="de-DE"/>
              </w:rPr>
              <w:t>1</w:t>
            </w:r>
          </w:p>
          <w:p w:rsidR="00DB2D1E" w:rsidRPr="00C83DF5" w:rsidRDefault="00DB2D1E" w:rsidP="00F97460">
            <w:pPr>
              <w:pStyle w:val="ListBullet3"/>
              <w:numPr>
                <w:ilvl w:val="0"/>
                <w:numId w:val="62"/>
              </w:numPr>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Zugriff und Reaktion von Änderungskontrollautorität innerhalb von 4</w:t>
            </w:r>
            <w:r w:rsidR="00F97460">
              <w:rPr>
                <w:rFonts w:ascii="Tahoma" w:hAnsi="Tahoma" w:cs="Tahoma"/>
                <w:color w:val="000000"/>
                <w:sz w:val="18"/>
                <w:szCs w:val="18"/>
                <w:lang w:val="de-DE"/>
              </w:rPr>
              <w:t> </w:t>
            </w:r>
            <w:r w:rsidRPr="00C83DF5">
              <w:rPr>
                <w:rFonts w:ascii="Tahoma" w:hAnsi="Tahoma" w:cs="Tahoma"/>
                <w:color w:val="000000"/>
                <w:sz w:val="18"/>
                <w:szCs w:val="18"/>
                <w:lang w:val="de-DE"/>
              </w:rPr>
              <w:t>Geschäftsstunden</w:t>
            </w:r>
            <w:r w:rsidRPr="00C83DF5">
              <w:rPr>
                <w:rFonts w:ascii="Tahoma" w:hAnsi="Tahoma" w:cs="Tahoma"/>
                <w:color w:val="000000"/>
                <w:sz w:val="18"/>
                <w:szCs w:val="18"/>
                <w:vertAlign w:val="superscript"/>
                <w:lang w:val="de-DE"/>
              </w:rPr>
              <w:t>1</w:t>
            </w:r>
          </w:p>
        </w:tc>
      </w:tr>
      <w:tr w:rsidR="00DB2D1E" w:rsidRPr="00C83DF5" w:rsidTr="00CD4898">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83DF5" w:rsidRDefault="00DB2D1E" w:rsidP="00F97460">
            <w:pPr>
              <w:pStyle w:val="tableclose"/>
              <w:keepNext/>
              <w:keepLines/>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lastRenderedPageBreak/>
              <w:t>C Einreichung per Telefon oder</w:t>
            </w:r>
            <w:r w:rsidR="00F97460">
              <w:rPr>
                <w:rFonts w:ascii="Tahoma" w:hAnsi="Tahoma" w:cs="Tahoma"/>
                <w:color w:val="000000"/>
                <w:sz w:val="18"/>
                <w:szCs w:val="18"/>
                <w:lang w:val="de-DE"/>
              </w:rPr>
              <w:t> </w:t>
            </w:r>
            <w:r w:rsidRPr="00C83DF5">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F97460">
            <w:pPr>
              <w:pStyle w:val="ListBullet3"/>
              <w:keepNext/>
              <w:keepLines/>
              <w:numPr>
                <w:ilvl w:val="0"/>
                <w:numId w:val="60"/>
              </w:numPr>
              <w:spacing w:line="276" w:lineRule="auto"/>
              <w:rPr>
                <w:lang w:val="de-DE"/>
              </w:rPr>
            </w:pPr>
            <w:r w:rsidRPr="00C83DF5">
              <w:rPr>
                <w:rFonts w:ascii="Tahoma" w:hAnsi="Tahoma" w:cs="Tahoma"/>
                <w:color w:val="000000"/>
                <w:sz w:val="18"/>
                <w:szCs w:val="18"/>
                <w:lang w:val="de-DE"/>
              </w:rPr>
              <w:t xml:space="preserve">Minimale Auswirkungen auf das Geschäft: </w:t>
            </w:r>
          </w:p>
          <w:p w:rsidR="00DB2D1E" w:rsidRPr="00C83DF5" w:rsidRDefault="00DB2D1E" w:rsidP="00F97460">
            <w:pPr>
              <w:pStyle w:val="ListBullet3"/>
              <w:keepNext/>
              <w:keepLines/>
              <w:numPr>
                <w:ilvl w:val="0"/>
                <w:numId w:val="60"/>
              </w:numPr>
              <w:spacing w:line="276" w:lineRule="auto"/>
              <w:rPr>
                <w:lang w:val="de-DE"/>
              </w:rPr>
            </w:pPr>
            <w:r w:rsidRPr="00C83DF5">
              <w:rPr>
                <w:rFonts w:ascii="Tahoma" w:hAnsi="Tahoma" w:cs="Tahoma"/>
                <w:color w:val="000000"/>
                <w:sz w:val="18"/>
                <w:szCs w:val="18"/>
                <w:lang w:val="de-DE"/>
              </w:rPr>
              <w:t>Im Wesentlichen funktionsfähig, mit geringen oder keinen Beeinträchtigungen von</w:t>
            </w:r>
            <w:r w:rsidR="00F97460">
              <w:rPr>
                <w:rFonts w:ascii="Tahoma" w:hAnsi="Tahoma" w:cs="Tahoma"/>
                <w:color w:val="000000"/>
                <w:sz w:val="18"/>
                <w:szCs w:val="18"/>
                <w:lang w:val="de-DE"/>
              </w:rPr>
              <w:t> </w:t>
            </w:r>
            <w:r w:rsidRPr="00C83DF5">
              <w:rPr>
                <w:rFonts w:ascii="Tahoma" w:hAnsi="Tahoma" w:cs="Tahoma"/>
                <w:color w:val="000000"/>
                <w:sz w:val="18"/>
                <w:szCs w:val="18"/>
                <w:lang w:val="de-DE"/>
              </w:rPr>
              <w:t>Diensten.</w:t>
            </w:r>
          </w:p>
          <w:p w:rsidR="00DB2D1E" w:rsidRPr="00C83DF5" w:rsidRDefault="00DB2D1E" w:rsidP="00F97460">
            <w:pPr>
              <w:pStyle w:val="ListBullet3"/>
              <w:keepNext/>
              <w:keepLines/>
              <w:numPr>
                <w:ilvl w:val="0"/>
                <w:numId w:val="60"/>
              </w:numPr>
              <w:spacing w:line="276" w:lineRule="auto"/>
              <w:rPr>
                <w:rFonts w:ascii="Tahoma" w:hAnsi="Tahoma" w:cs="Tahoma"/>
                <w:color w:val="000000"/>
                <w:sz w:val="18"/>
                <w:szCs w:val="18"/>
                <w:lang w:val="de-DE"/>
              </w:rPr>
            </w:pPr>
            <w:r w:rsidRPr="00C83DF5">
              <w:rPr>
                <w:rFonts w:ascii="Tahoma" w:hAnsi="Tahoma" w:cs="Tahoma"/>
                <w:color w:val="000000"/>
                <w:sz w:val="18"/>
                <w:szCs w:val="18"/>
                <w:lang w:val="de-DE"/>
              </w:rPr>
              <w:t>Bearbeitung innerhalb von 4 Geschäftsstunden erforderlich</w:t>
            </w:r>
            <w:r w:rsidRPr="00C83DF5">
              <w:rPr>
                <w:rFonts w:ascii="Tahoma" w:hAnsi="Tahoma" w:cs="Tahoma"/>
                <w:color w:val="000000"/>
                <w:sz w:val="18"/>
                <w:szCs w:val="18"/>
                <w:vertAlign w:val="superscript"/>
                <w:lang w:val="de-DE"/>
              </w:rPr>
              <w:t>1</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F97460">
            <w:pPr>
              <w:pStyle w:val="ListBullet3"/>
              <w:keepNext/>
              <w:keepLines/>
              <w:numPr>
                <w:ilvl w:val="0"/>
                <w:numId w:val="61"/>
              </w:numPr>
              <w:spacing w:line="276" w:lineRule="auto"/>
              <w:rPr>
                <w:lang w:val="de-DE"/>
              </w:rPr>
            </w:pPr>
            <w:r w:rsidRPr="00C83DF5">
              <w:rPr>
                <w:rFonts w:ascii="Tahoma" w:hAnsi="Tahoma" w:cs="Tahoma"/>
                <w:color w:val="000000"/>
                <w:sz w:val="18"/>
                <w:szCs w:val="18"/>
                <w:lang w:val="de-DE"/>
              </w:rPr>
              <w:t>1. Reaktion auf Anruf in 4 Stunden oder weniger</w:t>
            </w:r>
          </w:p>
          <w:p w:rsidR="00DB2D1E" w:rsidRPr="00C83DF5" w:rsidRDefault="00DB2D1E" w:rsidP="00F97460">
            <w:pPr>
              <w:pStyle w:val="ListBullet3"/>
              <w:keepNext/>
              <w:keepLines/>
              <w:numPr>
                <w:ilvl w:val="0"/>
                <w:numId w:val="61"/>
              </w:numPr>
              <w:spacing w:line="276" w:lineRule="auto"/>
            </w:pPr>
            <w:r w:rsidRPr="00C83DF5">
              <w:rPr>
                <w:rFonts w:ascii="Tahoma" w:hAnsi="Tahoma" w:cs="Tahoma"/>
                <w:color w:val="000000"/>
                <w:sz w:val="18"/>
                <w:szCs w:val="18"/>
              </w:rPr>
              <w:t>Bemühungen nur während der Geschäftszeiten</w:t>
            </w:r>
            <w:r w:rsidRPr="00C83DF5">
              <w:rPr>
                <w:rFonts w:ascii="Tahoma" w:hAnsi="Tahoma" w:cs="Tahoma"/>
                <w:color w:val="000000"/>
                <w:sz w:val="18"/>
                <w:szCs w:val="18"/>
                <w:vertAlign w:val="superscript"/>
              </w:rPr>
              <w:t>1</w:t>
            </w:r>
          </w:p>
          <w:p w:rsidR="00DB2D1E" w:rsidRPr="00C83DF5" w:rsidRDefault="00DB2D1E" w:rsidP="00F97460">
            <w:pPr>
              <w:pStyle w:val="tableclose"/>
              <w:keepNext/>
              <w:keepLines/>
              <w:spacing w:line="276" w:lineRule="auto"/>
              <w:ind w:left="529" w:hanging="450"/>
              <w:rPr>
                <w:rFonts w:ascii="Tahoma" w:hAnsi="Tahoma" w:cs="Tahoma"/>
                <w:color w:val="000000"/>
                <w:sz w:val="18"/>
                <w:szCs w:val="18"/>
              </w:rPr>
            </w:pP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rsidR="00DB2D1E" w:rsidRPr="00C83DF5" w:rsidRDefault="00DB2D1E" w:rsidP="00F97460">
            <w:pPr>
              <w:pStyle w:val="ListBullet3"/>
              <w:keepNext/>
              <w:keepLines/>
              <w:numPr>
                <w:ilvl w:val="0"/>
                <w:numId w:val="62"/>
              </w:numPr>
              <w:spacing w:line="276" w:lineRule="auto"/>
            </w:pPr>
            <w:r w:rsidRPr="00C83DF5">
              <w:rPr>
                <w:rFonts w:ascii="Tahoma" w:hAnsi="Tahoma" w:cs="Tahoma"/>
                <w:color w:val="000000"/>
                <w:sz w:val="18"/>
                <w:szCs w:val="18"/>
              </w:rPr>
              <w:t>Genaue Kontaktinformationen zum</w:t>
            </w:r>
            <w:r w:rsidR="00F97460">
              <w:rPr>
                <w:rFonts w:ascii="Tahoma" w:hAnsi="Tahoma" w:cs="Tahoma"/>
                <w:color w:val="000000"/>
                <w:sz w:val="18"/>
                <w:szCs w:val="18"/>
              </w:rPr>
              <w:t> </w:t>
            </w:r>
            <w:r w:rsidRPr="00C83DF5">
              <w:rPr>
                <w:rFonts w:ascii="Tahoma" w:hAnsi="Tahoma" w:cs="Tahoma"/>
                <w:color w:val="000000"/>
                <w:sz w:val="18"/>
                <w:szCs w:val="18"/>
              </w:rPr>
              <w:t>Fallinhaber</w:t>
            </w:r>
          </w:p>
          <w:p w:rsidR="00DB2D1E" w:rsidRPr="00C83DF5" w:rsidRDefault="00DB2D1E" w:rsidP="00F97460">
            <w:pPr>
              <w:pStyle w:val="ListBullet3"/>
              <w:keepNext/>
              <w:keepLines/>
              <w:numPr>
                <w:ilvl w:val="0"/>
                <w:numId w:val="62"/>
              </w:numPr>
              <w:spacing w:line="276" w:lineRule="auto"/>
              <w:rPr>
                <w:rFonts w:ascii="Tahoma" w:hAnsi="Tahoma" w:cs="Tahoma"/>
                <w:color w:val="000000"/>
                <w:sz w:val="18"/>
                <w:szCs w:val="18"/>
              </w:rPr>
            </w:pPr>
            <w:r w:rsidRPr="00C83DF5">
              <w:rPr>
                <w:rFonts w:ascii="Tahoma" w:hAnsi="Tahoma" w:cs="Tahoma"/>
                <w:color w:val="000000"/>
                <w:sz w:val="18"/>
                <w:szCs w:val="18"/>
              </w:rPr>
              <w:t>Reaktion innerhalb von</w:t>
            </w:r>
            <w:r w:rsidR="00F97460">
              <w:rPr>
                <w:rFonts w:ascii="Tahoma" w:hAnsi="Tahoma" w:cs="Tahoma"/>
                <w:color w:val="000000"/>
                <w:sz w:val="18"/>
                <w:szCs w:val="18"/>
              </w:rPr>
              <w:t> </w:t>
            </w:r>
            <w:r w:rsidRPr="00C83DF5">
              <w:rPr>
                <w:rFonts w:ascii="Tahoma" w:hAnsi="Tahoma" w:cs="Tahoma"/>
                <w:color w:val="000000"/>
                <w:sz w:val="18"/>
                <w:szCs w:val="18"/>
              </w:rPr>
              <w:t>24</w:t>
            </w:r>
            <w:r w:rsidR="00F97460">
              <w:rPr>
                <w:rFonts w:ascii="Tahoma" w:hAnsi="Tahoma" w:cs="Tahoma"/>
                <w:color w:val="000000"/>
                <w:sz w:val="18"/>
                <w:szCs w:val="18"/>
              </w:rPr>
              <w:t> </w:t>
            </w:r>
            <w:r w:rsidRPr="00C83DF5">
              <w:rPr>
                <w:rFonts w:ascii="Tahoma" w:hAnsi="Tahoma" w:cs="Tahoma"/>
                <w:color w:val="000000"/>
                <w:sz w:val="18"/>
                <w:szCs w:val="18"/>
              </w:rPr>
              <w:t>Stunden.</w:t>
            </w:r>
          </w:p>
        </w:tc>
      </w:tr>
    </w:tbl>
    <w:p w:rsidR="00DB2D1E" w:rsidRPr="00C83DF5" w:rsidRDefault="00DB2D1E" w:rsidP="00DB2D1E">
      <w:pPr>
        <w:pStyle w:val="tableclose"/>
        <w:rPr>
          <w:lang w:val="de-DE"/>
        </w:rPr>
      </w:pPr>
      <w:r w:rsidRPr="00C83DF5">
        <w:rPr>
          <w:rFonts w:ascii="Tahoma" w:hAnsi="Tahoma" w:cs="Tahoma"/>
          <w:i/>
          <w:color w:val="000000"/>
          <w:sz w:val="16"/>
          <w:szCs w:val="16"/>
          <w:vertAlign w:val="superscript"/>
          <w:lang w:val="de-DE"/>
        </w:rPr>
        <w:t>1</w:t>
      </w:r>
      <w:r w:rsidRPr="00C83DF5">
        <w:rPr>
          <w:rFonts w:ascii="Tahoma" w:hAnsi="Tahoma" w:cs="Tahoma"/>
          <w:i/>
          <w:color w:val="000000"/>
          <w:sz w:val="16"/>
          <w:szCs w:val="16"/>
          <w:lang w:val="de-DE"/>
        </w:rPr>
        <w:t xml:space="preserve"> Die Geschäftszeiten sind lokal festgelegt.</w:t>
      </w:r>
    </w:p>
    <w:p w:rsidR="00DB2D1E" w:rsidRPr="00C83DF5" w:rsidRDefault="00DB2D1E" w:rsidP="00F97460">
      <w:pPr>
        <w:pStyle w:val="tableclose"/>
        <w:ind w:left="99" w:hanging="99"/>
        <w:rPr>
          <w:lang w:val="de-DE"/>
        </w:rPr>
      </w:pPr>
      <w:r w:rsidRPr="00C83DF5">
        <w:rPr>
          <w:rFonts w:ascii="Tahoma" w:hAnsi="Tahoma" w:cs="Tahoma"/>
          <w:i/>
          <w:color w:val="000000"/>
          <w:sz w:val="16"/>
          <w:szCs w:val="16"/>
          <w:vertAlign w:val="superscript"/>
          <w:lang w:val="de-DE"/>
        </w:rPr>
        <w:t>2</w:t>
      </w:r>
      <w:r w:rsidR="00F97460">
        <w:rPr>
          <w:rFonts w:ascii="Tahoma" w:hAnsi="Tahoma" w:cs="Tahoma"/>
          <w:i/>
          <w:color w:val="000000"/>
          <w:sz w:val="16"/>
          <w:szCs w:val="16"/>
          <w:lang w:val="de-DE"/>
        </w:rPr>
        <w:tab/>
      </w:r>
      <w:r w:rsidRPr="00C83DF5">
        <w:rPr>
          <w:rFonts w:ascii="Tahoma" w:hAnsi="Tahoma" w:cs="Tahoma"/>
          <w:i/>
          <w:color w:val="000000"/>
          <w:sz w:val="16"/>
          <w:szCs w:val="16"/>
          <w:lang w:val="de-DE"/>
        </w:rPr>
        <w:t>Möglicherweise müssen wir den Schweregrad herunterstufen, falls der Kunde nicht in der Lage ist, angemessene Ressourcen oder Reaktionen bereitzustellen, um uns die Fortsetzung der Bemühungen zur Problembehebung zu ermöglichen.</w:t>
      </w:r>
    </w:p>
    <w:p w:rsidR="00DB2D1E" w:rsidRPr="008B3D04" w:rsidRDefault="00DB2D1E" w:rsidP="00F42FB8">
      <w:pPr>
        <w:rPr>
          <w:rFonts w:cs="Tahoma"/>
          <w:b/>
          <w:bCs/>
          <w:color w:val="000000"/>
          <w:sz w:val="20"/>
          <w:szCs w:val="20"/>
          <w:lang w:val="de-DE"/>
        </w:rPr>
      </w:pPr>
    </w:p>
    <w:p w:rsidR="00DB2D1E" w:rsidRPr="00C83DF5" w:rsidRDefault="00DB2D1E" w:rsidP="00DB2D1E">
      <w:pPr>
        <w:spacing w:after="120"/>
        <w:rPr>
          <w:lang w:val="de-DE"/>
        </w:rPr>
      </w:pPr>
      <w:r w:rsidRPr="00C83DF5">
        <w:rPr>
          <w:rFonts w:cs="Tahoma"/>
          <w:b/>
          <w:bCs/>
          <w:color w:val="000000"/>
          <w:szCs w:val="18"/>
          <w:lang w:val="de-DE"/>
        </w:rPr>
        <w:t>Informationsdienste</w:t>
      </w:r>
      <w:r w:rsidRPr="00C83DF5">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rsidR="00DB2D1E" w:rsidRPr="00C83DF5" w:rsidRDefault="00DB2D1E" w:rsidP="00DB2D1E">
      <w:pPr>
        <w:rPr>
          <w:lang w:val="de-DE"/>
        </w:rPr>
      </w:pPr>
      <w:r w:rsidRPr="00C83DF5">
        <w:rPr>
          <w:rFonts w:cs="Tahoma"/>
          <w:b/>
          <w:bCs/>
          <w:color w:val="000000"/>
          <w:szCs w:val="18"/>
          <w:lang w:val="de-DE"/>
        </w:rPr>
        <w:t xml:space="preserve">Zusätzliche Stunden </w:t>
      </w:r>
      <w:r w:rsidRPr="00C83DF5">
        <w:rPr>
          <w:rFonts w:cs="Tahoma"/>
          <w:color w:val="000000"/>
          <w:szCs w:val="18"/>
          <w:lang w:val="de-DE"/>
        </w:rPr>
        <w:t xml:space="preserve">können für Supportunterstützung oder Problembehebungssupport verwendet werden. </w:t>
      </w:r>
    </w:p>
    <w:p w:rsidR="00DB2D1E" w:rsidRPr="008B3D04" w:rsidRDefault="00DB2D1E" w:rsidP="00DB2D1E">
      <w:pPr>
        <w:jc w:val="both"/>
        <w:rPr>
          <w:rFonts w:cs="Tahoma"/>
          <w:b/>
          <w:bCs/>
          <w:color w:val="000000"/>
          <w:szCs w:val="18"/>
          <w:lang w:val="de-DE"/>
        </w:rPr>
      </w:pPr>
    </w:p>
    <w:p w:rsidR="00DC0853" w:rsidRPr="00C83DF5" w:rsidRDefault="00DC0853" w:rsidP="00DC0853">
      <w:pPr>
        <w:spacing w:after="60"/>
        <w:rPr>
          <w:lang w:val="de-DE"/>
        </w:rPr>
      </w:pPr>
      <w:r w:rsidRPr="00C83DF5">
        <w:rPr>
          <w:rFonts w:cs="Tahoma"/>
          <w:b/>
          <w:bCs/>
          <w:color w:val="000000"/>
          <w:szCs w:val="18"/>
          <w:lang w:val="de-DE"/>
        </w:rPr>
        <w:t>Weitere Geschäftsregeln</w:t>
      </w:r>
    </w:p>
    <w:p w:rsidR="00DB2D1E" w:rsidRPr="00C83DF5" w:rsidRDefault="00DB2D1E" w:rsidP="00F97460">
      <w:pPr>
        <w:rPr>
          <w:lang w:val="de-DE"/>
        </w:rPr>
      </w:pPr>
      <w:r w:rsidRPr="00C83DF5">
        <w:rPr>
          <w:rFonts w:cs="Tahoma"/>
          <w:color w:val="000000"/>
          <w:szCs w:val="18"/>
          <w:lang w:val="de-DE"/>
        </w:rPr>
        <w:t>Alle Services stellen Support für kommerziell freigegebene, allgemein verfügbare Microsoft-Produkte bereit (sofern</w:t>
      </w:r>
      <w:r w:rsidR="00F97460">
        <w:rPr>
          <w:rFonts w:cs="Tahoma"/>
          <w:color w:val="000000"/>
          <w:szCs w:val="18"/>
          <w:lang w:val="de-DE"/>
        </w:rPr>
        <w:t> </w:t>
      </w:r>
      <w:r w:rsidRPr="00C83DF5">
        <w:rPr>
          <w:rFonts w:cs="Tahoma"/>
          <w:color w:val="000000"/>
          <w:szCs w:val="18"/>
          <w:lang w:val="de-DE"/>
        </w:rPr>
        <w:t>sie</w:t>
      </w:r>
      <w:r w:rsidR="00F97460">
        <w:rPr>
          <w:rFonts w:cs="Tahoma"/>
          <w:color w:val="000000"/>
          <w:szCs w:val="18"/>
          <w:lang w:val="de-DE"/>
        </w:rPr>
        <w:t> </w:t>
      </w:r>
      <w:r w:rsidRPr="00C83DF5">
        <w:rPr>
          <w:rFonts w:cs="Tahoma"/>
          <w:color w:val="000000"/>
          <w:szCs w:val="18"/>
          <w:lang w:val="de-DE"/>
        </w:rPr>
        <w:t>nicht auf der Premier-Onlinewebsite oder der Supportlebenszyklus-Website von Microsoft ausdrücklich ausgeschlossen sind).</w:t>
      </w:r>
      <w:r w:rsidR="00E71F46" w:rsidRPr="00C83DF5">
        <w:rPr>
          <w:rFonts w:cs="Tahoma"/>
          <w:color w:val="000000"/>
          <w:szCs w:val="18"/>
          <w:lang w:val="de-DE"/>
        </w:rPr>
        <w:t xml:space="preserve"> </w:t>
      </w:r>
      <w:r w:rsidRPr="00C83DF5">
        <w:rPr>
          <w:rFonts w:cs="Tahoma"/>
          <w:color w:val="000000"/>
          <w:szCs w:val="18"/>
          <w:lang w:val="de-DE"/>
        </w:rPr>
        <w:t>Die Services werden im Allgemeinen stündlich abgerechnet und durch Fernübermittlung in englischer Sprache bereitgestellt (außer eine andere Sprache ist verfügbar).</w:t>
      </w:r>
      <w:r w:rsidR="00E71F46" w:rsidRPr="00C83DF5">
        <w:rPr>
          <w:rFonts w:cs="Tahoma"/>
          <w:color w:val="000000"/>
          <w:szCs w:val="18"/>
          <w:lang w:val="de-DE"/>
        </w:rPr>
        <w:t xml:space="preserve"> </w:t>
      </w:r>
      <w:r w:rsidRPr="00C83DF5">
        <w:rPr>
          <w:rFonts w:cs="Tahoma"/>
          <w:color w:val="000000"/>
          <w:szCs w:val="18"/>
          <w:lang w:val="de-DE"/>
        </w:rPr>
        <w:t>Sie werden in dem Land erbracht, in dem der Volumenlizenzvertrag unterzeichnet wurde. Besuche vor Ort sind nicht vorausbezahlt und können nur erfolgen, wenn die entsprechenden Ressourcen verfügbar sind.</w:t>
      </w:r>
      <w:r w:rsidR="00E71F46" w:rsidRPr="00C83DF5">
        <w:rPr>
          <w:rFonts w:cs="Tahoma"/>
          <w:color w:val="000000"/>
          <w:szCs w:val="18"/>
          <w:lang w:val="de-DE"/>
        </w:rPr>
        <w:t xml:space="preserve"> </w:t>
      </w:r>
      <w:r w:rsidRPr="00C83DF5">
        <w:rPr>
          <w:rFonts w:cs="Tahoma"/>
          <w:color w:val="000000"/>
          <w:szCs w:val="18"/>
          <w:lang w:val="de-DE"/>
        </w:rPr>
        <w:t>Services, die während eines Jahres nicht genutzt werden, verfallen.</w:t>
      </w:r>
      <w:r w:rsidR="00E71F46" w:rsidRPr="00C83DF5">
        <w:rPr>
          <w:rFonts w:cs="Tahoma"/>
          <w:color w:val="000000"/>
          <w:szCs w:val="18"/>
          <w:lang w:val="de-DE"/>
        </w:rPr>
        <w:t xml:space="preserve"> </w:t>
      </w:r>
      <w:r w:rsidRPr="00C83DF5">
        <w:rPr>
          <w:rFonts w:cs="Tahoma"/>
          <w:color w:val="000000"/>
          <w:szCs w:val="18"/>
          <w:lang w:val="de-DE"/>
        </w:rPr>
        <w:t>Auf Anfrage des Kunden können wir über eine DFÜ-Remoteverbindung auf sein System zugreifen, um Probleme zu analysieren.</w:t>
      </w:r>
      <w:r w:rsidR="00E71F46" w:rsidRPr="00C83DF5">
        <w:rPr>
          <w:rFonts w:cs="Tahoma"/>
          <w:color w:val="000000"/>
          <w:szCs w:val="18"/>
          <w:lang w:val="de-DE"/>
        </w:rPr>
        <w:t xml:space="preserve"> </w:t>
      </w:r>
      <w:r w:rsidRPr="00C83DF5">
        <w:rPr>
          <w:rFonts w:cs="Tahoma"/>
          <w:color w:val="000000"/>
          <w:szCs w:val="18"/>
          <w:lang w:val="de-DE"/>
        </w:rPr>
        <w:t>Der Kunde muss über einen Zugriff auf das Internet verfügen, um internetbasierte Dienste nutzen zu können.</w:t>
      </w:r>
    </w:p>
    <w:p w:rsidR="00DB2D1E" w:rsidRPr="008B3D04" w:rsidRDefault="00DB2D1E" w:rsidP="00DB2D1E">
      <w:pPr>
        <w:jc w:val="both"/>
        <w:rPr>
          <w:rFonts w:cs="Tahoma"/>
          <w:color w:val="000000"/>
          <w:szCs w:val="18"/>
          <w:lang w:val="de-DE"/>
        </w:rPr>
      </w:pPr>
    </w:p>
    <w:p w:rsidR="00596386" w:rsidRPr="00C83DF5" w:rsidRDefault="00596386" w:rsidP="00596386">
      <w:pPr>
        <w:rPr>
          <w:lang w:val="de-DE"/>
        </w:rPr>
      </w:pPr>
      <w:r w:rsidRPr="00C83DF5">
        <w:rPr>
          <w:b/>
          <w:sz w:val="24"/>
          <w:szCs w:val="24"/>
          <w:lang w:val="de-DE"/>
        </w:rPr>
        <w:t>Microsoft Windows Azure-Supportangebote</w:t>
      </w:r>
    </w:p>
    <w:p w:rsidR="00596386" w:rsidRPr="008B3D04" w:rsidRDefault="00596386" w:rsidP="00596386">
      <w:pPr>
        <w:rPr>
          <w:b/>
          <w:szCs w:val="24"/>
          <w:lang w:val="de-DE"/>
        </w:rPr>
      </w:pPr>
    </w:p>
    <w:p w:rsidR="00596386" w:rsidRPr="00C83DF5" w:rsidRDefault="00596386" w:rsidP="00596386">
      <w:pPr>
        <w:jc w:val="both"/>
        <w:rPr>
          <w:lang w:val="de-DE"/>
        </w:rPr>
      </w:pPr>
      <w:r w:rsidRPr="00C83DF5">
        <w:rPr>
          <w:rFonts w:cs="Arial"/>
          <w:color w:val="000000"/>
          <w:szCs w:val="18"/>
          <w:lang w:val="de-DE"/>
        </w:rPr>
        <w:t xml:space="preserve">Sofern unten nichts anderes dargelegt ist, sind die Windows Azure-Supportservices für Windows Azure verfügbar. </w:t>
      </w:r>
    </w:p>
    <w:p w:rsidR="00596386" w:rsidRPr="008B3D04" w:rsidRDefault="00596386" w:rsidP="00596386">
      <w:pPr>
        <w:tabs>
          <w:tab w:val="left" w:pos="360"/>
        </w:tabs>
        <w:jc w:val="both"/>
        <w:rPr>
          <w:rFonts w:cs="Arial"/>
          <w:szCs w:val="18"/>
          <w:lang w:val="de-DE"/>
        </w:rPr>
      </w:pPr>
    </w:p>
    <w:p w:rsidR="00596386" w:rsidRPr="00C83DF5" w:rsidRDefault="00596386" w:rsidP="00F97460">
      <w:pPr>
        <w:tabs>
          <w:tab w:val="left" w:pos="360"/>
        </w:tabs>
        <w:jc w:val="both"/>
        <w:rPr>
          <w:lang w:val="de-DE"/>
        </w:rPr>
      </w:pPr>
      <w:r w:rsidRPr="00C83DF5">
        <w:rPr>
          <w:rFonts w:cs="Arial"/>
          <w:szCs w:val="18"/>
          <w:lang w:val="de-DE"/>
        </w:rPr>
        <w:t>Die Services werden vom Windows Azure-Supportteam erbracht, das aus Windows Azure-Experten besteht, die</w:t>
      </w:r>
      <w:r w:rsidR="00F97460">
        <w:rPr>
          <w:rFonts w:cs="Arial"/>
          <w:szCs w:val="18"/>
          <w:lang w:val="de-DE"/>
        </w:rPr>
        <w:t> </w:t>
      </w:r>
      <w:r w:rsidRPr="00C83DF5">
        <w:rPr>
          <w:rFonts w:cs="Arial"/>
          <w:szCs w:val="18"/>
          <w:lang w:val="de-DE"/>
        </w:rPr>
        <w:t>Supportanfragen von Kunden zu Windows Azure bearbeiten</w:t>
      </w:r>
      <w:r w:rsidRPr="00C83DF5">
        <w:rPr>
          <w:rFonts w:cs="Arial"/>
          <w:snapToGrid w:val="0"/>
          <w:szCs w:val="18"/>
          <w:lang w:val="de-DE"/>
        </w:rPr>
        <w:t xml:space="preserve">. Kunden erhalten einen verbesserten </w:t>
      </w:r>
      <w:r w:rsidRPr="00C83DF5">
        <w:rPr>
          <w:rFonts w:cs="Arial"/>
          <w:szCs w:val="18"/>
          <w:lang w:val="de-DE"/>
        </w:rPr>
        <w:t>Support, der</w:t>
      </w:r>
      <w:r w:rsidR="00F97460">
        <w:rPr>
          <w:rFonts w:cs="Arial"/>
          <w:szCs w:val="18"/>
          <w:lang w:val="de-DE"/>
        </w:rPr>
        <w:t> </w:t>
      </w:r>
      <w:r w:rsidRPr="00C83DF5">
        <w:rPr>
          <w:rFonts w:cs="Arial"/>
          <w:szCs w:val="18"/>
          <w:lang w:val="de-DE"/>
        </w:rPr>
        <w:t>24</w:t>
      </w:r>
      <w:r w:rsidR="00F97460">
        <w:rPr>
          <w:rFonts w:cs="Arial"/>
          <w:szCs w:val="18"/>
          <w:lang w:val="de-DE"/>
        </w:rPr>
        <w:t> </w:t>
      </w:r>
      <w:r w:rsidRPr="00C83DF5">
        <w:rPr>
          <w:rFonts w:cs="Arial"/>
          <w:szCs w:val="18"/>
          <w:lang w:val="de-DE"/>
        </w:rPr>
        <w:t>Stunden/Tag an 7 Tagen/Woche ausschließlich in englischer Sprache verfügbar ist.</w:t>
      </w:r>
      <w:r w:rsidR="00E71F46" w:rsidRPr="00C83DF5">
        <w:rPr>
          <w:rFonts w:cs="Arial"/>
          <w:szCs w:val="18"/>
          <w:lang w:val="de-DE"/>
        </w:rPr>
        <w:t xml:space="preserve"> </w:t>
      </w:r>
      <w:r w:rsidRPr="00C83DF5">
        <w:rPr>
          <w:rFonts w:cs="Arial"/>
          <w:szCs w:val="18"/>
          <w:lang w:val="de-DE"/>
        </w:rPr>
        <w:t>Support in anderen Sprachen (</w:t>
      </w:r>
      <w:hyperlink r:id="rId30" w:history="1">
        <w:r w:rsidRPr="00C83DF5">
          <w:rPr>
            <w:rStyle w:val="Hyperlink"/>
            <w:szCs w:val="18"/>
            <w:lang w:val="de-DE"/>
          </w:rPr>
          <w:t>www.windowsazure.com/en-us/support/plans/</w:t>
        </w:r>
      </w:hyperlink>
      <w:r w:rsidRPr="00C83DF5">
        <w:rPr>
          <w:rFonts w:cs="Arial"/>
          <w:szCs w:val="18"/>
          <w:lang w:val="de-DE"/>
        </w:rPr>
        <w:t>) steht nur während der Geschäftszeiten zur Verfügung.</w:t>
      </w:r>
    </w:p>
    <w:p w:rsidR="00596386" w:rsidRPr="008B3D04" w:rsidRDefault="00596386" w:rsidP="00596386">
      <w:pPr>
        <w:tabs>
          <w:tab w:val="left" w:pos="360"/>
        </w:tabs>
        <w:jc w:val="both"/>
        <w:rPr>
          <w:rFonts w:cs="Arial"/>
          <w:szCs w:val="18"/>
          <w:lang w:val="de-DE"/>
        </w:rPr>
      </w:pPr>
    </w:p>
    <w:p w:rsidR="00596386" w:rsidRPr="00C83DF5" w:rsidRDefault="00596386" w:rsidP="00596386">
      <w:pPr>
        <w:tabs>
          <w:tab w:val="left" w:pos="360"/>
        </w:tabs>
        <w:jc w:val="both"/>
        <w:rPr>
          <w:lang w:val="de-DE"/>
        </w:rPr>
      </w:pPr>
      <w:r w:rsidRPr="00C83DF5">
        <w:rPr>
          <w:rFonts w:cs="Arial"/>
          <w:szCs w:val="18"/>
          <w:lang w:val="de-DE"/>
        </w:rPr>
        <w:t>„Fall“ ist eine unterstützte Break-Fix-Supportanfrage für ein Einzelnes Supportproblem.</w:t>
      </w:r>
      <w:r w:rsidR="00E71F46" w:rsidRPr="00C83DF5">
        <w:rPr>
          <w:rFonts w:cs="Arial"/>
          <w:szCs w:val="18"/>
          <w:lang w:val="de-DE"/>
        </w:rPr>
        <w:t xml:space="preserve"> </w:t>
      </w:r>
      <w:r w:rsidRPr="00C83DF5">
        <w:rPr>
          <w:rFonts w:cs="Arial"/>
          <w:szCs w:val="18"/>
          <w:lang w:val="de-DE"/>
        </w:rPr>
        <w:t>Ein „Einzelnes Supportproblem“ ist ein Problem, das nicht in untergeordnete Probleme aufgeteilt werden kann.</w:t>
      </w:r>
      <w:r w:rsidR="00E71F46" w:rsidRPr="00C83DF5">
        <w:rPr>
          <w:rFonts w:cs="Arial"/>
          <w:szCs w:val="18"/>
          <w:lang w:val="de-DE"/>
        </w:rPr>
        <w:t xml:space="preserve"> </w:t>
      </w:r>
      <w:r w:rsidRPr="00C83DF5">
        <w:rPr>
          <w:rFonts w:cs="Arial"/>
          <w:szCs w:val="18"/>
          <w:lang w:val="de-DE"/>
        </w:rPr>
        <w:t>Wenn ein Problem aus untergeordneten Problemen besteht, wird jedes von ihnen als separater Fall betrachtet.</w:t>
      </w:r>
      <w:r w:rsidR="00E71F46" w:rsidRPr="00C83DF5">
        <w:rPr>
          <w:rFonts w:cs="Arial"/>
          <w:szCs w:val="18"/>
          <w:lang w:val="de-DE"/>
        </w:rPr>
        <w:t xml:space="preserve"> </w:t>
      </w:r>
      <w:r w:rsidRPr="00C83DF5">
        <w:rPr>
          <w:rFonts w:cs="Arial"/>
          <w:szCs w:val="18"/>
          <w:lang w:val="de-DE"/>
        </w:rPr>
        <w:t>Fälle umfassen den wirtschaftlich angemessenen Serviceumfang, der für die Problembehandlung und Hilfe bei der Behebung des Supportproblems notwendig ist.</w:t>
      </w:r>
      <w:r w:rsidR="00E71F46" w:rsidRPr="00C83DF5">
        <w:rPr>
          <w:rFonts w:cs="Arial"/>
          <w:szCs w:val="18"/>
          <w:lang w:val="de-DE"/>
        </w:rPr>
        <w:t xml:space="preserve"> </w:t>
      </w:r>
      <w:r w:rsidRPr="00C83DF5">
        <w:rPr>
          <w:rFonts w:cs="Arial"/>
          <w:szCs w:val="18"/>
          <w:lang w:val="de-DE"/>
        </w:rPr>
        <w:t xml:space="preserve">Fälle können über die unterstützte Online-Supportwebsite unter </w:t>
      </w:r>
      <w:hyperlink r:id="rId31" w:history="1">
        <w:r w:rsidRPr="00C83DF5">
          <w:rPr>
            <w:rStyle w:val="Hyperlink"/>
            <w:rFonts w:cs="Arial"/>
            <w:szCs w:val="18"/>
            <w:lang w:val="de-DE"/>
          </w:rPr>
          <w:t>www.windowsazure.com</w:t>
        </w:r>
      </w:hyperlink>
      <w:r w:rsidRPr="00C83DF5">
        <w:rPr>
          <w:rFonts w:cs="Arial"/>
          <w:szCs w:val="18"/>
          <w:lang w:val="de-DE"/>
        </w:rPr>
        <w:t xml:space="preserve"> eingereicht werden.</w:t>
      </w:r>
      <w:r w:rsidR="00E71F46" w:rsidRPr="00C83DF5">
        <w:rPr>
          <w:rFonts w:cs="Arial"/>
          <w:szCs w:val="18"/>
          <w:lang w:val="de-DE"/>
        </w:rPr>
        <w:t xml:space="preserve"> </w:t>
      </w:r>
    </w:p>
    <w:p w:rsidR="00596386" w:rsidRPr="008B3D04" w:rsidRDefault="00596386" w:rsidP="00596386">
      <w:pPr>
        <w:tabs>
          <w:tab w:val="left" w:pos="360"/>
        </w:tabs>
        <w:jc w:val="both"/>
        <w:rPr>
          <w:rFonts w:cs="Arial"/>
          <w:szCs w:val="18"/>
          <w:lang w:val="de-DE"/>
        </w:rPr>
      </w:pPr>
    </w:p>
    <w:p w:rsidR="00596386" w:rsidRPr="00C83DF5" w:rsidRDefault="00596386" w:rsidP="00596386">
      <w:pPr>
        <w:tabs>
          <w:tab w:val="left" w:pos="360"/>
        </w:tabs>
        <w:jc w:val="both"/>
        <w:rPr>
          <w:lang w:val="de-DE"/>
        </w:rPr>
      </w:pPr>
      <w:r w:rsidRPr="00C83DF5">
        <w:rPr>
          <w:rFonts w:cs="Arial"/>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w:t>
      </w:r>
      <w:r w:rsidR="00E71F46" w:rsidRPr="00C83DF5">
        <w:rPr>
          <w:rFonts w:cs="Arial"/>
          <w:szCs w:val="18"/>
          <w:lang w:val="de-DE"/>
        </w:rPr>
        <w:t xml:space="preserve"> </w:t>
      </w:r>
      <w:r w:rsidRPr="00C83DF5">
        <w:rPr>
          <w:rFonts w:cs="Arial"/>
          <w:szCs w:val="18"/>
          <w:lang w:val="de-DE"/>
        </w:rPr>
        <w:t>Diese zusätzlichen Services unterliegen den Bestimmungen dieses separaten Vertrages.</w:t>
      </w:r>
    </w:p>
    <w:p w:rsidR="00596386" w:rsidRPr="008B3D04" w:rsidRDefault="00596386" w:rsidP="00596386">
      <w:pPr>
        <w:pStyle w:val="normal1"/>
        <w:jc w:val="both"/>
        <w:rPr>
          <w:sz w:val="18"/>
          <w:szCs w:val="18"/>
          <w:lang w:val="de-DE"/>
        </w:rPr>
      </w:pPr>
    </w:p>
    <w:p w:rsidR="00F97460" w:rsidRPr="008B3D04" w:rsidRDefault="00F97460" w:rsidP="00596386">
      <w:pPr>
        <w:pStyle w:val="normal1"/>
        <w:jc w:val="both"/>
        <w:rPr>
          <w:sz w:val="18"/>
          <w:szCs w:val="18"/>
          <w:lang w:val="de-DE"/>
        </w:rPr>
      </w:pPr>
    </w:p>
    <w:p w:rsidR="00F97460" w:rsidRPr="008B3D04" w:rsidRDefault="00F97460" w:rsidP="00596386">
      <w:pPr>
        <w:pStyle w:val="normal1"/>
        <w:jc w:val="both"/>
        <w:rPr>
          <w:sz w:val="18"/>
          <w:szCs w:val="18"/>
          <w:lang w:val="de-DE"/>
        </w:rPr>
      </w:pPr>
    </w:p>
    <w:p w:rsidR="00596386" w:rsidRPr="008B3D04" w:rsidRDefault="00596386" w:rsidP="00596386">
      <w:pPr>
        <w:widowControl w:val="0"/>
        <w:tabs>
          <w:tab w:val="left" w:pos="720"/>
          <w:tab w:val="left" w:pos="1170"/>
        </w:tabs>
        <w:rPr>
          <w:lang w:val="de-DE"/>
        </w:rPr>
      </w:pPr>
      <w:r w:rsidRPr="008B3D04">
        <w:rPr>
          <w:rFonts w:cs="Arial"/>
          <w:b/>
          <w:bCs/>
          <w:sz w:val="24"/>
          <w:szCs w:val="18"/>
          <w:lang w:val="de-DE"/>
        </w:rPr>
        <w:lastRenderedPageBreak/>
        <w:t>Professional Direct Support for Windows Azure</w:t>
      </w:r>
    </w:p>
    <w:p w:rsidR="001B7453" w:rsidRPr="008B3D04" w:rsidRDefault="001B7453" w:rsidP="006E7D7A">
      <w:pPr>
        <w:tabs>
          <w:tab w:val="left" w:pos="360"/>
        </w:tabs>
        <w:jc w:val="both"/>
        <w:rPr>
          <w:lang w:val="de-DE"/>
        </w:rPr>
      </w:pPr>
    </w:p>
    <w:p w:rsidR="00596386" w:rsidRPr="00C83DF5" w:rsidRDefault="00596386" w:rsidP="00596386">
      <w:pPr>
        <w:tabs>
          <w:tab w:val="left" w:pos="360"/>
        </w:tabs>
        <w:jc w:val="both"/>
        <w:rPr>
          <w:lang w:val="de-DE"/>
        </w:rPr>
      </w:pPr>
      <w:r w:rsidRPr="00C83DF5">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E71F46" w:rsidRPr="00C83DF5">
        <w:rPr>
          <w:rFonts w:cs="Arial"/>
          <w:color w:val="000000"/>
          <w:szCs w:val="18"/>
          <w:lang w:val="de-DE"/>
        </w:rPr>
        <w:t xml:space="preserve"> </w:t>
      </w:r>
      <w:r w:rsidRPr="00C83DF5">
        <w:rPr>
          <w:rFonts w:cs="Arial"/>
          <w:color w:val="000000"/>
          <w:szCs w:val="18"/>
          <w:lang w:val="de-DE"/>
        </w:rPr>
        <w:t>Der Schweregrad des Falls bestimmt die Reaktionsebene innerhalb von Microsoft, und geschätzte Reaktionszeiten sind in der folgenden Tabelle festgelegt.</w:t>
      </w:r>
      <w:r w:rsidR="00E71F46" w:rsidRPr="00C83DF5">
        <w:rPr>
          <w:rFonts w:cs="Arial"/>
          <w:color w:val="000000"/>
          <w:szCs w:val="18"/>
          <w:lang w:val="de-DE"/>
        </w:rPr>
        <w:t xml:space="preserve"> </w:t>
      </w:r>
      <w:r w:rsidRPr="00C83DF5">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rsidR="000D747C" w:rsidRPr="008B3D04" w:rsidRDefault="000D747C" w:rsidP="00596386">
      <w:pPr>
        <w:tabs>
          <w:tab w:val="left" w:pos="360"/>
        </w:tabs>
        <w:jc w:val="both"/>
        <w:rPr>
          <w:rFonts w:cs="Arial"/>
          <w:color w:val="000000"/>
          <w:szCs w:val="18"/>
          <w:lang w:val="de-DE"/>
        </w:rPr>
      </w:pPr>
    </w:p>
    <w:p w:rsidR="00381B33" w:rsidRPr="008B3D04" w:rsidRDefault="00381B33" w:rsidP="00DD7F8E">
      <w:pPr>
        <w:rPr>
          <w:b/>
          <w:szCs w:val="24"/>
          <w:lang w:val="de-DE"/>
        </w:rPr>
      </w:pPr>
    </w:p>
    <w:tbl>
      <w:tblPr>
        <w:tblW w:w="93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145"/>
        <w:gridCol w:w="4005"/>
        <w:gridCol w:w="2682"/>
      </w:tblGrid>
      <w:tr w:rsidR="00596386" w:rsidRPr="00C83DF5" w:rsidTr="002F15FA">
        <w:tc>
          <w:tcPr>
            <w:tcW w:w="1537" w:type="dxa"/>
            <w:shd w:val="clear" w:color="auto" w:fill="FABF8F"/>
          </w:tcPr>
          <w:p w:rsidR="00596386" w:rsidRPr="00C83DF5" w:rsidRDefault="00596386" w:rsidP="0037031E">
            <w:pPr>
              <w:jc w:val="center"/>
              <w:rPr>
                <w:rFonts w:cs="Tahoma"/>
                <w:b/>
                <w:bCs/>
                <w:color w:val="000000"/>
                <w:sz w:val="20"/>
                <w:szCs w:val="18"/>
              </w:rPr>
            </w:pPr>
            <w:r w:rsidRPr="00C83DF5">
              <w:rPr>
                <w:rFonts w:cs="Tahoma"/>
                <w:b/>
                <w:bCs/>
                <w:color w:val="000000"/>
                <w:sz w:val="20"/>
                <w:szCs w:val="18"/>
              </w:rPr>
              <w:t>Schweregrad</w:t>
            </w:r>
          </w:p>
        </w:tc>
        <w:tc>
          <w:tcPr>
            <w:tcW w:w="1145" w:type="dxa"/>
            <w:shd w:val="clear" w:color="auto" w:fill="FABF8F"/>
          </w:tcPr>
          <w:p w:rsidR="00596386" w:rsidRPr="00C83DF5" w:rsidRDefault="00596386" w:rsidP="0037031E">
            <w:pPr>
              <w:jc w:val="center"/>
              <w:rPr>
                <w:rFonts w:cs="Tahoma"/>
                <w:b/>
                <w:bCs/>
                <w:color w:val="000000"/>
                <w:sz w:val="20"/>
                <w:szCs w:val="18"/>
              </w:rPr>
            </w:pPr>
            <w:r w:rsidRPr="00C83DF5">
              <w:rPr>
                <w:rFonts w:cs="Tahoma"/>
                <w:b/>
                <w:bCs/>
                <w:color w:val="000000"/>
                <w:sz w:val="20"/>
                <w:szCs w:val="18"/>
              </w:rPr>
              <w:t>Kontakt</w:t>
            </w:r>
          </w:p>
        </w:tc>
        <w:tc>
          <w:tcPr>
            <w:tcW w:w="4005" w:type="dxa"/>
            <w:shd w:val="clear" w:color="auto" w:fill="FABF8F"/>
          </w:tcPr>
          <w:p w:rsidR="00596386" w:rsidRPr="00C83DF5" w:rsidRDefault="00596386" w:rsidP="0037031E">
            <w:pPr>
              <w:jc w:val="center"/>
              <w:rPr>
                <w:rFonts w:cs="Tahoma"/>
                <w:b/>
                <w:bCs/>
                <w:color w:val="000000"/>
                <w:sz w:val="20"/>
                <w:szCs w:val="18"/>
              </w:rPr>
            </w:pPr>
            <w:r w:rsidRPr="00C83DF5">
              <w:rPr>
                <w:rFonts w:cs="Tahoma"/>
                <w:b/>
                <w:bCs/>
                <w:color w:val="000000"/>
                <w:sz w:val="20"/>
                <w:szCs w:val="18"/>
              </w:rPr>
              <w:t>Situation des Kunden</w:t>
            </w:r>
          </w:p>
        </w:tc>
        <w:tc>
          <w:tcPr>
            <w:tcW w:w="2682" w:type="dxa"/>
            <w:shd w:val="clear" w:color="auto" w:fill="FABF8F"/>
          </w:tcPr>
          <w:p w:rsidR="00596386" w:rsidRPr="00C83DF5" w:rsidRDefault="00596386" w:rsidP="0037031E">
            <w:pPr>
              <w:jc w:val="center"/>
              <w:rPr>
                <w:rFonts w:cs="Tahoma"/>
                <w:b/>
                <w:bCs/>
                <w:color w:val="000000"/>
                <w:sz w:val="20"/>
                <w:szCs w:val="18"/>
              </w:rPr>
            </w:pPr>
            <w:r w:rsidRPr="00C83DF5">
              <w:rPr>
                <w:rFonts w:cs="Tahoma"/>
                <w:b/>
                <w:bCs/>
                <w:color w:val="000000"/>
                <w:sz w:val="20"/>
                <w:szCs w:val="18"/>
              </w:rPr>
              <w:t>Von Microsoft erwartete Reaktion</w:t>
            </w:r>
          </w:p>
        </w:tc>
      </w:tr>
      <w:tr w:rsidR="00596386" w:rsidRPr="00770044" w:rsidTr="002F15FA">
        <w:tc>
          <w:tcPr>
            <w:tcW w:w="1537" w:type="dxa"/>
          </w:tcPr>
          <w:p w:rsidR="00596386" w:rsidRPr="00F97460" w:rsidRDefault="00596386" w:rsidP="00647923">
            <w:pPr>
              <w:spacing w:after="60" w:line="240" w:lineRule="atLeast"/>
              <w:jc w:val="center"/>
              <w:rPr>
                <w:rFonts w:cs="Tahoma"/>
                <w:szCs w:val="18"/>
              </w:rPr>
            </w:pPr>
            <w:r w:rsidRPr="00F97460">
              <w:rPr>
                <w:rFonts w:cs="Tahoma"/>
                <w:szCs w:val="18"/>
              </w:rPr>
              <w:t>A</w:t>
            </w:r>
          </w:p>
        </w:tc>
        <w:tc>
          <w:tcPr>
            <w:tcW w:w="1145" w:type="dxa"/>
          </w:tcPr>
          <w:p w:rsidR="00596386" w:rsidRPr="00F97460" w:rsidRDefault="00596386" w:rsidP="00647923">
            <w:pPr>
              <w:spacing w:after="60" w:line="240" w:lineRule="atLeast"/>
              <w:jc w:val="center"/>
              <w:rPr>
                <w:rFonts w:cs="Tahoma"/>
                <w:szCs w:val="18"/>
              </w:rPr>
            </w:pPr>
            <w:r w:rsidRPr="00F97460">
              <w:rPr>
                <w:rFonts w:cs="Tahoma"/>
                <w:szCs w:val="18"/>
              </w:rPr>
              <w:t>Einreichung per Web</w:t>
            </w:r>
          </w:p>
        </w:tc>
        <w:tc>
          <w:tcPr>
            <w:tcW w:w="4005" w:type="dxa"/>
          </w:tcPr>
          <w:p w:rsidR="00596386" w:rsidRPr="00F97460" w:rsidRDefault="00596386" w:rsidP="00647923">
            <w:pPr>
              <w:spacing w:after="60" w:line="240" w:lineRule="atLeast"/>
              <w:rPr>
                <w:rFonts w:cs="Tahoma"/>
                <w:lang w:val="de-DE"/>
              </w:rPr>
            </w:pPr>
            <w:r w:rsidRPr="00F97460">
              <w:rPr>
                <w:rFonts w:cs="Tahoma"/>
                <w:szCs w:val="18"/>
                <w:lang w:val="de-DE"/>
              </w:rPr>
              <w:t>Kritische Auswirkungen auf das Geschäft:</w:t>
            </w:r>
          </w:p>
          <w:p w:rsidR="00596386" w:rsidRPr="00F97460" w:rsidRDefault="00596386" w:rsidP="00647923">
            <w:pPr>
              <w:spacing w:after="60" w:line="240" w:lineRule="atLeast"/>
              <w:rPr>
                <w:rFonts w:cs="Tahoma"/>
                <w:lang w:val="de-DE"/>
              </w:rPr>
            </w:pPr>
            <w:r w:rsidRPr="00F97460">
              <w:rPr>
                <w:rFonts w:cs="Tahoma"/>
                <w:szCs w:val="18"/>
                <w:lang w:val="de-DE"/>
              </w:rPr>
              <w:t>Erheblicher Verlust oder erhebliche Beeinträchtigung von Diensten (Anwendungsausfall)</w:t>
            </w:r>
          </w:p>
          <w:p w:rsidR="00596386" w:rsidRPr="00F97460" w:rsidRDefault="00596386" w:rsidP="00647923">
            <w:pPr>
              <w:spacing w:after="60" w:line="240" w:lineRule="atLeast"/>
              <w:rPr>
                <w:rFonts w:cs="Tahoma"/>
                <w:szCs w:val="18"/>
                <w:lang w:val="de-DE"/>
              </w:rPr>
            </w:pPr>
            <w:r w:rsidRPr="00F97460">
              <w:rPr>
                <w:rFonts w:cs="Tahoma"/>
                <w:szCs w:val="18"/>
                <w:lang w:val="de-DE"/>
              </w:rPr>
              <w:t>Bearbeitung innerhalb von 1 Stunde erforderlich</w:t>
            </w:r>
          </w:p>
        </w:tc>
        <w:tc>
          <w:tcPr>
            <w:tcW w:w="2682" w:type="dxa"/>
          </w:tcPr>
          <w:p w:rsidR="00596386" w:rsidRPr="00770044" w:rsidRDefault="00596386" w:rsidP="00770044">
            <w:pPr>
              <w:spacing w:after="60" w:line="240" w:lineRule="atLeast"/>
              <w:rPr>
                <w:rFonts w:cs="Tahoma"/>
                <w:lang w:val="de-DE"/>
              </w:rPr>
            </w:pPr>
            <w:r w:rsidRPr="00770044">
              <w:rPr>
                <w:rFonts w:cs="Tahoma"/>
                <w:szCs w:val="18"/>
                <w:lang w:val="de-DE"/>
              </w:rPr>
              <w:t>1. Reaktion in 1 Stunde oder</w:t>
            </w:r>
            <w:r w:rsidR="00770044" w:rsidRPr="00770044">
              <w:rPr>
                <w:rFonts w:cs="Tahoma"/>
                <w:szCs w:val="18"/>
                <w:lang w:val="de-DE"/>
              </w:rPr>
              <w:t> </w:t>
            </w:r>
            <w:r w:rsidRPr="00770044">
              <w:rPr>
                <w:rFonts w:cs="Tahoma"/>
                <w:szCs w:val="18"/>
                <w:lang w:val="de-DE"/>
              </w:rPr>
              <w:t>weniger</w:t>
            </w:r>
          </w:p>
          <w:p w:rsidR="00596386" w:rsidRPr="00770044" w:rsidRDefault="00596386" w:rsidP="00647923">
            <w:pPr>
              <w:spacing w:after="60" w:line="240" w:lineRule="atLeast"/>
              <w:rPr>
                <w:rFonts w:cs="Tahoma"/>
                <w:szCs w:val="18"/>
                <w:lang w:val="de-DE"/>
              </w:rPr>
            </w:pPr>
          </w:p>
        </w:tc>
      </w:tr>
      <w:tr w:rsidR="00596386" w:rsidRPr="00770044" w:rsidTr="002F15FA">
        <w:tc>
          <w:tcPr>
            <w:tcW w:w="1537" w:type="dxa"/>
          </w:tcPr>
          <w:p w:rsidR="00596386" w:rsidRPr="00F97460" w:rsidRDefault="00596386" w:rsidP="00647923">
            <w:pPr>
              <w:spacing w:after="60" w:line="240" w:lineRule="atLeast"/>
              <w:jc w:val="center"/>
              <w:rPr>
                <w:rFonts w:cs="Tahoma"/>
                <w:szCs w:val="18"/>
              </w:rPr>
            </w:pPr>
            <w:r w:rsidRPr="00F97460">
              <w:rPr>
                <w:rFonts w:cs="Tahoma"/>
                <w:szCs w:val="18"/>
              </w:rPr>
              <w:t>B</w:t>
            </w:r>
          </w:p>
        </w:tc>
        <w:tc>
          <w:tcPr>
            <w:tcW w:w="1145" w:type="dxa"/>
          </w:tcPr>
          <w:p w:rsidR="00596386" w:rsidRPr="00F97460" w:rsidRDefault="00596386" w:rsidP="00647923">
            <w:pPr>
              <w:spacing w:after="60" w:line="240" w:lineRule="atLeast"/>
              <w:jc w:val="center"/>
              <w:rPr>
                <w:rFonts w:cs="Tahoma"/>
                <w:szCs w:val="18"/>
              </w:rPr>
            </w:pPr>
            <w:r w:rsidRPr="00F97460">
              <w:rPr>
                <w:rFonts w:cs="Tahoma"/>
                <w:szCs w:val="18"/>
              </w:rPr>
              <w:t>Einreichung per Web</w:t>
            </w:r>
          </w:p>
        </w:tc>
        <w:tc>
          <w:tcPr>
            <w:tcW w:w="4005" w:type="dxa"/>
          </w:tcPr>
          <w:p w:rsidR="00596386" w:rsidRPr="00F97460" w:rsidRDefault="00596386" w:rsidP="00647923">
            <w:pPr>
              <w:spacing w:after="60" w:line="240" w:lineRule="atLeast"/>
              <w:rPr>
                <w:rFonts w:cs="Tahoma"/>
                <w:lang w:val="de-DE"/>
              </w:rPr>
            </w:pPr>
            <w:r w:rsidRPr="00F97460">
              <w:rPr>
                <w:rFonts w:cs="Tahoma"/>
                <w:szCs w:val="18"/>
                <w:lang w:val="de-DE"/>
              </w:rPr>
              <w:t xml:space="preserve">Mittelschwere Auswirkungen auf das Geschäft: </w:t>
            </w:r>
          </w:p>
          <w:p w:rsidR="00596386" w:rsidRPr="00F97460" w:rsidRDefault="00596386" w:rsidP="002F15FA">
            <w:pPr>
              <w:spacing w:line="240" w:lineRule="atLeast"/>
              <w:rPr>
                <w:rFonts w:cs="Tahoma"/>
                <w:lang w:val="de-DE"/>
              </w:rPr>
            </w:pPr>
            <w:r w:rsidRPr="00F97460">
              <w:rPr>
                <w:rFonts w:cs="Tahoma"/>
                <w:szCs w:val="18"/>
                <w:lang w:val="de-DE"/>
              </w:rPr>
              <w:t>Mittelmäßiger Verlust oder mittelmäßige Beeinträchtigung von Diensten, die Arbeit kann</w:t>
            </w:r>
            <w:r w:rsidR="002F15FA">
              <w:rPr>
                <w:rFonts w:cs="Tahoma"/>
                <w:szCs w:val="18"/>
                <w:lang w:val="de-DE"/>
              </w:rPr>
              <w:t> </w:t>
            </w:r>
            <w:r w:rsidRPr="00F97460">
              <w:rPr>
                <w:rFonts w:cs="Tahoma"/>
                <w:szCs w:val="18"/>
                <w:lang w:val="de-DE"/>
              </w:rPr>
              <w:t>jedoch vernünftigerweise mit Beeinträchtigungen fortgesetzt werden.</w:t>
            </w:r>
          </w:p>
          <w:p w:rsidR="00596386" w:rsidRPr="00F97460" w:rsidRDefault="00596386" w:rsidP="00647923">
            <w:pPr>
              <w:spacing w:after="60" w:line="240" w:lineRule="atLeast"/>
              <w:rPr>
                <w:rFonts w:cs="Tahoma"/>
                <w:szCs w:val="18"/>
                <w:lang w:val="de-DE"/>
              </w:rPr>
            </w:pPr>
            <w:r w:rsidRPr="00F97460">
              <w:rPr>
                <w:rFonts w:cs="Tahoma"/>
                <w:szCs w:val="18"/>
                <w:lang w:val="de-DE"/>
              </w:rPr>
              <w:t>Bearbeitung innerhalb von 2 Stunden erforderlich</w:t>
            </w:r>
          </w:p>
        </w:tc>
        <w:tc>
          <w:tcPr>
            <w:tcW w:w="2682" w:type="dxa"/>
          </w:tcPr>
          <w:p w:rsidR="00596386" w:rsidRPr="00770044" w:rsidRDefault="00596386" w:rsidP="00770044">
            <w:pPr>
              <w:spacing w:line="240" w:lineRule="atLeast"/>
              <w:rPr>
                <w:rFonts w:cs="Tahoma"/>
                <w:lang w:val="de-DE"/>
              </w:rPr>
            </w:pPr>
            <w:r w:rsidRPr="00770044">
              <w:rPr>
                <w:rFonts w:cs="Tahoma"/>
                <w:szCs w:val="18"/>
                <w:lang w:val="de-DE"/>
              </w:rPr>
              <w:t>1. Reaktion in 2 Stunden oder</w:t>
            </w:r>
            <w:r w:rsidR="00770044" w:rsidRPr="00770044">
              <w:rPr>
                <w:rFonts w:cs="Tahoma"/>
                <w:szCs w:val="18"/>
                <w:lang w:val="de-DE"/>
              </w:rPr>
              <w:t> </w:t>
            </w:r>
            <w:r w:rsidRPr="00770044">
              <w:rPr>
                <w:rFonts w:cs="Tahoma"/>
                <w:szCs w:val="18"/>
                <w:lang w:val="de-DE"/>
              </w:rPr>
              <w:t>weniger</w:t>
            </w:r>
          </w:p>
          <w:p w:rsidR="00596386" w:rsidRPr="00770044" w:rsidRDefault="00596386" w:rsidP="00647923">
            <w:pPr>
              <w:spacing w:after="60" w:line="240" w:lineRule="atLeast"/>
              <w:rPr>
                <w:rFonts w:cs="Tahoma"/>
                <w:szCs w:val="18"/>
                <w:lang w:val="de-DE"/>
              </w:rPr>
            </w:pPr>
          </w:p>
        </w:tc>
      </w:tr>
      <w:tr w:rsidR="00596386" w:rsidRPr="003403F9" w:rsidTr="002F15FA">
        <w:tc>
          <w:tcPr>
            <w:tcW w:w="1537" w:type="dxa"/>
          </w:tcPr>
          <w:p w:rsidR="00596386" w:rsidRPr="00F97460" w:rsidRDefault="00596386" w:rsidP="00647923">
            <w:pPr>
              <w:spacing w:after="60" w:line="240" w:lineRule="atLeast"/>
              <w:jc w:val="center"/>
              <w:rPr>
                <w:rFonts w:cs="Tahoma"/>
                <w:szCs w:val="18"/>
              </w:rPr>
            </w:pPr>
            <w:r w:rsidRPr="00F97460">
              <w:rPr>
                <w:rFonts w:cs="Tahoma"/>
                <w:szCs w:val="18"/>
              </w:rPr>
              <w:t>C</w:t>
            </w:r>
          </w:p>
        </w:tc>
        <w:tc>
          <w:tcPr>
            <w:tcW w:w="1145" w:type="dxa"/>
          </w:tcPr>
          <w:p w:rsidR="00596386" w:rsidRPr="00F97460" w:rsidRDefault="00596386" w:rsidP="00647923">
            <w:pPr>
              <w:spacing w:after="60" w:line="240" w:lineRule="atLeast"/>
              <w:jc w:val="center"/>
              <w:rPr>
                <w:rFonts w:cs="Tahoma"/>
                <w:szCs w:val="18"/>
              </w:rPr>
            </w:pPr>
            <w:r w:rsidRPr="00F97460">
              <w:rPr>
                <w:rFonts w:cs="Tahoma"/>
                <w:szCs w:val="18"/>
              </w:rPr>
              <w:t>Einreichung per Web</w:t>
            </w:r>
          </w:p>
        </w:tc>
        <w:tc>
          <w:tcPr>
            <w:tcW w:w="4005" w:type="dxa"/>
          </w:tcPr>
          <w:p w:rsidR="00596386" w:rsidRPr="00F97460" w:rsidRDefault="00596386" w:rsidP="00647923">
            <w:pPr>
              <w:rPr>
                <w:rFonts w:cs="Tahoma"/>
                <w:lang w:val="de-DE"/>
              </w:rPr>
            </w:pPr>
            <w:r w:rsidRPr="00F97460">
              <w:rPr>
                <w:rFonts w:cs="Tahoma"/>
                <w:szCs w:val="18"/>
                <w:lang w:val="de-DE"/>
              </w:rPr>
              <w:t>Minimale Auswirkungen auf das Geschäft:</w:t>
            </w:r>
          </w:p>
          <w:p w:rsidR="00596386" w:rsidRPr="00F97460" w:rsidRDefault="00596386" w:rsidP="002F15FA">
            <w:pPr>
              <w:rPr>
                <w:rFonts w:cs="Tahoma"/>
                <w:lang w:val="de-DE"/>
              </w:rPr>
            </w:pPr>
            <w:r w:rsidRPr="00F97460">
              <w:rPr>
                <w:rFonts w:cs="Tahoma"/>
                <w:szCs w:val="18"/>
                <w:lang w:val="de-DE"/>
              </w:rPr>
              <w:t>Im Wesentlichen funktionsfähig, mit</w:t>
            </w:r>
            <w:r w:rsidR="002F15FA">
              <w:rPr>
                <w:rFonts w:cs="Tahoma"/>
                <w:szCs w:val="18"/>
                <w:lang w:val="de-DE"/>
              </w:rPr>
              <w:t> </w:t>
            </w:r>
            <w:r w:rsidRPr="00F97460">
              <w:rPr>
                <w:rFonts w:cs="Tahoma"/>
                <w:szCs w:val="18"/>
                <w:lang w:val="de-DE"/>
              </w:rPr>
              <w:t>geringen oder keinen Beeinträchtigungen von Diensten.</w:t>
            </w:r>
          </w:p>
          <w:p w:rsidR="00596386" w:rsidRPr="00F97460" w:rsidRDefault="00596386" w:rsidP="00647923">
            <w:pPr>
              <w:spacing w:after="60" w:line="240" w:lineRule="atLeast"/>
              <w:rPr>
                <w:rFonts w:cs="Tahoma"/>
                <w:szCs w:val="18"/>
                <w:lang w:val="de-DE"/>
              </w:rPr>
            </w:pPr>
            <w:r w:rsidRPr="00F97460">
              <w:rPr>
                <w:rFonts w:cs="Tahoma"/>
                <w:szCs w:val="18"/>
                <w:lang w:val="de-DE"/>
              </w:rPr>
              <w:t>Bearbeitung innerhalb von 4 Stunden erforderlich</w:t>
            </w:r>
          </w:p>
        </w:tc>
        <w:tc>
          <w:tcPr>
            <w:tcW w:w="2682" w:type="dxa"/>
          </w:tcPr>
          <w:p w:rsidR="00596386" w:rsidRPr="003403F9" w:rsidRDefault="00596386" w:rsidP="00770044">
            <w:pPr>
              <w:rPr>
                <w:rFonts w:cs="Tahoma"/>
                <w:lang w:val="de-DE"/>
              </w:rPr>
            </w:pPr>
            <w:r w:rsidRPr="003403F9">
              <w:rPr>
                <w:rFonts w:cs="Tahoma"/>
                <w:szCs w:val="18"/>
                <w:lang w:val="de-DE"/>
              </w:rPr>
              <w:t>1. Reaktion in 4 Stunden oder</w:t>
            </w:r>
            <w:r w:rsidR="00770044" w:rsidRPr="003403F9">
              <w:rPr>
                <w:rFonts w:cs="Tahoma"/>
                <w:szCs w:val="18"/>
                <w:lang w:val="de-DE"/>
              </w:rPr>
              <w:t> </w:t>
            </w:r>
            <w:r w:rsidRPr="003403F9">
              <w:rPr>
                <w:rFonts w:cs="Tahoma"/>
                <w:szCs w:val="18"/>
                <w:lang w:val="de-DE"/>
              </w:rPr>
              <w:t>weniger</w:t>
            </w:r>
          </w:p>
          <w:p w:rsidR="00596386" w:rsidRPr="003403F9" w:rsidRDefault="00596386" w:rsidP="00647923">
            <w:pPr>
              <w:spacing w:line="240" w:lineRule="atLeast"/>
              <w:rPr>
                <w:rFonts w:cs="Tahoma"/>
                <w:szCs w:val="18"/>
                <w:lang w:val="de-DE"/>
              </w:rPr>
            </w:pPr>
          </w:p>
        </w:tc>
      </w:tr>
    </w:tbl>
    <w:p w:rsidR="00596386" w:rsidRPr="002F15FA" w:rsidRDefault="00596386" w:rsidP="00DD7F8E">
      <w:pPr>
        <w:rPr>
          <w:b/>
          <w:sz w:val="16"/>
          <w:szCs w:val="16"/>
        </w:rPr>
      </w:pPr>
    </w:p>
    <w:p w:rsidR="000D747C" w:rsidRPr="00C83DF5" w:rsidRDefault="000D747C" w:rsidP="000D747C">
      <w:pPr>
        <w:rPr>
          <w:lang w:val="de-DE"/>
        </w:rPr>
      </w:pPr>
      <w:r w:rsidRPr="00C83DF5">
        <w:rPr>
          <w:rFonts w:cs="Arial"/>
          <w:snapToGrid w:val="0"/>
          <w:color w:val="000000"/>
          <w:szCs w:val="18"/>
          <w:lang w:val="de-DE"/>
        </w:rPr>
        <w:t>Kunden können sich dafür entscheiden, einen Rückruf von Microsoft zu erhalten.</w:t>
      </w:r>
      <w:r w:rsidR="00E71F46" w:rsidRPr="00C83DF5">
        <w:rPr>
          <w:rFonts w:cs="Arial"/>
          <w:snapToGrid w:val="0"/>
          <w:color w:val="000000"/>
          <w:szCs w:val="18"/>
          <w:lang w:val="de-DE"/>
        </w:rPr>
        <w:t xml:space="preserve"> </w:t>
      </w:r>
      <w:r w:rsidRPr="00C83DF5">
        <w:rPr>
          <w:rFonts w:cs="Arial"/>
          <w:snapToGrid w:val="0"/>
          <w:color w:val="000000"/>
          <w:szCs w:val="18"/>
          <w:lang w:val="de-DE"/>
        </w:rPr>
        <w:t>Andernfalls übernimmt das Windows Azure-Supportteam die Fehlerbehebung und bearbeitet den Fall über Onlinekanäle (z. B. E-Mail oder Windows Azure-Portal).</w:t>
      </w:r>
    </w:p>
    <w:p w:rsidR="001C1727" w:rsidRPr="008B3D04" w:rsidRDefault="001C1727">
      <w:pPr>
        <w:rPr>
          <w:rFonts w:cs="Arial"/>
          <w:b/>
          <w:color w:val="000000"/>
          <w:sz w:val="16"/>
          <w:szCs w:val="16"/>
          <w:lang w:val="de-DE"/>
        </w:rPr>
      </w:pPr>
    </w:p>
    <w:p w:rsidR="00DC0853" w:rsidRPr="00C83DF5" w:rsidRDefault="00CB228A" w:rsidP="0047054A">
      <w:pPr>
        <w:keepNext/>
        <w:tabs>
          <w:tab w:val="left" w:pos="360"/>
        </w:tabs>
        <w:spacing w:after="60"/>
        <w:jc w:val="both"/>
        <w:rPr>
          <w:lang w:val="de-DE"/>
        </w:rPr>
      </w:pPr>
      <w:r w:rsidRPr="00C83DF5">
        <w:rPr>
          <w:rFonts w:cs="Arial"/>
          <w:b/>
          <w:color w:val="000000"/>
          <w:szCs w:val="18"/>
          <w:lang w:val="de-DE"/>
        </w:rPr>
        <w:t>Service Delivery Management</w:t>
      </w:r>
    </w:p>
    <w:p w:rsidR="00596386" w:rsidRPr="00C83DF5" w:rsidRDefault="00596386" w:rsidP="00596386">
      <w:pPr>
        <w:tabs>
          <w:tab w:val="left" w:pos="360"/>
        </w:tabs>
        <w:jc w:val="both"/>
        <w:rPr>
          <w:lang w:val="de-DE"/>
        </w:rPr>
      </w:pPr>
      <w:r w:rsidRPr="00C83DF5">
        <w:rPr>
          <w:rFonts w:cs="Arial"/>
          <w:color w:val="000000"/>
          <w:szCs w:val="18"/>
          <w:lang w:val="de-DE"/>
        </w:rPr>
        <w:t>Zusätzlich</w:t>
      </w:r>
      <w:r w:rsidRPr="00C83DF5">
        <w:rPr>
          <w:rFonts w:cs="Arial"/>
          <w:snapToGrid w:val="0"/>
          <w:szCs w:val="18"/>
          <w:lang w:val="de-DE"/>
        </w:rPr>
        <w:t xml:space="preserve"> zu den oben beschriebenen Services erhalten Kunden mit Professional Direct Support for Windows Azure </w:t>
      </w:r>
      <w:r w:rsidRPr="00C83DF5">
        <w:rPr>
          <w:rFonts w:cs="Arial"/>
          <w:snapToGrid w:val="0"/>
          <w:color w:val="000000"/>
          <w:szCs w:val="18"/>
          <w:lang w:val="de-DE"/>
        </w:rPr>
        <w:t>Hilfe bei der Koordination der Support- und Servicebeziehung für Windows Azure.</w:t>
      </w:r>
      <w:r w:rsidR="00E71F46" w:rsidRPr="00C83DF5">
        <w:rPr>
          <w:rFonts w:cs="Arial"/>
          <w:snapToGrid w:val="0"/>
          <w:color w:val="000000"/>
          <w:szCs w:val="18"/>
          <w:lang w:val="de-DE"/>
        </w:rPr>
        <w:t xml:space="preserve"> </w:t>
      </w:r>
      <w:r w:rsidRPr="00C83DF5">
        <w:rPr>
          <w:rFonts w:cs="Arial"/>
          <w:snapToGrid w:val="0"/>
          <w:color w:val="000000"/>
          <w:szCs w:val="18"/>
          <w:lang w:val="de-DE"/>
        </w:rPr>
        <w:t>Diese Services werden durch einen Pool von Servicemitarbeitern („Professional Direct Delivery Managern“) erbracht.</w:t>
      </w:r>
      <w:r w:rsidR="00E71F46" w:rsidRPr="00C83DF5">
        <w:rPr>
          <w:rFonts w:cs="Arial"/>
          <w:snapToGrid w:val="0"/>
          <w:color w:val="000000"/>
          <w:szCs w:val="18"/>
          <w:lang w:val="de-DE"/>
        </w:rPr>
        <w:t xml:space="preserve"> </w:t>
      </w:r>
      <w:r w:rsidRPr="00C83DF5">
        <w:rPr>
          <w:rFonts w:cs="Arial"/>
          <w:snapToGrid w:val="0"/>
          <w:color w:val="000000"/>
          <w:szCs w:val="18"/>
          <w:lang w:val="de-DE"/>
        </w:rPr>
        <w:t xml:space="preserve">Die Professional Direct Delivery Manager sind bei Microsoft die Vertreter </w:t>
      </w:r>
      <w:r w:rsidRPr="00C83DF5">
        <w:rPr>
          <w:rFonts w:cs="Arial"/>
          <w:szCs w:val="18"/>
          <w:lang w:val="de-DE"/>
        </w:rPr>
        <w:t xml:space="preserve">des Kunden </w:t>
      </w:r>
      <w:r w:rsidRPr="00C83DF5">
        <w:rPr>
          <w:rFonts w:cs="Arial"/>
          <w:snapToGrid w:val="0"/>
          <w:color w:val="000000"/>
          <w:szCs w:val="18"/>
          <w:lang w:val="de-DE"/>
        </w:rPr>
        <w:t>und erleichtern die Koordination mit Teams, die den für die Onlinedienste verfügbaren technischen Support bereitstellen können.</w:t>
      </w:r>
      <w:r w:rsidR="00E71F46" w:rsidRPr="00C83DF5">
        <w:rPr>
          <w:rFonts w:cs="Arial"/>
          <w:snapToGrid w:val="0"/>
          <w:color w:val="000000"/>
          <w:szCs w:val="18"/>
          <w:lang w:val="de-DE"/>
        </w:rPr>
        <w:t xml:space="preserve"> </w:t>
      </w:r>
      <w:r w:rsidRPr="00C83DF5">
        <w:rPr>
          <w:rFonts w:cs="Arial"/>
          <w:snapToGrid w:val="0"/>
          <w:color w:val="000000"/>
          <w:szCs w:val="18"/>
          <w:lang w:val="de-DE"/>
        </w:rPr>
        <w:t xml:space="preserve">Die Professional Direct Delivery Manager dienen auch als Informationslieferungspunkt und stellen dem </w:t>
      </w:r>
      <w:r w:rsidRPr="00C83DF5">
        <w:rPr>
          <w:rFonts w:cs="Arial"/>
          <w:szCs w:val="18"/>
          <w:lang w:val="de-DE"/>
        </w:rPr>
        <w:t xml:space="preserve">Kunden </w:t>
      </w:r>
      <w:r w:rsidRPr="00C83DF5">
        <w:rPr>
          <w:rFonts w:cs="Arial"/>
          <w:snapToGrid w:val="0"/>
          <w:color w:val="000000"/>
          <w:szCs w:val="18"/>
          <w:lang w:val="de-DE"/>
        </w:rPr>
        <w:t>Feedback zu den Services anderen Microsoft-Gruppen bereit.</w:t>
      </w:r>
      <w:r w:rsidR="00E71F46" w:rsidRPr="00C83DF5">
        <w:rPr>
          <w:rFonts w:cs="Arial"/>
          <w:snapToGrid w:val="0"/>
          <w:color w:val="000000"/>
          <w:szCs w:val="18"/>
          <w:lang w:val="de-DE"/>
        </w:rPr>
        <w:t xml:space="preserve"> </w:t>
      </w:r>
      <w:r w:rsidRPr="00C83DF5">
        <w:rPr>
          <w:rFonts w:cs="Arial"/>
          <w:snapToGrid w:val="0"/>
          <w:color w:val="000000"/>
          <w:szCs w:val="18"/>
          <w:lang w:val="de-DE"/>
        </w:rPr>
        <w:t>Die Professional Direct Delivery Manager stellen außerdem folgende zusätzliche Services bereit:</w:t>
      </w:r>
    </w:p>
    <w:p w:rsidR="00596386" w:rsidRPr="008B3D04" w:rsidRDefault="00596386" w:rsidP="00596386">
      <w:pPr>
        <w:tabs>
          <w:tab w:val="left" w:pos="360"/>
        </w:tabs>
        <w:jc w:val="both"/>
        <w:rPr>
          <w:rFonts w:cs="Arial"/>
          <w:color w:val="000000"/>
          <w:sz w:val="16"/>
          <w:szCs w:val="16"/>
          <w:lang w:val="de-DE"/>
        </w:rPr>
      </w:pPr>
    </w:p>
    <w:p w:rsidR="00596386" w:rsidRPr="00C83DF5" w:rsidRDefault="00596386" w:rsidP="003403F9">
      <w:pPr>
        <w:numPr>
          <w:ilvl w:val="0"/>
          <w:numId w:val="112"/>
        </w:numPr>
        <w:tabs>
          <w:tab w:val="clear" w:pos="720"/>
        </w:tabs>
        <w:spacing w:after="60"/>
        <w:ind w:left="1440"/>
        <w:jc w:val="both"/>
        <w:rPr>
          <w:lang w:val="de-DE"/>
        </w:rPr>
      </w:pPr>
      <w:r w:rsidRPr="00C83DF5">
        <w:rPr>
          <w:rFonts w:cs="Tahoma"/>
          <w:b/>
          <w:color w:val="000000"/>
          <w:szCs w:val="18"/>
          <w:lang w:val="de-DE"/>
        </w:rPr>
        <w:t>Planungs- und Ressourcenunterstützung.</w:t>
      </w:r>
      <w:r w:rsidRPr="00C83DF5">
        <w:rPr>
          <w:rFonts w:cs="Arial"/>
          <w:szCs w:val="18"/>
          <w:lang w:val="de-DE"/>
        </w:rPr>
        <w:t xml:space="preserve"> Zu Beginn dieses Vertrages bietet Microsoft über Telefonkonferenz eine Orientierungssitzung für das Management und Personal des Kunden an.</w:t>
      </w:r>
      <w:r w:rsidR="00E71F46" w:rsidRPr="00C83DF5">
        <w:rPr>
          <w:rFonts w:cs="Arial"/>
          <w:szCs w:val="18"/>
          <w:lang w:val="de-DE"/>
        </w:rPr>
        <w:t xml:space="preserve"> </w:t>
      </w:r>
      <w:r w:rsidRPr="00C83DF5">
        <w:rPr>
          <w:rFonts w:cs="Arial"/>
          <w:szCs w:val="18"/>
          <w:lang w:val="de-DE"/>
        </w:rPr>
        <w:t>Der</w:t>
      </w:r>
      <w:r w:rsidR="003403F9">
        <w:rPr>
          <w:rFonts w:cs="Arial"/>
          <w:szCs w:val="18"/>
          <w:lang w:val="de-DE"/>
        </w:rPr>
        <w:t> </w:t>
      </w:r>
      <w:r w:rsidRPr="00C83DF5">
        <w:rPr>
          <w:rFonts w:cs="Arial"/>
          <w:szCs w:val="18"/>
          <w:lang w:val="de-DE"/>
        </w:rPr>
        <w:t>Zweck dieses Meetings besteht darin, die verfügbaren Supportservices zu erörtern und etwaige Fragen zu beantworten, sodass der Kunde seine Nutzung der Services planen kann.</w:t>
      </w:r>
    </w:p>
    <w:p w:rsidR="00596386" w:rsidRPr="00C83DF5" w:rsidRDefault="00596386" w:rsidP="00346F4B">
      <w:pPr>
        <w:numPr>
          <w:ilvl w:val="0"/>
          <w:numId w:val="112"/>
        </w:numPr>
        <w:tabs>
          <w:tab w:val="clear" w:pos="720"/>
        </w:tabs>
        <w:spacing w:after="60"/>
        <w:ind w:left="1440"/>
        <w:jc w:val="both"/>
        <w:rPr>
          <w:lang w:val="de-DE"/>
        </w:rPr>
      </w:pPr>
      <w:r w:rsidRPr="00C83DF5">
        <w:rPr>
          <w:rFonts w:cs="Tahoma"/>
          <w:b/>
          <w:color w:val="000000"/>
          <w:szCs w:val="18"/>
          <w:lang w:val="de-DE"/>
        </w:rPr>
        <w:t>Eskalationsverwaltung.</w:t>
      </w:r>
      <w:r w:rsidRPr="00C83DF5">
        <w:rPr>
          <w:rFonts w:cs="Arial"/>
          <w:szCs w:val="18"/>
          <w:lang w:val="de-DE"/>
        </w:rPr>
        <w:t xml:space="preserve"> Ein Professional Direct Delivery Manager </w:t>
      </w:r>
      <w:r w:rsidRPr="00C83DF5">
        <w:rPr>
          <w:rFonts w:cs="Arial"/>
          <w:snapToGrid w:val="0"/>
          <w:szCs w:val="18"/>
          <w:lang w:val="de-DE"/>
        </w:rPr>
        <w:t>stellt dem Kunden Eskalationsverwaltungsservices für technischen Support für Windows Azure zur Verfügung.</w:t>
      </w:r>
    </w:p>
    <w:p w:rsidR="002F15FA" w:rsidRPr="002F15FA" w:rsidRDefault="002F15FA" w:rsidP="002F15FA">
      <w:pPr>
        <w:pStyle w:val="normal1"/>
        <w:jc w:val="both"/>
        <w:rPr>
          <w:color w:val="000000"/>
          <w:sz w:val="16"/>
          <w:szCs w:val="16"/>
          <w:lang w:val="de-DE"/>
        </w:rPr>
      </w:pPr>
    </w:p>
    <w:p w:rsidR="00596386" w:rsidRPr="00C83DF5" w:rsidRDefault="00CB228A" w:rsidP="00E03856">
      <w:pPr>
        <w:pStyle w:val="normal1"/>
        <w:jc w:val="both"/>
        <w:rPr>
          <w:lang w:val="de-DE"/>
        </w:rPr>
      </w:pPr>
      <w:r w:rsidRPr="00C83DF5">
        <w:rPr>
          <w:color w:val="000000"/>
          <w:sz w:val="18"/>
          <w:szCs w:val="18"/>
          <w:lang w:val="de-DE"/>
        </w:rPr>
        <w:t>Service Delivery Management-Services werden nur in englischer Sprache</w:t>
      </w:r>
      <w:r w:rsidRPr="00C83DF5">
        <w:rPr>
          <w:color w:val="FF3399"/>
          <w:sz w:val="18"/>
          <w:szCs w:val="18"/>
          <w:lang w:val="de-DE"/>
        </w:rPr>
        <w:t xml:space="preserve"> </w:t>
      </w:r>
      <w:r w:rsidRPr="00C83DF5">
        <w:rPr>
          <w:sz w:val="18"/>
          <w:szCs w:val="18"/>
          <w:lang w:val="de-DE"/>
        </w:rPr>
        <w:t>außer an Feiertagen montags bis freitags von 9.00 Uhr bis 17.00 Uhr Ortszeit erbracht.</w:t>
      </w:r>
      <w:r w:rsidRPr="00C83DF5">
        <w:rPr>
          <w:color w:val="000000"/>
          <w:sz w:val="18"/>
          <w:szCs w:val="18"/>
          <w:u w:val="single"/>
          <w:lang w:val="de-DE"/>
        </w:rPr>
        <w:t xml:space="preserve"> </w:t>
      </w:r>
    </w:p>
    <w:p w:rsidR="00DC0853" w:rsidRPr="00C83DF5" w:rsidRDefault="00596386" w:rsidP="00DC0853">
      <w:pPr>
        <w:tabs>
          <w:tab w:val="left" w:pos="360"/>
        </w:tabs>
        <w:spacing w:after="60"/>
        <w:jc w:val="both"/>
        <w:rPr>
          <w:lang w:val="de-DE"/>
        </w:rPr>
      </w:pPr>
      <w:r w:rsidRPr="00C83DF5">
        <w:rPr>
          <w:rFonts w:cs="Arial"/>
          <w:b/>
          <w:szCs w:val="18"/>
          <w:lang w:val="de-DE"/>
        </w:rPr>
        <w:lastRenderedPageBreak/>
        <w:t>Sonstige Informationsservices und Leistungen</w:t>
      </w:r>
    </w:p>
    <w:p w:rsidR="00596386" w:rsidRPr="00C83DF5" w:rsidRDefault="00596386" w:rsidP="00596386">
      <w:pPr>
        <w:tabs>
          <w:tab w:val="left" w:pos="360"/>
        </w:tabs>
        <w:jc w:val="both"/>
        <w:rPr>
          <w:lang w:val="de-DE"/>
        </w:rPr>
      </w:pPr>
      <w:r w:rsidRPr="00C83DF5">
        <w:rPr>
          <w:rFonts w:cs="Arial"/>
          <w:szCs w:val="18"/>
          <w:lang w:val="de-DE"/>
        </w:rPr>
        <w:t>Informationsservices bieten technische Informationen zu Windows Azure und Supporttools, mit denen Kunden Windows Azure effizienter und effektiver implementieren und betreiben können.</w:t>
      </w:r>
      <w:r w:rsidR="00E71F46" w:rsidRPr="00C83DF5">
        <w:rPr>
          <w:rFonts w:cs="Arial"/>
          <w:szCs w:val="18"/>
          <w:lang w:val="de-DE"/>
        </w:rPr>
        <w:t xml:space="preserve"> </w:t>
      </w:r>
      <w:r w:rsidRPr="00C83DF5">
        <w:rPr>
          <w:rFonts w:cs="Arial"/>
          <w:szCs w:val="18"/>
          <w:lang w:val="de-DE"/>
        </w:rPr>
        <w:t>Informationsservices werden nur in englischer Sprache erbracht, einschließlich der folgenden:</w:t>
      </w:r>
    </w:p>
    <w:p w:rsidR="00596386" w:rsidRPr="008B3D04" w:rsidRDefault="00596386" w:rsidP="00596386">
      <w:pPr>
        <w:tabs>
          <w:tab w:val="left" w:pos="360"/>
        </w:tabs>
        <w:jc w:val="both"/>
        <w:rPr>
          <w:rFonts w:cs="Arial"/>
          <w:szCs w:val="18"/>
          <w:lang w:val="de-DE"/>
        </w:rPr>
      </w:pPr>
    </w:p>
    <w:p w:rsidR="00596386" w:rsidRPr="00C83DF5" w:rsidRDefault="00596386" w:rsidP="00346F4B">
      <w:pPr>
        <w:pStyle w:val="ListParagraph"/>
        <w:numPr>
          <w:ilvl w:val="0"/>
          <w:numId w:val="113"/>
        </w:numPr>
        <w:tabs>
          <w:tab w:val="left" w:pos="360"/>
        </w:tabs>
        <w:spacing w:after="60"/>
        <w:ind w:left="1440"/>
        <w:contextualSpacing w:val="0"/>
        <w:jc w:val="both"/>
        <w:rPr>
          <w:lang w:val="de-DE"/>
        </w:rPr>
      </w:pPr>
      <w:r w:rsidRPr="00C83DF5">
        <w:rPr>
          <w:rFonts w:ascii="Tahoma" w:hAnsi="Tahoma" w:cs="Tahoma"/>
          <w:b/>
          <w:color w:val="000000"/>
          <w:sz w:val="18"/>
          <w:szCs w:val="18"/>
        </w:rPr>
        <w:t xml:space="preserve">Exklusive Inhalte für Professional Direct Support for Windows Azure. </w:t>
      </w:r>
      <w:r w:rsidRPr="00C83DF5">
        <w:rPr>
          <w:rFonts w:ascii="Tahoma" w:hAnsi="Tahoma" w:cs="Arial"/>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rsidR="00596386" w:rsidRPr="00C83DF5" w:rsidRDefault="00596386" w:rsidP="00346F4B">
      <w:pPr>
        <w:numPr>
          <w:ilvl w:val="0"/>
          <w:numId w:val="113"/>
        </w:numPr>
        <w:tabs>
          <w:tab w:val="left" w:pos="360"/>
        </w:tabs>
        <w:spacing w:after="60"/>
        <w:ind w:left="1440"/>
        <w:jc w:val="both"/>
        <w:rPr>
          <w:lang w:val="de-DE"/>
        </w:rPr>
      </w:pPr>
      <w:r w:rsidRPr="00C83DF5">
        <w:rPr>
          <w:rFonts w:cs="Tahoma"/>
          <w:b/>
          <w:color w:val="000000"/>
          <w:szCs w:val="18"/>
          <w:lang w:val="de-DE"/>
        </w:rPr>
        <w:t>Webinare.</w:t>
      </w:r>
      <w:r w:rsidRPr="00C83DF5">
        <w:rPr>
          <w:rFonts w:cs="Arial"/>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rsidR="00596386" w:rsidRPr="00C83DF5" w:rsidRDefault="00596386" w:rsidP="00346F4B">
      <w:pPr>
        <w:numPr>
          <w:ilvl w:val="0"/>
          <w:numId w:val="113"/>
        </w:numPr>
        <w:tabs>
          <w:tab w:val="left" w:pos="360"/>
        </w:tabs>
        <w:spacing w:after="60"/>
        <w:ind w:left="1440"/>
        <w:jc w:val="both"/>
        <w:rPr>
          <w:lang w:val="de-DE"/>
        </w:rPr>
      </w:pPr>
      <w:r w:rsidRPr="00C83DF5">
        <w:rPr>
          <w:rFonts w:cs="Tahoma"/>
          <w:b/>
          <w:color w:val="000000"/>
          <w:szCs w:val="18"/>
          <w:lang w:val="de-DE"/>
        </w:rPr>
        <w:t>Zusätzliche Beratungsdienste von Professional Direct Delivery Managern.</w:t>
      </w:r>
    </w:p>
    <w:p w:rsidR="00596386" w:rsidRPr="00C83DF5" w:rsidRDefault="00596386" w:rsidP="00346F4B">
      <w:pPr>
        <w:numPr>
          <w:ilvl w:val="1"/>
          <w:numId w:val="99"/>
        </w:numPr>
        <w:tabs>
          <w:tab w:val="left" w:pos="360"/>
        </w:tabs>
        <w:spacing w:after="60"/>
        <w:ind w:left="1980"/>
        <w:jc w:val="both"/>
        <w:rPr>
          <w:lang w:val="de-DE"/>
        </w:rPr>
      </w:pPr>
      <w:r w:rsidRPr="00C83DF5">
        <w:rPr>
          <w:rFonts w:cs="Arial"/>
          <w:snapToGrid w:val="0"/>
          <w:szCs w:val="18"/>
          <w:lang w:val="de-DE"/>
        </w:rPr>
        <w:t>Verweise auf Top-Onlineressourcen.</w:t>
      </w:r>
      <w:r w:rsidR="00E71F46" w:rsidRPr="00C83DF5">
        <w:rPr>
          <w:rFonts w:cs="Arial"/>
          <w:snapToGrid w:val="0"/>
          <w:szCs w:val="18"/>
          <w:lang w:val="de-DE"/>
        </w:rPr>
        <w:t xml:space="preserve"> </w:t>
      </w:r>
      <w:r w:rsidRPr="00C83DF5">
        <w:rPr>
          <w:rFonts w:cs="Arial"/>
          <w:snapToGrid w:val="0"/>
          <w:szCs w:val="18"/>
          <w:lang w:val="de-DE"/>
        </w:rPr>
        <w:t>Ein Professional Direct Delivery Manager stellt Kunden Empfehlungen zur Verfügung, einschließlich Anweisungen zum Zugreifen auf Self-Service-Ressourcen, die derzeit zur Beantwortung von Fragen zur Verwendung gängiger Windows Azure-Services und -Features verfügbar sind.</w:t>
      </w:r>
    </w:p>
    <w:p w:rsidR="00596386" w:rsidRPr="00C83DF5" w:rsidRDefault="00596386" w:rsidP="00346F4B">
      <w:pPr>
        <w:numPr>
          <w:ilvl w:val="1"/>
          <w:numId w:val="99"/>
        </w:numPr>
        <w:spacing w:after="60"/>
        <w:ind w:left="1980"/>
        <w:jc w:val="both"/>
        <w:rPr>
          <w:lang w:val="de-DE"/>
        </w:rPr>
      </w:pPr>
      <w:r w:rsidRPr="00C83DF5">
        <w:rPr>
          <w:rFonts w:cs="Arial"/>
          <w:snapToGrid w:val="0"/>
          <w:szCs w:val="18"/>
          <w:lang w:val="de-DE"/>
        </w:rPr>
        <w:t>Standardtrenderstellung zu Fällen.</w:t>
      </w:r>
      <w:r w:rsidR="00E71F46" w:rsidRPr="00C83DF5">
        <w:rPr>
          <w:rFonts w:cs="Arial"/>
          <w:snapToGrid w:val="0"/>
          <w:szCs w:val="18"/>
          <w:lang w:val="de-DE"/>
        </w:rPr>
        <w:t xml:space="preserve"> </w:t>
      </w:r>
      <w:r w:rsidRPr="00C83DF5">
        <w:rPr>
          <w:rFonts w:cs="Arial"/>
          <w:snapToGrid w:val="0"/>
          <w:szCs w:val="18"/>
          <w:lang w:val="de-DE"/>
        </w:rPr>
        <w:t>Ein Professional Direct Delivery Manager trägt zur Erkennung und Bewertung der Ursachen häufiger Supportanfragen bei, die von Kunden eingereicht werden, und unterbreitet Vorschläge zur künftigen Behebung derartiger Supportfälle.</w:t>
      </w:r>
    </w:p>
    <w:p w:rsidR="00596386" w:rsidRPr="00C83DF5" w:rsidRDefault="00596386" w:rsidP="003F1A34">
      <w:pPr>
        <w:numPr>
          <w:ilvl w:val="0"/>
          <w:numId w:val="113"/>
        </w:numPr>
        <w:tabs>
          <w:tab w:val="left" w:pos="360"/>
        </w:tabs>
        <w:spacing w:after="60"/>
        <w:ind w:left="1440"/>
        <w:jc w:val="both"/>
        <w:rPr>
          <w:lang w:val="de-DE"/>
        </w:rPr>
      </w:pPr>
      <w:r w:rsidRPr="00C83DF5">
        <w:rPr>
          <w:rFonts w:cs="Tahoma"/>
          <w:b/>
          <w:color w:val="000000"/>
          <w:szCs w:val="18"/>
          <w:lang w:val="de-DE"/>
        </w:rPr>
        <w:t xml:space="preserve">Windows Azure-Optimierungsberichte. </w:t>
      </w:r>
      <w:r w:rsidRPr="00C83DF5">
        <w:rPr>
          <w:rFonts w:cs="Arial"/>
          <w:szCs w:val="18"/>
          <w:lang w:val="de-DE"/>
        </w:rPr>
        <w:t>Ein Professional Direct Delivery Manager stellt regelmäßige Berichte zur Verfügung, um potenzielle Kosteneinsparungen zu erkennen, Betriebszeiten zu maximieren und die Erfahrungen der Nutzer zu verbessern.</w:t>
      </w:r>
      <w:r w:rsidR="00E71F46" w:rsidRPr="00C83DF5">
        <w:rPr>
          <w:lang w:val="de-DE"/>
        </w:rPr>
        <w:t xml:space="preserve"> </w:t>
      </w:r>
    </w:p>
    <w:p w:rsidR="00A47BFD" w:rsidRPr="008B3D04" w:rsidRDefault="00A47BFD" w:rsidP="00596386">
      <w:pPr>
        <w:pStyle w:val="normal1"/>
        <w:jc w:val="both"/>
        <w:rPr>
          <w:b/>
          <w:sz w:val="18"/>
          <w:szCs w:val="18"/>
          <w:lang w:val="de-DE"/>
        </w:rPr>
      </w:pPr>
    </w:p>
    <w:p w:rsidR="00596386" w:rsidRPr="00C83DF5" w:rsidRDefault="00596386" w:rsidP="00596386">
      <w:pPr>
        <w:tabs>
          <w:tab w:val="left" w:pos="360"/>
        </w:tabs>
        <w:jc w:val="both"/>
        <w:rPr>
          <w:lang w:val="de-DE"/>
        </w:rPr>
      </w:pPr>
      <w:r w:rsidRPr="00C83DF5">
        <w:rPr>
          <w:rFonts w:cs="Arial"/>
          <w:b/>
          <w:sz w:val="24"/>
          <w:szCs w:val="18"/>
          <w:lang w:val="de-DE"/>
        </w:rPr>
        <w:t>Standardsupport für Windows Azure</w:t>
      </w:r>
    </w:p>
    <w:p w:rsidR="00596386" w:rsidRPr="008B3D04" w:rsidRDefault="00596386" w:rsidP="00596386">
      <w:pPr>
        <w:tabs>
          <w:tab w:val="left" w:pos="360"/>
        </w:tabs>
        <w:jc w:val="both"/>
        <w:rPr>
          <w:rFonts w:cs="Arial"/>
          <w:color w:val="000000"/>
          <w:szCs w:val="18"/>
          <w:lang w:val="de-DE"/>
        </w:rPr>
      </w:pPr>
    </w:p>
    <w:p w:rsidR="00596386" w:rsidRPr="00C83DF5" w:rsidRDefault="00A47BFD" w:rsidP="002F15FA">
      <w:pPr>
        <w:rPr>
          <w:lang w:val="de-DE"/>
        </w:rPr>
      </w:pPr>
      <w:r w:rsidRPr="00C83DF5">
        <w:rPr>
          <w:rFonts w:cs="Arial"/>
          <w:color w:val="000000"/>
          <w:szCs w:val="18"/>
          <w:lang w:val="de-DE"/>
        </w:rPr>
        <w:t>Die Kunden sind dafür verantwortlich, den anfänglichen Schweregrad im Laufe des Web-Übermittlungsverfahrens und gemäß den dargelegten Richtlinien zum Schweregrad festzulegen.</w:t>
      </w:r>
      <w:r w:rsidR="00E71F46" w:rsidRPr="00C83DF5">
        <w:rPr>
          <w:rFonts w:cs="Arial"/>
          <w:color w:val="000000"/>
          <w:szCs w:val="18"/>
          <w:lang w:val="de-DE"/>
        </w:rPr>
        <w:t xml:space="preserve"> </w:t>
      </w:r>
      <w:r w:rsidRPr="00C83DF5">
        <w:rPr>
          <w:rFonts w:cs="Arial"/>
          <w:color w:val="000000"/>
          <w:szCs w:val="18"/>
          <w:lang w:val="de-DE"/>
        </w:rPr>
        <w:t xml:space="preserve">Microsoft ist dazu berechtigt, den Schweregrad herunterzustufen, falls der Kunde nicht in der Lage ist, angemessene Ressourcen oder Reaktionen bereitzustellen, um Microsoft die Fortsetzung der Bemühungen zur Problembehebung zu ermöglichen. </w:t>
      </w:r>
      <w:r w:rsidRPr="00C83DF5">
        <w:rPr>
          <w:rFonts w:cs="Arial"/>
          <w:szCs w:val="18"/>
          <w:lang w:val="de-DE"/>
        </w:rPr>
        <w:t>Der Schweregrad des Falls bestimmt die Reaktionsebene innerhalb von Microsoft und die geschätzte Reaktionszeiten, wie</w:t>
      </w:r>
      <w:r w:rsidR="002F15FA">
        <w:rPr>
          <w:rFonts w:cs="Arial"/>
          <w:szCs w:val="18"/>
          <w:lang w:val="de-DE"/>
        </w:rPr>
        <w:t> </w:t>
      </w:r>
      <w:r w:rsidRPr="00C83DF5">
        <w:rPr>
          <w:rFonts w:cs="Arial"/>
          <w:szCs w:val="18"/>
          <w:lang w:val="de-DE"/>
        </w:rPr>
        <w:t>in der Tabelle unten dargelegt. Unsere Fähigkeit, die Services zu erbringen, ist von der umfassenden und zeitgerechten Zusammenarbeit des Kunden sowie von der Genauigkeit und Vollständigkeit der vom Kunden bereitgestellten Informationen abhängig.</w:t>
      </w:r>
    </w:p>
    <w:p w:rsidR="00596386" w:rsidRPr="008B3D04" w:rsidRDefault="00596386" w:rsidP="00596386">
      <w:pPr>
        <w:rPr>
          <w:rFonts w:cs="Arial"/>
          <w:szCs w:val="18"/>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942"/>
        <w:gridCol w:w="2994"/>
        <w:gridCol w:w="3103"/>
      </w:tblGrid>
      <w:tr w:rsidR="00596386" w:rsidRPr="002F15FA" w:rsidTr="00C45C83">
        <w:trPr>
          <w:tblHeader/>
        </w:trPr>
        <w:tc>
          <w:tcPr>
            <w:tcW w:w="779" w:type="pct"/>
            <w:shd w:val="clear" w:color="auto" w:fill="FABF8F"/>
          </w:tcPr>
          <w:p w:rsidR="00596386" w:rsidRPr="002F15FA" w:rsidRDefault="00596386" w:rsidP="0037031E">
            <w:pPr>
              <w:jc w:val="center"/>
              <w:rPr>
                <w:rFonts w:cs="Tahoma"/>
                <w:b/>
                <w:bCs/>
                <w:color w:val="000000"/>
                <w:sz w:val="20"/>
                <w:szCs w:val="18"/>
              </w:rPr>
            </w:pPr>
            <w:r w:rsidRPr="002F15FA">
              <w:rPr>
                <w:rFonts w:cs="Tahoma"/>
                <w:b/>
                <w:bCs/>
                <w:color w:val="000000"/>
                <w:sz w:val="20"/>
                <w:szCs w:val="18"/>
              </w:rPr>
              <w:t>Schweregrad</w:t>
            </w:r>
          </w:p>
        </w:tc>
        <w:tc>
          <w:tcPr>
            <w:tcW w:w="1022" w:type="pct"/>
            <w:shd w:val="clear" w:color="auto" w:fill="FABF8F"/>
          </w:tcPr>
          <w:p w:rsidR="00596386" w:rsidRPr="002F15FA" w:rsidRDefault="00596386" w:rsidP="0037031E">
            <w:pPr>
              <w:jc w:val="center"/>
              <w:rPr>
                <w:rFonts w:cs="Tahoma"/>
                <w:b/>
                <w:bCs/>
                <w:color w:val="000000"/>
                <w:sz w:val="20"/>
                <w:szCs w:val="18"/>
              </w:rPr>
            </w:pPr>
            <w:r w:rsidRPr="002F15FA">
              <w:rPr>
                <w:rFonts w:cs="Tahoma"/>
                <w:b/>
                <w:bCs/>
                <w:color w:val="000000"/>
                <w:sz w:val="20"/>
                <w:szCs w:val="18"/>
              </w:rPr>
              <w:t>Kontakt</w:t>
            </w:r>
          </w:p>
        </w:tc>
        <w:tc>
          <w:tcPr>
            <w:tcW w:w="1571" w:type="pct"/>
            <w:shd w:val="clear" w:color="auto" w:fill="FABF8F"/>
          </w:tcPr>
          <w:p w:rsidR="00596386" w:rsidRPr="002F15FA" w:rsidRDefault="00596386" w:rsidP="0037031E">
            <w:pPr>
              <w:jc w:val="center"/>
              <w:rPr>
                <w:rFonts w:cs="Tahoma"/>
                <w:b/>
                <w:bCs/>
                <w:color w:val="000000"/>
                <w:sz w:val="20"/>
                <w:szCs w:val="18"/>
              </w:rPr>
            </w:pPr>
            <w:r w:rsidRPr="002F15FA">
              <w:rPr>
                <w:rFonts w:cs="Tahoma"/>
                <w:b/>
                <w:bCs/>
                <w:color w:val="000000"/>
                <w:sz w:val="20"/>
                <w:szCs w:val="18"/>
              </w:rPr>
              <w:t>Situation des Kunden</w:t>
            </w:r>
          </w:p>
        </w:tc>
        <w:tc>
          <w:tcPr>
            <w:tcW w:w="1628" w:type="pct"/>
            <w:shd w:val="clear" w:color="auto" w:fill="FABF8F"/>
          </w:tcPr>
          <w:p w:rsidR="00596386" w:rsidRPr="002F15FA" w:rsidRDefault="00596386" w:rsidP="0037031E">
            <w:pPr>
              <w:jc w:val="center"/>
              <w:rPr>
                <w:rFonts w:cs="Tahoma"/>
                <w:b/>
                <w:bCs/>
                <w:color w:val="000000"/>
                <w:sz w:val="20"/>
                <w:szCs w:val="18"/>
              </w:rPr>
            </w:pPr>
            <w:r w:rsidRPr="002F15FA">
              <w:rPr>
                <w:rFonts w:cs="Tahoma"/>
                <w:b/>
                <w:bCs/>
                <w:color w:val="000000"/>
                <w:sz w:val="20"/>
                <w:szCs w:val="18"/>
              </w:rPr>
              <w:t>Von Microsoft erwartete Reaktion</w:t>
            </w:r>
          </w:p>
        </w:tc>
      </w:tr>
      <w:tr w:rsidR="00596386" w:rsidRPr="00334DEB" w:rsidTr="002A6416">
        <w:tc>
          <w:tcPr>
            <w:tcW w:w="779" w:type="pct"/>
          </w:tcPr>
          <w:p w:rsidR="00596386" w:rsidRPr="002F15FA" w:rsidRDefault="00596386" w:rsidP="00647923">
            <w:pPr>
              <w:spacing w:after="60" w:line="240" w:lineRule="atLeast"/>
              <w:jc w:val="center"/>
              <w:rPr>
                <w:rFonts w:cs="Tahoma"/>
                <w:szCs w:val="18"/>
              </w:rPr>
            </w:pPr>
            <w:r w:rsidRPr="002F15FA">
              <w:rPr>
                <w:rFonts w:cs="Tahoma"/>
                <w:szCs w:val="18"/>
              </w:rPr>
              <w:t>A</w:t>
            </w:r>
          </w:p>
        </w:tc>
        <w:tc>
          <w:tcPr>
            <w:tcW w:w="1022" w:type="pct"/>
          </w:tcPr>
          <w:p w:rsidR="00596386" w:rsidRPr="002F15FA" w:rsidRDefault="00596386" w:rsidP="00647923">
            <w:pPr>
              <w:spacing w:after="60" w:line="240" w:lineRule="atLeast"/>
              <w:jc w:val="center"/>
              <w:rPr>
                <w:rFonts w:cs="Tahoma"/>
                <w:szCs w:val="18"/>
              </w:rPr>
            </w:pPr>
            <w:r w:rsidRPr="002F15FA">
              <w:rPr>
                <w:rFonts w:cs="Tahoma"/>
                <w:szCs w:val="18"/>
              </w:rPr>
              <w:t>Einreichung per Web</w:t>
            </w:r>
          </w:p>
        </w:tc>
        <w:tc>
          <w:tcPr>
            <w:tcW w:w="1571" w:type="pct"/>
          </w:tcPr>
          <w:p w:rsidR="00596386" w:rsidRPr="002F15FA" w:rsidRDefault="00596386" w:rsidP="00334DEB">
            <w:pPr>
              <w:spacing w:after="60" w:line="240" w:lineRule="atLeast"/>
              <w:rPr>
                <w:rFonts w:cs="Tahoma"/>
                <w:lang w:val="de-DE"/>
              </w:rPr>
            </w:pPr>
            <w:r w:rsidRPr="002F15FA">
              <w:rPr>
                <w:rFonts w:cs="Tahoma"/>
                <w:szCs w:val="18"/>
                <w:lang w:val="de-DE"/>
              </w:rPr>
              <w:t>Kritische Auswirkungen auf das</w:t>
            </w:r>
            <w:r w:rsidR="00334DEB">
              <w:rPr>
                <w:rFonts w:cs="Tahoma"/>
                <w:szCs w:val="18"/>
                <w:lang w:val="de-DE"/>
              </w:rPr>
              <w:t> </w:t>
            </w:r>
            <w:r w:rsidRPr="002F15FA">
              <w:rPr>
                <w:rFonts w:cs="Tahoma"/>
                <w:szCs w:val="18"/>
                <w:lang w:val="de-DE"/>
              </w:rPr>
              <w:t>Geschäft:</w:t>
            </w:r>
          </w:p>
          <w:p w:rsidR="00596386" w:rsidRPr="002F15FA" w:rsidRDefault="00596386" w:rsidP="00647923">
            <w:pPr>
              <w:spacing w:after="60" w:line="240" w:lineRule="atLeast"/>
              <w:rPr>
                <w:rFonts w:cs="Tahoma"/>
                <w:lang w:val="de-DE"/>
              </w:rPr>
            </w:pPr>
            <w:r w:rsidRPr="002F15FA">
              <w:rPr>
                <w:rFonts w:cs="Tahoma"/>
                <w:szCs w:val="18"/>
                <w:lang w:val="de-DE"/>
              </w:rPr>
              <w:t>Erheblicher Verlust oder erhebliche Beeinträchtigung von Diensten (Anwendungsausfall)</w:t>
            </w:r>
          </w:p>
          <w:p w:rsidR="00596386" w:rsidRPr="002F15FA" w:rsidRDefault="00596386" w:rsidP="00C45C83">
            <w:pPr>
              <w:spacing w:after="60" w:line="240" w:lineRule="atLeast"/>
              <w:rPr>
                <w:rFonts w:cs="Tahoma"/>
                <w:szCs w:val="18"/>
                <w:lang w:val="de-DE"/>
              </w:rPr>
            </w:pPr>
            <w:r w:rsidRPr="002F15FA">
              <w:rPr>
                <w:rFonts w:cs="Tahoma"/>
                <w:szCs w:val="18"/>
                <w:lang w:val="de-DE"/>
              </w:rPr>
              <w:t>Bearbeitung innerhalb von 2</w:t>
            </w:r>
            <w:r w:rsidR="00C45C83">
              <w:rPr>
                <w:rFonts w:cs="Tahoma"/>
                <w:szCs w:val="18"/>
                <w:lang w:val="de-DE"/>
              </w:rPr>
              <w:t> </w:t>
            </w:r>
            <w:r w:rsidRPr="002F15FA">
              <w:rPr>
                <w:rFonts w:cs="Tahoma"/>
                <w:szCs w:val="18"/>
                <w:lang w:val="de-DE"/>
              </w:rPr>
              <w:t>Stunden erforderlich</w:t>
            </w:r>
          </w:p>
        </w:tc>
        <w:tc>
          <w:tcPr>
            <w:tcW w:w="1628" w:type="pct"/>
          </w:tcPr>
          <w:p w:rsidR="00596386" w:rsidRPr="00334DEB" w:rsidRDefault="00596386" w:rsidP="00334DEB">
            <w:pPr>
              <w:spacing w:after="60" w:line="240" w:lineRule="atLeast"/>
              <w:rPr>
                <w:rFonts w:cs="Tahoma"/>
                <w:lang w:val="de-DE"/>
              </w:rPr>
            </w:pPr>
            <w:r w:rsidRPr="00334DEB">
              <w:rPr>
                <w:rFonts w:cs="Tahoma"/>
                <w:szCs w:val="18"/>
                <w:lang w:val="de-DE"/>
              </w:rPr>
              <w:t>1. Reaktion in 2 Stunden oder</w:t>
            </w:r>
            <w:r w:rsidR="00334DEB" w:rsidRPr="00334DEB">
              <w:rPr>
                <w:rFonts w:cs="Tahoma"/>
                <w:szCs w:val="18"/>
                <w:lang w:val="de-DE"/>
              </w:rPr>
              <w:t> </w:t>
            </w:r>
            <w:r w:rsidRPr="00334DEB">
              <w:rPr>
                <w:rFonts w:cs="Tahoma"/>
                <w:szCs w:val="18"/>
                <w:lang w:val="de-DE"/>
              </w:rPr>
              <w:t>weniger</w:t>
            </w:r>
          </w:p>
          <w:p w:rsidR="00596386" w:rsidRPr="00334DEB" w:rsidRDefault="00596386" w:rsidP="00647923">
            <w:pPr>
              <w:spacing w:after="60" w:line="240" w:lineRule="atLeast"/>
              <w:rPr>
                <w:rFonts w:cs="Tahoma"/>
                <w:szCs w:val="18"/>
                <w:lang w:val="de-DE"/>
              </w:rPr>
            </w:pPr>
          </w:p>
        </w:tc>
      </w:tr>
      <w:tr w:rsidR="00596386" w:rsidRPr="00334DEB" w:rsidTr="002A6416">
        <w:tc>
          <w:tcPr>
            <w:tcW w:w="779" w:type="pct"/>
          </w:tcPr>
          <w:p w:rsidR="00596386" w:rsidRPr="002F15FA" w:rsidRDefault="00596386" w:rsidP="00D824E9">
            <w:pPr>
              <w:keepNext/>
              <w:spacing w:after="60" w:line="240" w:lineRule="atLeast"/>
              <w:jc w:val="center"/>
              <w:rPr>
                <w:rFonts w:cs="Tahoma"/>
                <w:szCs w:val="18"/>
              </w:rPr>
            </w:pPr>
            <w:r w:rsidRPr="002F15FA">
              <w:rPr>
                <w:rFonts w:cs="Tahoma"/>
                <w:szCs w:val="18"/>
              </w:rPr>
              <w:lastRenderedPageBreak/>
              <w:t>B</w:t>
            </w:r>
          </w:p>
        </w:tc>
        <w:tc>
          <w:tcPr>
            <w:tcW w:w="1022" w:type="pct"/>
          </w:tcPr>
          <w:p w:rsidR="00596386" w:rsidRPr="002F15FA" w:rsidRDefault="00596386" w:rsidP="00647923">
            <w:pPr>
              <w:spacing w:after="60" w:line="240" w:lineRule="atLeast"/>
              <w:jc w:val="center"/>
              <w:rPr>
                <w:rFonts w:cs="Tahoma"/>
                <w:szCs w:val="18"/>
              </w:rPr>
            </w:pPr>
            <w:r w:rsidRPr="002F15FA">
              <w:rPr>
                <w:rFonts w:cs="Tahoma"/>
                <w:szCs w:val="18"/>
              </w:rPr>
              <w:t>Einreichung per Web</w:t>
            </w:r>
          </w:p>
        </w:tc>
        <w:tc>
          <w:tcPr>
            <w:tcW w:w="1571" w:type="pct"/>
          </w:tcPr>
          <w:p w:rsidR="00596386" w:rsidRPr="002F15FA" w:rsidRDefault="00596386" w:rsidP="00647923">
            <w:pPr>
              <w:spacing w:after="60" w:line="240" w:lineRule="atLeast"/>
              <w:rPr>
                <w:rFonts w:cs="Tahoma"/>
                <w:lang w:val="de-DE"/>
              </w:rPr>
            </w:pPr>
            <w:r w:rsidRPr="002F15FA">
              <w:rPr>
                <w:rFonts w:cs="Tahoma"/>
                <w:szCs w:val="18"/>
                <w:lang w:val="de-DE"/>
              </w:rPr>
              <w:t xml:space="preserve">Mittelschwere Auswirkungen auf das Geschäft: </w:t>
            </w:r>
          </w:p>
          <w:p w:rsidR="00596386" w:rsidRPr="002F15FA" w:rsidRDefault="00596386" w:rsidP="00B804D8">
            <w:pPr>
              <w:spacing w:line="240" w:lineRule="atLeast"/>
              <w:rPr>
                <w:rFonts w:cs="Tahoma"/>
                <w:lang w:val="de-DE"/>
              </w:rPr>
            </w:pPr>
            <w:r w:rsidRPr="002F15FA">
              <w:rPr>
                <w:rFonts w:cs="Tahoma"/>
                <w:szCs w:val="18"/>
                <w:lang w:val="de-DE"/>
              </w:rPr>
              <w:t>Mittelmäßiger Verlust oder mittelmäßige Beeinträchtigung von</w:t>
            </w:r>
            <w:r w:rsidR="00B804D8">
              <w:rPr>
                <w:rFonts w:cs="Tahoma"/>
                <w:szCs w:val="18"/>
                <w:lang w:val="de-DE"/>
              </w:rPr>
              <w:t> </w:t>
            </w:r>
            <w:r w:rsidRPr="002F15FA">
              <w:rPr>
                <w:rFonts w:cs="Tahoma"/>
                <w:szCs w:val="18"/>
                <w:lang w:val="de-DE"/>
              </w:rPr>
              <w:t>Diensten, die Arbeit kann jedoch vernünftigerweise mit Beeinträchtigungen fortgesetzt werden.</w:t>
            </w:r>
          </w:p>
          <w:p w:rsidR="00596386" w:rsidRPr="002F15FA" w:rsidRDefault="00596386" w:rsidP="00B804D8">
            <w:pPr>
              <w:spacing w:after="60" w:line="240" w:lineRule="atLeast"/>
              <w:rPr>
                <w:rFonts w:cs="Tahoma"/>
                <w:szCs w:val="18"/>
                <w:lang w:val="de-DE"/>
              </w:rPr>
            </w:pPr>
            <w:r w:rsidRPr="002F15FA">
              <w:rPr>
                <w:rFonts w:cs="Tahoma"/>
                <w:szCs w:val="18"/>
                <w:lang w:val="de-DE"/>
              </w:rPr>
              <w:t>Bearbeitung innerhalb von 4</w:t>
            </w:r>
            <w:r w:rsidR="00B804D8">
              <w:rPr>
                <w:rFonts w:cs="Tahoma"/>
                <w:szCs w:val="18"/>
                <w:lang w:val="de-DE"/>
              </w:rPr>
              <w:t> </w:t>
            </w:r>
            <w:r w:rsidRPr="002F15FA">
              <w:rPr>
                <w:rFonts w:cs="Tahoma"/>
                <w:szCs w:val="18"/>
                <w:lang w:val="de-DE"/>
              </w:rPr>
              <w:t>Stunden erforderlich</w:t>
            </w:r>
          </w:p>
        </w:tc>
        <w:tc>
          <w:tcPr>
            <w:tcW w:w="1628" w:type="pct"/>
          </w:tcPr>
          <w:p w:rsidR="00596386" w:rsidRPr="00334DEB" w:rsidRDefault="00596386" w:rsidP="00334DEB">
            <w:pPr>
              <w:spacing w:line="240" w:lineRule="atLeast"/>
              <w:rPr>
                <w:rFonts w:cs="Tahoma"/>
                <w:lang w:val="de-DE"/>
              </w:rPr>
            </w:pPr>
            <w:r w:rsidRPr="00334DEB">
              <w:rPr>
                <w:rFonts w:cs="Tahoma"/>
                <w:szCs w:val="18"/>
                <w:lang w:val="de-DE"/>
              </w:rPr>
              <w:t>1. Reaktion in 4 Stunden oder</w:t>
            </w:r>
            <w:r w:rsidR="00334DEB" w:rsidRPr="00334DEB">
              <w:rPr>
                <w:rFonts w:cs="Tahoma"/>
                <w:szCs w:val="18"/>
                <w:lang w:val="de-DE"/>
              </w:rPr>
              <w:t> </w:t>
            </w:r>
            <w:r w:rsidRPr="00334DEB">
              <w:rPr>
                <w:rFonts w:cs="Tahoma"/>
                <w:szCs w:val="18"/>
                <w:lang w:val="de-DE"/>
              </w:rPr>
              <w:t>weniger</w:t>
            </w:r>
          </w:p>
          <w:p w:rsidR="00596386" w:rsidRPr="00334DEB" w:rsidRDefault="00596386" w:rsidP="00647923">
            <w:pPr>
              <w:spacing w:after="60" w:line="240" w:lineRule="atLeast"/>
              <w:rPr>
                <w:rFonts w:cs="Tahoma"/>
                <w:szCs w:val="18"/>
                <w:lang w:val="de-DE"/>
              </w:rPr>
            </w:pPr>
          </w:p>
        </w:tc>
      </w:tr>
      <w:tr w:rsidR="00596386" w:rsidRPr="00334DEB" w:rsidTr="002A6416">
        <w:tc>
          <w:tcPr>
            <w:tcW w:w="779" w:type="pct"/>
          </w:tcPr>
          <w:p w:rsidR="00596386" w:rsidRPr="002F15FA" w:rsidRDefault="00596386" w:rsidP="00647923">
            <w:pPr>
              <w:spacing w:after="60" w:line="240" w:lineRule="atLeast"/>
              <w:jc w:val="center"/>
              <w:rPr>
                <w:rFonts w:cs="Tahoma"/>
                <w:szCs w:val="18"/>
              </w:rPr>
            </w:pPr>
            <w:r w:rsidRPr="002F15FA">
              <w:rPr>
                <w:rFonts w:cs="Tahoma"/>
                <w:szCs w:val="18"/>
              </w:rPr>
              <w:t>C</w:t>
            </w:r>
          </w:p>
        </w:tc>
        <w:tc>
          <w:tcPr>
            <w:tcW w:w="1022" w:type="pct"/>
          </w:tcPr>
          <w:p w:rsidR="00596386" w:rsidRPr="002F15FA" w:rsidRDefault="00596386" w:rsidP="00647923">
            <w:pPr>
              <w:spacing w:after="60" w:line="240" w:lineRule="atLeast"/>
              <w:jc w:val="center"/>
              <w:rPr>
                <w:rFonts w:cs="Tahoma"/>
                <w:szCs w:val="18"/>
              </w:rPr>
            </w:pPr>
            <w:r w:rsidRPr="002F15FA">
              <w:rPr>
                <w:rFonts w:cs="Tahoma"/>
                <w:szCs w:val="18"/>
              </w:rPr>
              <w:t>Einreichung per Web</w:t>
            </w:r>
          </w:p>
        </w:tc>
        <w:tc>
          <w:tcPr>
            <w:tcW w:w="1571" w:type="pct"/>
          </w:tcPr>
          <w:p w:rsidR="00596386" w:rsidRPr="002F15FA" w:rsidRDefault="00596386" w:rsidP="002E47AC">
            <w:pPr>
              <w:rPr>
                <w:rFonts w:cs="Tahoma"/>
                <w:lang w:val="de-DE"/>
              </w:rPr>
            </w:pPr>
            <w:r w:rsidRPr="002F15FA">
              <w:rPr>
                <w:rFonts w:cs="Tahoma"/>
                <w:szCs w:val="18"/>
                <w:lang w:val="de-DE"/>
              </w:rPr>
              <w:t>Minimale Auswirkungen auf das</w:t>
            </w:r>
            <w:r w:rsidR="002E47AC">
              <w:rPr>
                <w:rFonts w:cs="Tahoma"/>
                <w:szCs w:val="18"/>
                <w:lang w:val="de-DE"/>
              </w:rPr>
              <w:t> </w:t>
            </w:r>
            <w:r w:rsidRPr="002F15FA">
              <w:rPr>
                <w:rFonts w:cs="Tahoma"/>
                <w:szCs w:val="18"/>
                <w:lang w:val="de-DE"/>
              </w:rPr>
              <w:t>Geschäft:</w:t>
            </w:r>
          </w:p>
          <w:p w:rsidR="00596386" w:rsidRPr="002F15FA" w:rsidRDefault="00596386" w:rsidP="00647923">
            <w:pPr>
              <w:rPr>
                <w:rFonts w:cs="Tahoma"/>
                <w:lang w:val="de-DE"/>
              </w:rPr>
            </w:pPr>
            <w:r w:rsidRPr="002F15FA">
              <w:rPr>
                <w:rFonts w:cs="Tahoma"/>
                <w:szCs w:val="18"/>
                <w:lang w:val="de-DE"/>
              </w:rPr>
              <w:t>Im Wesentlichen funktionsfähig, mit geringen oder keinen Beeinträchtigungen von Diensten.</w:t>
            </w:r>
          </w:p>
          <w:p w:rsidR="00596386" w:rsidRPr="002F15FA" w:rsidRDefault="00596386" w:rsidP="00B804D8">
            <w:pPr>
              <w:spacing w:after="60" w:line="240" w:lineRule="atLeast"/>
              <w:rPr>
                <w:rFonts w:cs="Tahoma"/>
                <w:szCs w:val="18"/>
                <w:lang w:val="de-DE"/>
              </w:rPr>
            </w:pPr>
            <w:r w:rsidRPr="002F15FA">
              <w:rPr>
                <w:rFonts w:cs="Tahoma"/>
                <w:szCs w:val="18"/>
                <w:lang w:val="de-DE"/>
              </w:rPr>
              <w:t>Bearbeitung innerhalb von 8</w:t>
            </w:r>
            <w:r w:rsidR="00B804D8">
              <w:rPr>
                <w:rFonts w:cs="Tahoma"/>
                <w:szCs w:val="18"/>
                <w:lang w:val="de-DE"/>
              </w:rPr>
              <w:t> </w:t>
            </w:r>
            <w:r w:rsidRPr="002F15FA">
              <w:rPr>
                <w:rFonts w:cs="Tahoma"/>
                <w:szCs w:val="18"/>
                <w:lang w:val="de-DE"/>
              </w:rPr>
              <w:t>Stunden erforderlich</w:t>
            </w:r>
          </w:p>
        </w:tc>
        <w:tc>
          <w:tcPr>
            <w:tcW w:w="1628" w:type="pct"/>
          </w:tcPr>
          <w:p w:rsidR="00596386" w:rsidRPr="00334DEB" w:rsidRDefault="00596386" w:rsidP="00334DEB">
            <w:pPr>
              <w:rPr>
                <w:rFonts w:cs="Tahoma"/>
                <w:lang w:val="de-DE"/>
              </w:rPr>
            </w:pPr>
            <w:r w:rsidRPr="00334DEB">
              <w:rPr>
                <w:rFonts w:cs="Tahoma"/>
                <w:szCs w:val="18"/>
                <w:lang w:val="de-DE"/>
              </w:rPr>
              <w:t>1. Reaktion in 8 Stunden oder</w:t>
            </w:r>
            <w:r w:rsidR="00334DEB" w:rsidRPr="00334DEB">
              <w:rPr>
                <w:rFonts w:cs="Tahoma"/>
                <w:szCs w:val="18"/>
                <w:lang w:val="de-DE"/>
              </w:rPr>
              <w:t> </w:t>
            </w:r>
            <w:r w:rsidRPr="00334DEB">
              <w:rPr>
                <w:rFonts w:cs="Tahoma"/>
                <w:szCs w:val="18"/>
                <w:lang w:val="de-DE"/>
              </w:rPr>
              <w:t>weniger</w:t>
            </w:r>
          </w:p>
          <w:p w:rsidR="00596386" w:rsidRPr="00334DEB" w:rsidRDefault="00596386" w:rsidP="00647923">
            <w:pPr>
              <w:spacing w:line="240" w:lineRule="atLeast"/>
              <w:rPr>
                <w:rFonts w:cs="Tahoma"/>
                <w:szCs w:val="18"/>
                <w:lang w:val="de-DE"/>
              </w:rPr>
            </w:pPr>
          </w:p>
        </w:tc>
      </w:tr>
    </w:tbl>
    <w:p w:rsidR="00596386" w:rsidRPr="007646CF" w:rsidRDefault="00596386" w:rsidP="00596386">
      <w:pPr>
        <w:rPr>
          <w:b/>
          <w:sz w:val="22"/>
          <w:szCs w:val="24"/>
        </w:rPr>
      </w:pPr>
    </w:p>
    <w:p w:rsidR="00596386" w:rsidRPr="00C83DF5" w:rsidRDefault="00596386" w:rsidP="00596386">
      <w:pPr>
        <w:tabs>
          <w:tab w:val="left" w:pos="360"/>
        </w:tabs>
        <w:jc w:val="both"/>
        <w:rPr>
          <w:lang w:val="de-DE"/>
        </w:rPr>
      </w:pPr>
      <w:r w:rsidRPr="00C83DF5">
        <w:rPr>
          <w:rFonts w:cs="Arial"/>
          <w:snapToGrid w:val="0"/>
          <w:color w:val="000000"/>
          <w:szCs w:val="18"/>
          <w:lang w:val="de-DE"/>
        </w:rPr>
        <w:t>Kunden können sich dafür entscheiden, bei bis zu 3 Fällen pro Monat einen Rückruf von Microsoft zu erhalten.</w:t>
      </w:r>
      <w:r w:rsidR="00E71F46" w:rsidRPr="00C83DF5">
        <w:rPr>
          <w:rFonts w:cs="Arial"/>
          <w:snapToGrid w:val="0"/>
          <w:color w:val="000000"/>
          <w:szCs w:val="18"/>
          <w:lang w:val="de-DE"/>
        </w:rPr>
        <w:t xml:space="preserve"> </w:t>
      </w:r>
      <w:r w:rsidRPr="00C83DF5">
        <w:rPr>
          <w:rFonts w:cs="Arial"/>
          <w:snapToGrid w:val="0"/>
          <w:color w:val="000000"/>
          <w:szCs w:val="18"/>
          <w:lang w:val="de-DE"/>
        </w:rPr>
        <w:t>Andernfalls übernimmt das Windows Azure-Supportteam die Fehlerbehebung und bearbeitet den Fall über Onlinekanäle (z. B. E-Mail oder Windows Azure-Portal).</w:t>
      </w:r>
      <w:r w:rsidR="00E71F46" w:rsidRPr="00C83DF5">
        <w:rPr>
          <w:rFonts w:cs="Arial"/>
          <w:snapToGrid w:val="0"/>
          <w:color w:val="000000"/>
          <w:szCs w:val="18"/>
          <w:lang w:val="de-DE"/>
        </w:rPr>
        <w:t xml:space="preserve"> </w:t>
      </w:r>
    </w:p>
    <w:p w:rsidR="00596386" w:rsidRPr="008B3D04" w:rsidRDefault="00596386" w:rsidP="00DD7F8E">
      <w:pPr>
        <w:rPr>
          <w:b/>
          <w:szCs w:val="24"/>
          <w:lang w:val="de-DE"/>
        </w:rPr>
      </w:pPr>
    </w:p>
    <w:p w:rsidR="00DD7F8E" w:rsidRPr="00C83DF5" w:rsidRDefault="00DD7F8E" w:rsidP="00DD7F8E">
      <w:pPr>
        <w:rPr>
          <w:lang w:val="de-DE"/>
        </w:rPr>
      </w:pPr>
      <w:r w:rsidRPr="00C83DF5">
        <w:rPr>
          <w:b/>
          <w:sz w:val="24"/>
          <w:szCs w:val="24"/>
          <w:lang w:val="de-DE"/>
        </w:rPr>
        <w:t>Microsoft Enterprise Strategy-Programmangebote</w:t>
      </w:r>
    </w:p>
    <w:p w:rsidR="00DD7F8E" w:rsidRPr="008B3D04" w:rsidRDefault="00DD7F8E" w:rsidP="00DD7F8E">
      <w:pPr>
        <w:rPr>
          <w:szCs w:val="24"/>
          <w:lang w:val="de-DE"/>
        </w:rPr>
      </w:pPr>
    </w:p>
    <w:p w:rsidR="00DD7F8E" w:rsidRPr="00C83DF5" w:rsidRDefault="00DD7F8E" w:rsidP="006D6BED">
      <w:pPr>
        <w:widowControl w:val="0"/>
        <w:tabs>
          <w:tab w:val="left" w:pos="720"/>
          <w:tab w:val="left" w:pos="1170"/>
        </w:tabs>
        <w:spacing w:after="60"/>
        <w:rPr>
          <w:lang w:val="de-DE"/>
        </w:rPr>
      </w:pPr>
      <w:r w:rsidRPr="00C83DF5">
        <w:rPr>
          <w:rFonts w:cs="Arial"/>
          <w:b/>
          <w:bCs/>
          <w:szCs w:val="18"/>
          <w:lang w:val="de-DE"/>
        </w:rPr>
        <w:t>Übersicht über das Microsoft Enterprise Strategy-Programm</w:t>
      </w:r>
    </w:p>
    <w:p w:rsidR="00BA5266" w:rsidRPr="008B3D04" w:rsidRDefault="00BA5266" w:rsidP="006D6BED">
      <w:pPr>
        <w:widowControl w:val="0"/>
        <w:tabs>
          <w:tab w:val="left" w:pos="720"/>
          <w:tab w:val="left" w:pos="1170"/>
        </w:tabs>
        <w:spacing w:after="60"/>
        <w:rPr>
          <w:rFonts w:cs="Arial"/>
          <w:b/>
          <w:bCs/>
          <w:szCs w:val="18"/>
          <w:lang w:val="de-DE" w:eastAsia="ja-JP"/>
        </w:rPr>
      </w:pPr>
    </w:p>
    <w:p w:rsidR="00BA5266" w:rsidRPr="007646CF" w:rsidRDefault="00BA5266" w:rsidP="002A751D">
      <w:pPr>
        <w:rPr>
          <w:rFonts w:cs="Tahoma"/>
          <w:lang w:val="de-DE"/>
        </w:rPr>
      </w:pPr>
      <w:r w:rsidRPr="007646CF">
        <w:rPr>
          <w:rFonts w:cs="Tahoma"/>
          <w:szCs w:val="18"/>
          <w:lang w:val="de-DE"/>
        </w:rPr>
        <w:t>Das Enterprise Strategy-Programm für den Microsoft Konzernvertrag bietet Kunden Beratung durch Microsoft</w:t>
      </w:r>
      <w:r w:rsidR="002A751D">
        <w:rPr>
          <w:rFonts w:cs="Tahoma"/>
          <w:szCs w:val="18"/>
          <w:lang w:val="de-DE"/>
        </w:rPr>
        <w:t> </w:t>
      </w:r>
      <w:r w:rsidRPr="007646CF">
        <w:rPr>
          <w:rFonts w:cs="Tahoma"/>
          <w:szCs w:val="18"/>
          <w:lang w:val="de-DE"/>
        </w:rPr>
        <w:t>Enterprise Architects und das Konzernserviceerbringungsteam zur Verkürzung der Technologieeinführungsdauer und</w:t>
      </w:r>
      <w:r w:rsidR="007646CF" w:rsidRPr="007646CF">
        <w:rPr>
          <w:rFonts w:cs="Tahoma"/>
          <w:szCs w:val="18"/>
          <w:lang w:val="de-DE"/>
        </w:rPr>
        <w:t> </w:t>
      </w:r>
      <w:r w:rsidRPr="007646CF">
        <w:rPr>
          <w:rFonts w:cs="Tahoma"/>
          <w:szCs w:val="18"/>
          <w:lang w:val="de-DE"/>
        </w:rPr>
        <w:t>zur Planung messbarer Veränderungen, die zu einem größeren Nutzen</w:t>
      </w:r>
      <w:r w:rsidR="002A751D">
        <w:rPr>
          <w:rFonts w:cs="Tahoma"/>
          <w:szCs w:val="18"/>
          <w:lang w:val="de-DE"/>
        </w:rPr>
        <w:t> </w:t>
      </w:r>
      <w:r w:rsidRPr="007646CF">
        <w:rPr>
          <w:rFonts w:cs="Tahoma"/>
          <w:szCs w:val="18"/>
          <w:lang w:val="de-DE"/>
        </w:rPr>
        <w:t>der</w:t>
      </w:r>
      <w:r w:rsidR="002A751D">
        <w:rPr>
          <w:rFonts w:cs="Tahoma"/>
          <w:szCs w:val="18"/>
          <w:lang w:val="de-DE"/>
        </w:rPr>
        <w:t> </w:t>
      </w:r>
      <w:r w:rsidRPr="007646CF">
        <w:rPr>
          <w:rFonts w:cs="Tahoma"/>
          <w:szCs w:val="18"/>
          <w:lang w:val="de-DE"/>
        </w:rPr>
        <w:t xml:space="preserve">Investition in Microsoft-Technologien führen. </w:t>
      </w:r>
    </w:p>
    <w:p w:rsidR="00BA5266" w:rsidRPr="007646CF" w:rsidRDefault="00BA5266" w:rsidP="00BA5266">
      <w:pPr>
        <w:spacing w:after="60"/>
        <w:rPr>
          <w:rFonts w:cs="Tahoma"/>
          <w:szCs w:val="18"/>
          <w:lang w:val="de-DE"/>
        </w:rPr>
      </w:pPr>
    </w:p>
    <w:p w:rsidR="00BA5266" w:rsidRPr="00C83DF5" w:rsidRDefault="00BA5266" w:rsidP="00BA5266">
      <w:pPr>
        <w:spacing w:after="60"/>
        <w:rPr>
          <w:lang w:val="de-DE"/>
        </w:rPr>
      </w:pPr>
      <w:r w:rsidRPr="00C83DF5">
        <w:rPr>
          <w:rFonts w:cs="Tahoma"/>
          <w:szCs w:val="18"/>
          <w:lang w:val="de-DE"/>
        </w:rPr>
        <w:t>Die Enterprise Strategy-Programmangebote enthalten die folgenden Komponenten, die für jedes Jahr des Konzernvertrages des Kunden bereitgestellt werden:</w:t>
      </w:r>
    </w:p>
    <w:p w:rsidR="00BA5266" w:rsidRPr="008B3D04" w:rsidRDefault="00BA5266" w:rsidP="00BA5266">
      <w:pPr>
        <w:spacing w:after="60"/>
        <w:rPr>
          <w:rFonts w:eastAsia="Arial" w:cs="Tahoma"/>
          <w:lang w:val="de-DE" w:eastAsia="ja-JP"/>
        </w:rPr>
      </w:pPr>
    </w:p>
    <w:tbl>
      <w:tblPr>
        <w:tblW w:w="937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77"/>
        <w:gridCol w:w="2376"/>
        <w:gridCol w:w="2349"/>
        <w:gridCol w:w="2376"/>
      </w:tblGrid>
      <w:tr w:rsidR="00B22508" w:rsidRPr="00C83DF5" w:rsidTr="00311136">
        <w:tc>
          <w:tcPr>
            <w:tcW w:w="2277" w:type="dxa"/>
            <w:shd w:val="clear" w:color="auto" w:fill="FABF8F"/>
            <w:vAlign w:val="center"/>
          </w:tcPr>
          <w:p w:rsidR="00BA5266" w:rsidRPr="00C83DF5" w:rsidRDefault="00BA5266" w:rsidP="00D629A3">
            <w:pPr>
              <w:jc w:val="center"/>
              <w:rPr>
                <w:rFonts w:cs="Tahoma"/>
                <w:color w:val="000000"/>
                <w:szCs w:val="18"/>
              </w:rPr>
            </w:pPr>
            <w:r w:rsidRPr="00C83DF5">
              <w:rPr>
                <w:rFonts w:cs="Tahoma"/>
                <w:b/>
                <w:bCs/>
                <w:color w:val="000000"/>
                <w:sz w:val="20"/>
                <w:szCs w:val="18"/>
              </w:rPr>
              <w:t>Bereich</w:t>
            </w:r>
          </w:p>
        </w:tc>
        <w:tc>
          <w:tcPr>
            <w:tcW w:w="2376" w:type="dxa"/>
            <w:shd w:val="clear" w:color="auto" w:fill="FABF8F"/>
            <w:vAlign w:val="center"/>
          </w:tcPr>
          <w:p w:rsidR="00BA5266" w:rsidRPr="00C83DF5" w:rsidRDefault="00BA5266" w:rsidP="00D629A3">
            <w:pPr>
              <w:jc w:val="center"/>
              <w:rPr>
                <w:rFonts w:cs="Tahoma"/>
                <w:b/>
                <w:bCs/>
                <w:color w:val="000000"/>
                <w:sz w:val="20"/>
                <w:szCs w:val="20"/>
              </w:rPr>
            </w:pPr>
            <w:r w:rsidRPr="00C83DF5">
              <w:rPr>
                <w:rFonts w:cs="Tahoma"/>
                <w:b/>
                <w:bCs/>
                <w:color w:val="000000"/>
                <w:sz w:val="20"/>
                <w:szCs w:val="20"/>
              </w:rPr>
              <w:t>Enterprise Strategy Connect</w:t>
            </w:r>
          </w:p>
        </w:tc>
        <w:tc>
          <w:tcPr>
            <w:tcW w:w="2349" w:type="dxa"/>
            <w:shd w:val="clear" w:color="auto" w:fill="FABF8F"/>
            <w:vAlign w:val="center"/>
          </w:tcPr>
          <w:p w:rsidR="00BA5266" w:rsidRPr="00C83DF5" w:rsidRDefault="00BA5266" w:rsidP="00D629A3">
            <w:pPr>
              <w:jc w:val="center"/>
              <w:rPr>
                <w:rFonts w:cs="Tahoma"/>
                <w:color w:val="000000"/>
                <w:sz w:val="20"/>
                <w:szCs w:val="20"/>
              </w:rPr>
            </w:pPr>
            <w:r w:rsidRPr="00C83DF5">
              <w:rPr>
                <w:rFonts w:cs="Tahoma"/>
                <w:b/>
                <w:bCs/>
                <w:color w:val="000000"/>
                <w:sz w:val="20"/>
                <w:szCs w:val="20"/>
              </w:rPr>
              <w:t>Enterprise Strategy Foundation</w:t>
            </w:r>
          </w:p>
        </w:tc>
        <w:tc>
          <w:tcPr>
            <w:tcW w:w="2376" w:type="dxa"/>
            <w:shd w:val="clear" w:color="auto" w:fill="FABF8F"/>
            <w:vAlign w:val="center"/>
          </w:tcPr>
          <w:p w:rsidR="00BA5266" w:rsidRPr="00C83DF5" w:rsidRDefault="00BA5266" w:rsidP="00D629A3">
            <w:pPr>
              <w:jc w:val="center"/>
              <w:rPr>
                <w:rFonts w:cs="Tahoma"/>
                <w:b/>
                <w:bCs/>
                <w:color w:val="000000"/>
                <w:sz w:val="20"/>
                <w:szCs w:val="18"/>
              </w:rPr>
            </w:pPr>
            <w:r w:rsidRPr="00C83DF5">
              <w:rPr>
                <w:rFonts w:cs="Tahoma"/>
                <w:b/>
                <w:bCs/>
                <w:color w:val="000000"/>
                <w:sz w:val="20"/>
                <w:szCs w:val="18"/>
              </w:rPr>
              <w:t>Enterprise Strategy Portfolio</w:t>
            </w:r>
          </w:p>
        </w:tc>
      </w:tr>
      <w:tr w:rsidR="00B22508" w:rsidRPr="004D388E" w:rsidTr="00311136">
        <w:trPr>
          <w:trHeight w:val="1088"/>
        </w:trPr>
        <w:tc>
          <w:tcPr>
            <w:tcW w:w="2277" w:type="dxa"/>
            <w:vAlign w:val="center"/>
          </w:tcPr>
          <w:p w:rsidR="00BA5266" w:rsidRPr="00B22508" w:rsidRDefault="00BA5266" w:rsidP="00B22508">
            <w:pPr>
              <w:ind w:right="-99"/>
              <w:rPr>
                <w:rFonts w:cs="Tahoma"/>
                <w:color w:val="000000"/>
                <w:szCs w:val="18"/>
                <w:lang w:val="de-DE"/>
              </w:rPr>
            </w:pPr>
            <w:r w:rsidRPr="00B22508">
              <w:rPr>
                <w:rFonts w:cs="Tahoma"/>
                <w:color w:val="000000"/>
                <w:szCs w:val="18"/>
                <w:lang w:val="de-DE"/>
              </w:rPr>
              <w:t>Enterprise Architect und Konzernserviceerbringungs</w:t>
            </w:r>
            <w:r w:rsidR="00B22508" w:rsidRPr="00B22508">
              <w:rPr>
                <w:rFonts w:cs="Tahoma"/>
                <w:color w:val="000000"/>
                <w:szCs w:val="18"/>
                <w:lang w:val="de-DE"/>
              </w:rPr>
              <w:t>-</w:t>
            </w:r>
            <w:r w:rsidRPr="00B22508">
              <w:rPr>
                <w:rFonts w:cs="Tahoma"/>
                <w:color w:val="000000"/>
                <w:szCs w:val="18"/>
                <w:lang w:val="de-DE"/>
              </w:rPr>
              <w:t>team</w:t>
            </w:r>
          </w:p>
        </w:tc>
        <w:tc>
          <w:tcPr>
            <w:tcW w:w="2376" w:type="dxa"/>
            <w:vAlign w:val="center"/>
          </w:tcPr>
          <w:p w:rsidR="00BA5266" w:rsidRPr="00C83DF5" w:rsidRDefault="00BA5266" w:rsidP="003177CE">
            <w:pPr>
              <w:ind w:left="-108" w:right="-108" w:hanging="9"/>
              <w:jc w:val="center"/>
              <w:rPr>
                <w:rFonts w:eastAsia="MS UI Gothic" w:cs="Tahoma"/>
                <w:color w:val="000000"/>
                <w:szCs w:val="18"/>
                <w:lang w:val="de-DE"/>
              </w:rPr>
            </w:pPr>
            <w:r w:rsidRPr="00C83DF5">
              <w:rPr>
                <w:rFonts w:cs="Tahoma"/>
                <w:szCs w:val="18"/>
                <w:lang w:val="de-DE"/>
              </w:rPr>
              <w:t>Insgesamt bis zu 400</w:t>
            </w:r>
            <w:r w:rsidR="003177CE">
              <w:rPr>
                <w:rFonts w:cs="Tahoma"/>
                <w:szCs w:val="18"/>
                <w:lang w:val="de-DE"/>
              </w:rPr>
              <w:t> </w:t>
            </w:r>
            <w:r w:rsidRPr="00C83DF5">
              <w:rPr>
                <w:rFonts w:cs="Tahoma"/>
                <w:szCs w:val="18"/>
                <w:lang w:val="de-DE"/>
              </w:rPr>
              <w:t xml:space="preserve">Einsatzstunden eines Microsoft Enterprise </w:t>
            </w:r>
            <w:r w:rsidR="00311136">
              <w:rPr>
                <w:rFonts w:cs="Tahoma"/>
                <w:szCs w:val="18"/>
                <w:lang w:val="de-DE"/>
              </w:rPr>
              <w:br/>
            </w:r>
            <w:r w:rsidRPr="00C83DF5">
              <w:rPr>
                <w:rFonts w:cs="Tahoma"/>
                <w:szCs w:val="18"/>
                <w:lang w:val="de-DE"/>
              </w:rPr>
              <w:t xml:space="preserve">Architect und des </w:t>
            </w:r>
            <w:r w:rsidRPr="00C83DF5">
              <w:rPr>
                <w:rFonts w:cs="Tahoma"/>
                <w:color w:val="000000"/>
                <w:szCs w:val="18"/>
                <w:lang w:val="de-DE"/>
              </w:rPr>
              <w:t>Konzern</w:t>
            </w:r>
            <w:r w:rsidRPr="00C83DF5">
              <w:rPr>
                <w:rFonts w:cs="Tahoma"/>
                <w:szCs w:val="18"/>
                <w:lang w:val="de-DE"/>
              </w:rPr>
              <w:t>serviceerbringungs</w:t>
            </w:r>
            <w:r w:rsidR="00B22508">
              <w:rPr>
                <w:rFonts w:cs="Tahoma"/>
                <w:szCs w:val="18"/>
                <w:lang w:val="de-DE"/>
              </w:rPr>
              <w:t>-</w:t>
            </w:r>
            <w:r w:rsidRPr="00C83DF5">
              <w:rPr>
                <w:rFonts w:cs="Tahoma"/>
                <w:szCs w:val="18"/>
                <w:lang w:val="de-DE"/>
              </w:rPr>
              <w:t>teams</w:t>
            </w:r>
            <w:r w:rsidRPr="00C83DF5">
              <w:rPr>
                <w:rFonts w:eastAsia="MS UI Gothic" w:cs="Tahoma"/>
                <w:color w:val="000000"/>
                <w:szCs w:val="18"/>
                <w:lang w:val="de-DE"/>
              </w:rPr>
              <w:t xml:space="preserve"> </w:t>
            </w:r>
          </w:p>
        </w:tc>
        <w:tc>
          <w:tcPr>
            <w:tcW w:w="2349" w:type="dxa"/>
            <w:vAlign w:val="center"/>
          </w:tcPr>
          <w:p w:rsidR="00BA5266" w:rsidRPr="00C83DF5" w:rsidRDefault="00BA5266" w:rsidP="003177CE">
            <w:pPr>
              <w:ind w:left="-54" w:right="-72" w:hanging="18"/>
              <w:jc w:val="center"/>
              <w:rPr>
                <w:rFonts w:cs="Tahoma"/>
                <w:color w:val="000000"/>
                <w:szCs w:val="18"/>
                <w:lang w:val="de-DE"/>
              </w:rPr>
            </w:pPr>
            <w:r w:rsidRPr="00C83DF5">
              <w:rPr>
                <w:rFonts w:cs="Tahoma"/>
                <w:szCs w:val="18"/>
                <w:lang w:val="de-DE"/>
              </w:rPr>
              <w:t>Insgesamt bis zu 800</w:t>
            </w:r>
            <w:r w:rsidR="003177CE">
              <w:rPr>
                <w:rFonts w:cs="Tahoma"/>
                <w:szCs w:val="18"/>
                <w:lang w:val="de-DE"/>
              </w:rPr>
              <w:t> </w:t>
            </w:r>
            <w:r w:rsidRPr="00C83DF5">
              <w:rPr>
                <w:rFonts w:cs="Tahoma"/>
                <w:szCs w:val="18"/>
                <w:lang w:val="de-DE"/>
              </w:rPr>
              <w:t xml:space="preserve">Einsatzstunden eines Microsoft Enterprise </w:t>
            </w:r>
            <w:r w:rsidR="00B22508">
              <w:rPr>
                <w:rFonts w:cs="Tahoma"/>
                <w:szCs w:val="18"/>
                <w:lang w:val="de-DE"/>
              </w:rPr>
              <w:br/>
            </w:r>
            <w:r w:rsidRPr="00C83DF5">
              <w:rPr>
                <w:rFonts w:cs="Tahoma"/>
                <w:szCs w:val="18"/>
                <w:lang w:val="de-DE"/>
              </w:rPr>
              <w:t xml:space="preserve">Architect und des </w:t>
            </w:r>
            <w:r w:rsidRPr="00C83DF5">
              <w:rPr>
                <w:rFonts w:cs="Tahoma"/>
                <w:color w:val="000000"/>
                <w:szCs w:val="18"/>
                <w:lang w:val="de-DE"/>
              </w:rPr>
              <w:t>Konzern</w:t>
            </w:r>
            <w:r w:rsidRPr="00C83DF5">
              <w:rPr>
                <w:rFonts w:cs="Tahoma"/>
                <w:szCs w:val="18"/>
                <w:lang w:val="de-DE"/>
              </w:rPr>
              <w:t>serviceerbringungs</w:t>
            </w:r>
            <w:r w:rsidR="00B22508">
              <w:rPr>
                <w:rFonts w:cs="Tahoma"/>
                <w:szCs w:val="18"/>
                <w:lang w:val="de-DE"/>
              </w:rPr>
              <w:t>-</w:t>
            </w:r>
            <w:r w:rsidRPr="00C83DF5">
              <w:rPr>
                <w:rFonts w:cs="Tahoma"/>
                <w:szCs w:val="18"/>
                <w:lang w:val="de-DE"/>
              </w:rPr>
              <w:t>teams</w:t>
            </w:r>
            <w:r w:rsidRPr="00C83DF5">
              <w:rPr>
                <w:rFonts w:eastAsia="MS UI Gothic" w:cs="Tahoma"/>
                <w:color w:val="000000"/>
                <w:szCs w:val="18"/>
                <w:lang w:val="de-DE"/>
              </w:rPr>
              <w:t xml:space="preserve"> </w:t>
            </w:r>
          </w:p>
        </w:tc>
        <w:tc>
          <w:tcPr>
            <w:tcW w:w="2376" w:type="dxa"/>
            <w:vAlign w:val="center"/>
          </w:tcPr>
          <w:p w:rsidR="00BA5266" w:rsidRPr="00C83DF5" w:rsidRDefault="00BA5266" w:rsidP="003177CE">
            <w:pPr>
              <w:ind w:left="-63" w:right="-45"/>
              <w:jc w:val="center"/>
              <w:rPr>
                <w:rFonts w:cs="Tahoma"/>
                <w:color w:val="000000"/>
                <w:szCs w:val="18"/>
                <w:lang w:val="de-DE"/>
              </w:rPr>
            </w:pPr>
            <w:r w:rsidRPr="00C83DF5">
              <w:rPr>
                <w:rFonts w:cs="Tahoma"/>
                <w:szCs w:val="18"/>
                <w:lang w:val="de-DE"/>
              </w:rPr>
              <w:t>Insgesamt bis zu 1600</w:t>
            </w:r>
            <w:r w:rsidR="003177CE">
              <w:rPr>
                <w:rFonts w:cs="Tahoma"/>
                <w:szCs w:val="18"/>
                <w:lang w:val="de-DE"/>
              </w:rPr>
              <w:t> </w:t>
            </w:r>
            <w:r w:rsidRPr="00C83DF5">
              <w:rPr>
                <w:rFonts w:cs="Tahoma"/>
                <w:szCs w:val="18"/>
                <w:lang w:val="de-DE"/>
              </w:rPr>
              <w:t xml:space="preserve">Einsatzstunden </w:t>
            </w:r>
            <w:r w:rsidR="00985A08">
              <w:rPr>
                <w:rFonts w:cs="Tahoma"/>
                <w:szCs w:val="18"/>
                <w:lang w:val="de-DE"/>
              </w:rPr>
              <w:br/>
            </w:r>
            <w:r w:rsidRPr="00C83DF5">
              <w:rPr>
                <w:rFonts w:cs="Tahoma"/>
                <w:szCs w:val="18"/>
                <w:lang w:val="de-DE"/>
              </w:rPr>
              <w:t xml:space="preserve">eines Microsoft Enterprise Architect und des </w:t>
            </w:r>
            <w:r w:rsidRPr="00C83DF5">
              <w:rPr>
                <w:rFonts w:cs="Tahoma"/>
                <w:color w:val="000000"/>
                <w:szCs w:val="18"/>
                <w:lang w:val="de-DE"/>
              </w:rPr>
              <w:t>Konzern</w:t>
            </w:r>
            <w:r w:rsidRPr="00C83DF5">
              <w:rPr>
                <w:rFonts w:cs="Tahoma"/>
                <w:szCs w:val="18"/>
                <w:lang w:val="de-DE"/>
              </w:rPr>
              <w:t>serviceerbringungs</w:t>
            </w:r>
            <w:r w:rsidR="00B22508">
              <w:rPr>
                <w:rFonts w:cs="Tahoma"/>
                <w:szCs w:val="18"/>
                <w:lang w:val="de-DE"/>
              </w:rPr>
              <w:t>-</w:t>
            </w:r>
            <w:r w:rsidRPr="00C83DF5">
              <w:rPr>
                <w:rFonts w:cs="Tahoma"/>
                <w:szCs w:val="18"/>
                <w:lang w:val="de-DE"/>
              </w:rPr>
              <w:t>teams</w:t>
            </w:r>
            <w:r w:rsidRPr="00C83DF5">
              <w:rPr>
                <w:rFonts w:eastAsia="MS UI Gothic" w:cs="Tahoma"/>
                <w:color w:val="000000"/>
                <w:szCs w:val="18"/>
                <w:lang w:val="de-DE"/>
              </w:rPr>
              <w:t xml:space="preserve"> </w:t>
            </w:r>
          </w:p>
        </w:tc>
      </w:tr>
      <w:tr w:rsidR="00B22508" w:rsidRPr="00C83DF5" w:rsidTr="00311136">
        <w:tc>
          <w:tcPr>
            <w:tcW w:w="2277" w:type="dxa"/>
            <w:vAlign w:val="center"/>
          </w:tcPr>
          <w:p w:rsidR="00BA5266" w:rsidRPr="00C83DF5" w:rsidRDefault="00BA5266" w:rsidP="00FB712C">
            <w:pPr>
              <w:rPr>
                <w:rFonts w:cs="Tahoma"/>
                <w:color w:val="000000"/>
                <w:szCs w:val="18"/>
              </w:rPr>
            </w:pPr>
            <w:r w:rsidRPr="00C83DF5">
              <w:rPr>
                <w:rFonts w:cs="Tahoma"/>
                <w:color w:val="000000"/>
                <w:szCs w:val="18"/>
              </w:rPr>
              <w:t>Servicebereitstellungsplan (Services Delivery Plan,</w:t>
            </w:r>
            <w:r w:rsidR="00FB712C">
              <w:rPr>
                <w:rFonts w:cs="Tahoma"/>
                <w:color w:val="000000"/>
                <w:szCs w:val="18"/>
              </w:rPr>
              <w:t> </w:t>
            </w:r>
            <w:r w:rsidRPr="00C83DF5">
              <w:rPr>
                <w:rFonts w:cs="Tahoma"/>
                <w:color w:val="000000"/>
                <w:szCs w:val="18"/>
              </w:rPr>
              <w:t>SDP)</w:t>
            </w:r>
          </w:p>
        </w:tc>
        <w:tc>
          <w:tcPr>
            <w:tcW w:w="2376" w:type="dxa"/>
            <w:vAlign w:val="center"/>
          </w:tcPr>
          <w:p w:rsidR="00BA5266" w:rsidRPr="00C83DF5" w:rsidDel="00F328FC" w:rsidRDefault="00BA5266" w:rsidP="00D629A3">
            <w:pPr>
              <w:jc w:val="center"/>
              <w:rPr>
                <w:rFonts w:eastAsia="MS UI Gothic" w:cs="Tahoma"/>
                <w:color w:val="000000"/>
                <w:szCs w:val="18"/>
              </w:rPr>
            </w:pPr>
            <w:r w:rsidRPr="00C83DF5">
              <w:rPr>
                <w:rFonts w:ascii="Segoe UI Symbol" w:eastAsia="MS UI Gothic" w:hAnsi="Segoe UI Symbol" w:cs="Segoe UI Symbol"/>
                <w:color w:val="000000"/>
                <w:szCs w:val="18"/>
              </w:rPr>
              <w:t>✓</w:t>
            </w:r>
          </w:p>
        </w:tc>
        <w:tc>
          <w:tcPr>
            <w:tcW w:w="2349" w:type="dxa"/>
            <w:vAlign w:val="center"/>
          </w:tcPr>
          <w:p w:rsidR="00BA5266" w:rsidRPr="00C83DF5" w:rsidDel="00F328FC" w:rsidRDefault="00BA5266" w:rsidP="00D629A3">
            <w:pPr>
              <w:jc w:val="center"/>
              <w:rPr>
                <w:rFonts w:eastAsia="MS UI Gothic" w:cs="Tahoma"/>
                <w:color w:val="000000"/>
                <w:szCs w:val="18"/>
              </w:rPr>
            </w:pPr>
            <w:r w:rsidRPr="00C83DF5">
              <w:rPr>
                <w:rFonts w:ascii="Segoe UI Symbol" w:eastAsia="MS UI Gothic" w:hAnsi="Segoe UI Symbol" w:cs="Segoe UI Symbol"/>
                <w:color w:val="000000"/>
                <w:szCs w:val="18"/>
              </w:rPr>
              <w:t>✓</w:t>
            </w:r>
          </w:p>
        </w:tc>
        <w:tc>
          <w:tcPr>
            <w:tcW w:w="2376" w:type="dxa"/>
            <w:vAlign w:val="center"/>
          </w:tcPr>
          <w:p w:rsidR="00BA5266" w:rsidRPr="00C83DF5" w:rsidDel="00F328FC" w:rsidRDefault="00BA5266" w:rsidP="00D629A3">
            <w:pPr>
              <w:jc w:val="center"/>
              <w:rPr>
                <w:rFonts w:eastAsia="MS UI Gothic" w:cs="Tahoma"/>
                <w:color w:val="000000"/>
                <w:szCs w:val="18"/>
              </w:rPr>
            </w:pPr>
            <w:r w:rsidRPr="00C83DF5">
              <w:rPr>
                <w:rFonts w:ascii="Segoe UI Symbol" w:eastAsia="MS UI Gothic" w:hAnsi="Segoe UI Symbol" w:cs="Segoe UI Symbol"/>
                <w:szCs w:val="18"/>
              </w:rPr>
              <w:t>✓</w:t>
            </w:r>
          </w:p>
        </w:tc>
      </w:tr>
      <w:tr w:rsidR="00B22508" w:rsidRPr="00C83DF5" w:rsidTr="00311136">
        <w:tc>
          <w:tcPr>
            <w:tcW w:w="2277" w:type="dxa"/>
            <w:vAlign w:val="center"/>
          </w:tcPr>
          <w:p w:rsidR="00BA5266" w:rsidRPr="00C83DF5" w:rsidRDefault="00BA5266" w:rsidP="00D629A3">
            <w:pPr>
              <w:rPr>
                <w:rFonts w:cs="Tahoma"/>
                <w:color w:val="000000"/>
                <w:szCs w:val="18"/>
              </w:rPr>
            </w:pPr>
            <w:r w:rsidRPr="00C83DF5">
              <w:rPr>
                <w:rFonts w:cs="Tahoma"/>
                <w:color w:val="000000"/>
                <w:szCs w:val="18"/>
              </w:rPr>
              <w:t>Enterprise Strategy Network</w:t>
            </w:r>
          </w:p>
        </w:tc>
        <w:tc>
          <w:tcPr>
            <w:tcW w:w="2376" w:type="dxa"/>
            <w:vAlign w:val="center"/>
          </w:tcPr>
          <w:p w:rsidR="00BA5266" w:rsidRPr="00C83DF5" w:rsidRDefault="00BA5266" w:rsidP="00D629A3">
            <w:pPr>
              <w:jc w:val="center"/>
              <w:rPr>
                <w:rFonts w:eastAsia="MS UI Gothic" w:cs="Tahoma"/>
                <w:color w:val="000000"/>
                <w:szCs w:val="18"/>
              </w:rPr>
            </w:pPr>
            <w:r w:rsidRPr="00C83DF5">
              <w:rPr>
                <w:rFonts w:ascii="Segoe UI Symbol" w:eastAsia="MS UI Gothic" w:hAnsi="Segoe UI Symbol" w:cs="Segoe UI Symbol"/>
                <w:color w:val="000000"/>
                <w:szCs w:val="18"/>
              </w:rPr>
              <w:t>✓</w:t>
            </w:r>
          </w:p>
        </w:tc>
        <w:tc>
          <w:tcPr>
            <w:tcW w:w="2349" w:type="dxa"/>
            <w:vAlign w:val="center"/>
          </w:tcPr>
          <w:p w:rsidR="00BA5266" w:rsidRPr="00C83DF5" w:rsidRDefault="00BA5266" w:rsidP="00D629A3">
            <w:pPr>
              <w:jc w:val="center"/>
              <w:rPr>
                <w:rFonts w:eastAsia="MS UI Gothic" w:cs="Tahoma"/>
                <w:color w:val="000000"/>
                <w:szCs w:val="18"/>
              </w:rPr>
            </w:pPr>
            <w:r w:rsidRPr="00C83DF5">
              <w:rPr>
                <w:rFonts w:ascii="Segoe UI Symbol" w:eastAsia="MS UI Gothic" w:hAnsi="Segoe UI Symbol" w:cs="Segoe UI Symbol"/>
                <w:color w:val="000000"/>
                <w:szCs w:val="18"/>
              </w:rPr>
              <w:t>✓</w:t>
            </w:r>
          </w:p>
        </w:tc>
        <w:tc>
          <w:tcPr>
            <w:tcW w:w="2376" w:type="dxa"/>
            <w:vAlign w:val="center"/>
          </w:tcPr>
          <w:p w:rsidR="00BA5266" w:rsidRPr="00C83DF5" w:rsidRDefault="00BA5266" w:rsidP="00D629A3">
            <w:pPr>
              <w:jc w:val="center"/>
              <w:rPr>
                <w:rFonts w:eastAsia="MS UI Gothic" w:cs="Tahoma"/>
                <w:szCs w:val="18"/>
              </w:rPr>
            </w:pPr>
            <w:r w:rsidRPr="00C83DF5">
              <w:rPr>
                <w:rFonts w:ascii="Segoe UI Symbol" w:eastAsia="MS UI Gothic" w:hAnsi="Segoe UI Symbol" w:cs="Segoe UI Symbol"/>
                <w:szCs w:val="18"/>
              </w:rPr>
              <w:t>✓</w:t>
            </w:r>
          </w:p>
        </w:tc>
      </w:tr>
      <w:tr w:rsidR="00B22508" w:rsidRPr="00C83DF5" w:rsidTr="00311136">
        <w:tc>
          <w:tcPr>
            <w:tcW w:w="2277" w:type="dxa"/>
            <w:vAlign w:val="center"/>
          </w:tcPr>
          <w:p w:rsidR="00BA5266" w:rsidRPr="00C83DF5" w:rsidRDefault="00BA5266" w:rsidP="00D629A3">
            <w:pPr>
              <w:rPr>
                <w:rFonts w:cs="Tahoma"/>
                <w:color w:val="000000"/>
                <w:szCs w:val="18"/>
              </w:rPr>
            </w:pPr>
            <w:r w:rsidRPr="00C83DF5">
              <w:rPr>
                <w:rFonts w:cs="Tahoma"/>
                <w:color w:val="000000"/>
                <w:szCs w:val="18"/>
              </w:rPr>
              <w:t>Enterprise Strategy Library</w:t>
            </w:r>
          </w:p>
        </w:tc>
        <w:tc>
          <w:tcPr>
            <w:tcW w:w="2376" w:type="dxa"/>
            <w:vAlign w:val="center"/>
          </w:tcPr>
          <w:p w:rsidR="00BA5266" w:rsidRPr="00C83DF5" w:rsidRDefault="00BA5266" w:rsidP="00D629A3">
            <w:pPr>
              <w:jc w:val="center"/>
              <w:rPr>
                <w:rFonts w:eastAsia="MS UI Gothic" w:cs="Tahoma"/>
                <w:color w:val="000000"/>
                <w:szCs w:val="18"/>
              </w:rPr>
            </w:pPr>
            <w:r w:rsidRPr="00C83DF5">
              <w:rPr>
                <w:rFonts w:ascii="Segoe UI Symbol" w:eastAsia="MS UI Gothic" w:hAnsi="Segoe UI Symbol" w:cs="Segoe UI Symbol"/>
                <w:color w:val="000000"/>
                <w:szCs w:val="18"/>
              </w:rPr>
              <w:t>✓</w:t>
            </w:r>
          </w:p>
        </w:tc>
        <w:tc>
          <w:tcPr>
            <w:tcW w:w="2349" w:type="dxa"/>
            <w:vAlign w:val="center"/>
          </w:tcPr>
          <w:p w:rsidR="00BA5266" w:rsidRPr="00C83DF5" w:rsidRDefault="00BA5266" w:rsidP="00D629A3">
            <w:pPr>
              <w:jc w:val="center"/>
              <w:rPr>
                <w:rFonts w:eastAsia="MS UI Gothic" w:cs="Tahoma"/>
                <w:color w:val="000000"/>
                <w:szCs w:val="18"/>
              </w:rPr>
            </w:pPr>
            <w:r w:rsidRPr="00C83DF5">
              <w:rPr>
                <w:rFonts w:ascii="Segoe UI Symbol" w:eastAsia="MS UI Gothic" w:hAnsi="Segoe UI Symbol" w:cs="Segoe UI Symbol"/>
                <w:color w:val="000000"/>
                <w:szCs w:val="18"/>
              </w:rPr>
              <w:t>✓</w:t>
            </w:r>
          </w:p>
        </w:tc>
        <w:tc>
          <w:tcPr>
            <w:tcW w:w="2376" w:type="dxa"/>
            <w:vAlign w:val="center"/>
          </w:tcPr>
          <w:p w:rsidR="00BA5266" w:rsidRPr="00C83DF5" w:rsidRDefault="00BA5266" w:rsidP="00D629A3">
            <w:pPr>
              <w:jc w:val="center"/>
              <w:rPr>
                <w:rFonts w:eastAsia="MS UI Gothic" w:cs="Tahoma"/>
                <w:szCs w:val="18"/>
              </w:rPr>
            </w:pPr>
            <w:r w:rsidRPr="00C83DF5">
              <w:rPr>
                <w:rFonts w:ascii="Segoe UI Symbol" w:eastAsia="MS UI Gothic" w:hAnsi="Segoe UI Symbol" w:cs="Segoe UI Symbol"/>
                <w:color w:val="000000"/>
                <w:szCs w:val="18"/>
              </w:rPr>
              <w:t>✓</w:t>
            </w:r>
          </w:p>
        </w:tc>
      </w:tr>
      <w:tr w:rsidR="00B22508" w:rsidRPr="00C83DF5" w:rsidTr="00311136">
        <w:tc>
          <w:tcPr>
            <w:tcW w:w="2277" w:type="dxa"/>
            <w:vAlign w:val="center"/>
          </w:tcPr>
          <w:p w:rsidR="00BA5266" w:rsidRPr="00C83DF5" w:rsidRDefault="00BA5266" w:rsidP="00D629A3">
            <w:pPr>
              <w:rPr>
                <w:rFonts w:cs="Tahoma"/>
                <w:color w:val="000000"/>
                <w:szCs w:val="18"/>
              </w:rPr>
            </w:pPr>
            <w:r w:rsidRPr="00C83DF5">
              <w:rPr>
                <w:rFonts w:cs="Tahoma"/>
                <w:color w:val="000000"/>
                <w:szCs w:val="18"/>
              </w:rPr>
              <w:t xml:space="preserve">Enterprise Strategy </w:t>
            </w:r>
            <w:r w:rsidRPr="00C83DF5">
              <w:rPr>
                <w:rFonts w:cs="Tahoma"/>
                <w:color w:val="000000"/>
                <w:szCs w:val="18"/>
              </w:rPr>
              <w:br/>
              <w:t>Capacity Add-On</w:t>
            </w:r>
          </w:p>
        </w:tc>
        <w:tc>
          <w:tcPr>
            <w:tcW w:w="2376" w:type="dxa"/>
            <w:vAlign w:val="center"/>
          </w:tcPr>
          <w:p w:rsidR="00BA5266" w:rsidRPr="00C83DF5" w:rsidRDefault="00BA5266" w:rsidP="00D629A3">
            <w:pPr>
              <w:jc w:val="center"/>
              <w:rPr>
                <w:rFonts w:eastAsia="MS UI Gothic" w:cs="Tahoma"/>
                <w:color w:val="000000"/>
                <w:szCs w:val="18"/>
              </w:rPr>
            </w:pPr>
            <w:r w:rsidRPr="00C83DF5">
              <w:rPr>
                <w:rFonts w:cs="Tahoma"/>
                <w:color w:val="000000"/>
                <w:szCs w:val="18"/>
              </w:rPr>
              <w:t>200 Stunden</w:t>
            </w:r>
          </w:p>
        </w:tc>
        <w:tc>
          <w:tcPr>
            <w:tcW w:w="2349" w:type="dxa"/>
            <w:vAlign w:val="center"/>
          </w:tcPr>
          <w:p w:rsidR="00BA5266" w:rsidRPr="00C83DF5" w:rsidRDefault="00BA5266" w:rsidP="00D629A3">
            <w:pPr>
              <w:jc w:val="center"/>
              <w:rPr>
                <w:rFonts w:eastAsia="MS UI Gothic" w:cs="Tahoma"/>
                <w:color w:val="000000"/>
                <w:szCs w:val="18"/>
              </w:rPr>
            </w:pPr>
            <w:r w:rsidRPr="00C83DF5">
              <w:rPr>
                <w:rFonts w:cs="Tahoma"/>
                <w:color w:val="000000"/>
                <w:szCs w:val="18"/>
              </w:rPr>
              <w:t>200 Stunden</w:t>
            </w:r>
          </w:p>
        </w:tc>
        <w:tc>
          <w:tcPr>
            <w:tcW w:w="2376" w:type="dxa"/>
            <w:vAlign w:val="center"/>
          </w:tcPr>
          <w:p w:rsidR="00BA5266" w:rsidRPr="00C83DF5" w:rsidRDefault="00BA5266" w:rsidP="00D629A3">
            <w:pPr>
              <w:jc w:val="center"/>
              <w:rPr>
                <w:rFonts w:eastAsia="MS UI Gothic" w:cs="Tahoma"/>
                <w:szCs w:val="18"/>
              </w:rPr>
            </w:pPr>
            <w:r w:rsidRPr="00C83DF5">
              <w:rPr>
                <w:rFonts w:cs="Tahoma"/>
                <w:color w:val="000000"/>
                <w:szCs w:val="18"/>
              </w:rPr>
              <w:t>200 Stunden</w:t>
            </w:r>
          </w:p>
        </w:tc>
      </w:tr>
    </w:tbl>
    <w:p w:rsidR="00BA5266" w:rsidRPr="00C83DF5" w:rsidRDefault="00BA5266" w:rsidP="00BA5266"/>
    <w:p w:rsidR="00BA5266" w:rsidRPr="00C83DF5" w:rsidRDefault="00BA5266" w:rsidP="00BA5266">
      <w:pPr>
        <w:spacing w:after="60"/>
      </w:pPr>
      <w:r w:rsidRPr="00C83DF5">
        <w:rPr>
          <w:rFonts w:cs="Tahoma"/>
          <w:b/>
        </w:rPr>
        <w:lastRenderedPageBreak/>
        <w:t xml:space="preserve">Der Enterprise Architect: </w:t>
      </w:r>
    </w:p>
    <w:p w:rsidR="00BA5266" w:rsidRPr="00C83DF5" w:rsidRDefault="00BA5266" w:rsidP="00FA7E52">
      <w:pPr>
        <w:numPr>
          <w:ilvl w:val="0"/>
          <w:numId w:val="75"/>
        </w:numPr>
        <w:spacing w:after="60"/>
        <w:ind w:left="630"/>
        <w:contextualSpacing/>
        <w:rPr>
          <w:lang w:val="de-DE"/>
        </w:rPr>
      </w:pPr>
      <w:r w:rsidRPr="00C83DF5">
        <w:rPr>
          <w:rFonts w:eastAsia="Times New Roman" w:cs="Tahoma"/>
          <w:szCs w:val="20"/>
          <w:lang w:val="de-DE"/>
        </w:rPr>
        <w:t xml:space="preserve">Arbeitet eng mit dem Kunden zusammen, um einen </w:t>
      </w:r>
      <w:r w:rsidRPr="00C83DF5">
        <w:rPr>
          <w:rFonts w:cs="Tahoma"/>
          <w:lang w:val="de-DE"/>
        </w:rPr>
        <w:t>Service Delivery Plan zu erstellen und zu übergeben, in</w:t>
      </w:r>
      <w:r w:rsidR="00FA7E52">
        <w:rPr>
          <w:rFonts w:cs="Tahoma"/>
          <w:lang w:val="de-DE"/>
        </w:rPr>
        <w:t> </w:t>
      </w:r>
      <w:r w:rsidRPr="00C83DF5">
        <w:rPr>
          <w:rFonts w:cs="Tahoma"/>
          <w:lang w:val="de-DE"/>
        </w:rPr>
        <w:t>dem Meilensteine und Ziele festgelegt sind, und bestimmt zur Verfolgung des Fortschritts im Vergleich zum</w:t>
      </w:r>
      <w:r w:rsidR="00FA7E52">
        <w:rPr>
          <w:rFonts w:cs="Tahoma"/>
          <w:lang w:val="de-DE"/>
        </w:rPr>
        <w:t> </w:t>
      </w:r>
      <w:r w:rsidRPr="00C83DF5">
        <w:rPr>
          <w:rFonts w:cs="Tahoma"/>
          <w:lang w:val="de-DE"/>
        </w:rPr>
        <w:t xml:space="preserve">Plan den Prozess, Daten und Regeln; </w:t>
      </w:r>
    </w:p>
    <w:p w:rsidR="00BA5266" w:rsidRPr="00C83DF5" w:rsidRDefault="00BA5266" w:rsidP="00BA5266">
      <w:pPr>
        <w:numPr>
          <w:ilvl w:val="0"/>
          <w:numId w:val="75"/>
        </w:numPr>
        <w:spacing w:after="60"/>
        <w:ind w:left="630"/>
        <w:contextualSpacing/>
        <w:rPr>
          <w:lang w:val="de-DE"/>
        </w:rPr>
      </w:pPr>
      <w:r w:rsidRPr="00C83DF5">
        <w:rPr>
          <w:rFonts w:cs="Tahoma"/>
          <w:lang w:val="de-DE"/>
        </w:rPr>
        <w:t>Präsentiert monatliche Statusupdates des Fortschritts im Vergleich zum Plan;</w:t>
      </w:r>
    </w:p>
    <w:p w:rsidR="00BA5266" w:rsidRPr="00C83DF5" w:rsidRDefault="00BA5266" w:rsidP="00BA5266">
      <w:pPr>
        <w:numPr>
          <w:ilvl w:val="0"/>
          <w:numId w:val="75"/>
        </w:numPr>
        <w:spacing w:after="60"/>
        <w:ind w:left="630"/>
        <w:contextualSpacing/>
        <w:rPr>
          <w:lang w:val="de-DE"/>
        </w:rPr>
      </w:pPr>
      <w:r w:rsidRPr="00C83DF5">
        <w:rPr>
          <w:rFonts w:cs="Tahoma"/>
          <w:lang w:val="de-DE"/>
        </w:rPr>
        <w:t>Verwaltet die ergänzende Durchführung durch Microsoft-Ressourcen (Enterprise Strategy Network und Konzernserviceerbringungsteam).</w:t>
      </w:r>
    </w:p>
    <w:p w:rsidR="00BA5266" w:rsidRPr="008B3D04" w:rsidRDefault="00BA5266" w:rsidP="00BA5266">
      <w:pPr>
        <w:spacing w:after="60"/>
        <w:rPr>
          <w:rFonts w:cs="Tahoma"/>
          <w:lang w:val="de-DE"/>
        </w:rPr>
      </w:pPr>
    </w:p>
    <w:p w:rsidR="00BA5266" w:rsidRPr="00C83DF5" w:rsidRDefault="00BA5266" w:rsidP="00BA5266">
      <w:r w:rsidRPr="00C83DF5">
        <w:rPr>
          <w:rFonts w:cs="Tahoma"/>
          <w:b/>
          <w:szCs w:val="18"/>
        </w:rPr>
        <w:t>Das Konzernserviceerbringungsteam:</w:t>
      </w:r>
      <w:r w:rsidRPr="00C83DF5">
        <w:rPr>
          <w:rFonts w:cs="Tahoma"/>
          <w:szCs w:val="18"/>
        </w:rPr>
        <w:t xml:space="preserve"> </w:t>
      </w:r>
    </w:p>
    <w:p w:rsidR="00BA5266" w:rsidRPr="00C83DF5" w:rsidRDefault="00BA5266" w:rsidP="00BA5266">
      <w:pPr>
        <w:numPr>
          <w:ilvl w:val="0"/>
          <w:numId w:val="75"/>
        </w:numPr>
        <w:spacing w:after="60"/>
        <w:ind w:left="630"/>
        <w:contextualSpacing/>
      </w:pPr>
      <w:r w:rsidRPr="00C83DF5">
        <w:rPr>
          <w:rFonts w:eastAsia="Times New Roman" w:cs="Tahoma"/>
          <w:szCs w:val="20"/>
        </w:rPr>
        <w:t xml:space="preserve">Umfasst Ressourcen von Microsoft Services </w:t>
      </w:r>
      <w:r w:rsidRPr="00C83DF5">
        <w:t>und den Service-Kompetenzzentren (Services Centers of Excellence, CoEs)</w:t>
      </w:r>
      <w:r w:rsidRPr="00C83DF5">
        <w:rPr>
          <w:rFonts w:eastAsia="Times New Roman" w:cs="Tahoma"/>
          <w:szCs w:val="20"/>
        </w:rPr>
        <w:t>;</w:t>
      </w:r>
    </w:p>
    <w:p w:rsidR="00BA5266" w:rsidRPr="00C83DF5" w:rsidRDefault="00BA5266" w:rsidP="00BA5266">
      <w:pPr>
        <w:numPr>
          <w:ilvl w:val="0"/>
          <w:numId w:val="75"/>
        </w:numPr>
        <w:spacing w:after="60"/>
        <w:ind w:left="630"/>
        <w:contextualSpacing/>
        <w:rPr>
          <w:lang w:val="de-DE"/>
        </w:rPr>
      </w:pPr>
      <w:r w:rsidRPr="00C83DF5">
        <w:rPr>
          <w:rFonts w:eastAsia="Times New Roman" w:cs="Tahoma"/>
          <w:szCs w:val="20"/>
          <w:lang w:val="de-DE"/>
        </w:rPr>
        <w:t>Unterstützt die Enterprise Architects mit Fachwissen;</w:t>
      </w:r>
    </w:p>
    <w:p w:rsidR="00BA5266" w:rsidRPr="00C83DF5" w:rsidRDefault="00BA5266" w:rsidP="00BA5266">
      <w:pPr>
        <w:numPr>
          <w:ilvl w:val="0"/>
          <w:numId w:val="75"/>
        </w:numPr>
        <w:spacing w:after="60"/>
        <w:ind w:left="630"/>
        <w:contextualSpacing/>
        <w:rPr>
          <w:lang w:val="de-DE"/>
        </w:rPr>
      </w:pPr>
      <w:r w:rsidRPr="00C83DF5">
        <w:rPr>
          <w:rFonts w:eastAsia="Times New Roman" w:cs="Tahoma"/>
          <w:szCs w:val="20"/>
          <w:lang w:val="de-DE"/>
        </w:rPr>
        <w:t>Stellt dem Kunden Best Practice-Ratschläge, konkrete Empfehlungen zu Microsoft-Technologien und Referenzarchitekturen zur Verfügung.</w:t>
      </w:r>
      <w:r w:rsidRPr="00C83DF5">
        <w:rPr>
          <w:lang w:val="de-DE"/>
        </w:rPr>
        <w:t xml:space="preserve"> </w:t>
      </w:r>
    </w:p>
    <w:p w:rsidR="00BA5266" w:rsidRPr="008B3D04" w:rsidRDefault="00BA5266" w:rsidP="00BA5266">
      <w:pPr>
        <w:spacing w:after="60"/>
        <w:ind w:left="630"/>
        <w:contextualSpacing/>
        <w:rPr>
          <w:rFonts w:eastAsia="Times New Roman" w:cs="Tahoma"/>
          <w:szCs w:val="20"/>
          <w:lang w:val="de-DE"/>
        </w:rPr>
      </w:pPr>
    </w:p>
    <w:p w:rsidR="00BA5266" w:rsidRPr="00C83DF5" w:rsidRDefault="00BA5266" w:rsidP="00BA5266">
      <w:pPr>
        <w:rPr>
          <w:lang w:val="de-DE"/>
        </w:rPr>
      </w:pPr>
      <w:r w:rsidRPr="00C83DF5">
        <w:rPr>
          <w:rFonts w:cs="Tahoma"/>
          <w:b/>
          <w:bCs/>
          <w:color w:val="000000"/>
          <w:szCs w:val="18"/>
          <w:lang w:val="de-DE"/>
        </w:rPr>
        <w:t xml:space="preserve">Servicebereitstellungsplan (Services Delivery Plan, SDP): </w:t>
      </w:r>
      <w:r w:rsidRPr="00C83DF5">
        <w:rPr>
          <w:rFonts w:cs="Tahoma"/>
          <w:bCs/>
          <w:color w:val="000000"/>
          <w:szCs w:val="18"/>
          <w:lang w:val="de-DE"/>
        </w:rPr>
        <w:t>Ein vom Enterprise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r w:rsidR="00E71F46" w:rsidRPr="00C83DF5">
        <w:rPr>
          <w:rFonts w:cs="Tahoma"/>
          <w:bCs/>
          <w:color w:val="000000"/>
          <w:szCs w:val="18"/>
          <w:lang w:val="de-DE"/>
        </w:rPr>
        <w:t xml:space="preserve"> </w:t>
      </w:r>
      <w:r w:rsidRPr="00C83DF5">
        <w:rPr>
          <w:rFonts w:cs="Tahoma"/>
          <w:bCs/>
          <w:color w:val="000000"/>
          <w:szCs w:val="18"/>
          <w:lang w:val="de-DE"/>
        </w:rPr>
        <w:br/>
      </w:r>
      <w:r w:rsidRPr="00C83DF5">
        <w:rPr>
          <w:rFonts w:cs="Tahoma"/>
          <w:bCs/>
          <w:color w:val="000000"/>
          <w:szCs w:val="18"/>
          <w:lang w:val="de-DE"/>
        </w:rPr>
        <w:br/>
        <w:t>Wichtige Empfehlungen aus dem Enterprise Strategy-Einsatz, die weitere Arbeiten seitens des Enterprise Architect oder anderer Ressourcen zur Erreichung der gewünschten Ziele erforderlich machen, werden ebenfalls in den SDP aufgenommen.</w:t>
      </w:r>
      <w:r w:rsidR="00E71F46" w:rsidRPr="00C83DF5">
        <w:rPr>
          <w:rFonts w:cs="Tahoma"/>
          <w:bCs/>
          <w:color w:val="000000"/>
          <w:szCs w:val="18"/>
          <w:lang w:val="de-DE"/>
        </w:rPr>
        <w:t xml:space="preserve"> </w:t>
      </w:r>
      <w:r w:rsidRPr="00C83DF5">
        <w:rPr>
          <w:rFonts w:cs="Tahoma"/>
          <w:bCs/>
          <w:color w:val="000000"/>
          <w:szCs w:val="18"/>
          <w:lang w:val="de-DE"/>
        </w:rPr>
        <w:t>Alle Angaben zu Zeitskalen, Daten und Bereitstellungszeitplänen innerhalb des SDP sind lediglich Schätzungen und können je nach Einsatz variieren.</w:t>
      </w:r>
    </w:p>
    <w:p w:rsidR="00BA5266" w:rsidRPr="008B3D04" w:rsidRDefault="00BA5266" w:rsidP="00BA5266">
      <w:pPr>
        <w:rPr>
          <w:rFonts w:eastAsia="Arial" w:cs="Tahoma"/>
          <w:b/>
          <w:sz w:val="22"/>
          <w:szCs w:val="18"/>
          <w:lang w:val="de-DE" w:eastAsia="ja-JP"/>
        </w:rPr>
      </w:pPr>
    </w:p>
    <w:p w:rsidR="00BA5266" w:rsidRPr="00C83DF5" w:rsidRDefault="00BA5266" w:rsidP="00BA5266">
      <w:pPr>
        <w:rPr>
          <w:lang w:val="de-DE"/>
        </w:rPr>
      </w:pPr>
      <w:r w:rsidRPr="00C83DF5">
        <w:rPr>
          <w:rFonts w:eastAsia="Arial" w:cs="Tahoma"/>
          <w:b/>
          <w:sz w:val="22"/>
          <w:szCs w:val="18"/>
          <w:lang w:val="de-DE"/>
        </w:rPr>
        <w:t>Programmvorteile</w:t>
      </w:r>
    </w:p>
    <w:p w:rsidR="00BA5266" w:rsidRPr="008B3D04" w:rsidRDefault="00BA5266" w:rsidP="00BA5266">
      <w:pPr>
        <w:rPr>
          <w:rFonts w:eastAsia="Arial" w:cs="Tahoma"/>
          <w:b/>
          <w:szCs w:val="18"/>
          <w:lang w:val="de-DE" w:eastAsia="ja-JP"/>
        </w:rPr>
      </w:pPr>
    </w:p>
    <w:p w:rsidR="00BA5266" w:rsidRPr="00C83DF5" w:rsidRDefault="00BA5266" w:rsidP="00BA5266">
      <w:pPr>
        <w:spacing w:after="120"/>
        <w:rPr>
          <w:lang w:val="de-DE"/>
        </w:rPr>
      </w:pPr>
      <w:r w:rsidRPr="00C83DF5">
        <w:rPr>
          <w:rFonts w:eastAsia="Arial" w:cs="Tahoma"/>
          <w:szCs w:val="19"/>
          <w:lang w:val="de-DE"/>
        </w:rPr>
        <w:t xml:space="preserve">Während des Einsatzes sind die folgenden Programmvorteile verfügbar: </w:t>
      </w:r>
    </w:p>
    <w:p w:rsidR="00BA5266" w:rsidRPr="00C83DF5" w:rsidRDefault="00BA5266" w:rsidP="00BA5266">
      <w:pPr>
        <w:pStyle w:val="ListParagraph"/>
        <w:numPr>
          <w:ilvl w:val="0"/>
          <w:numId w:val="146"/>
        </w:numPr>
        <w:spacing w:after="240"/>
        <w:rPr>
          <w:lang w:val="de-DE"/>
        </w:rPr>
      </w:pPr>
      <w:bookmarkStart w:id="910" w:name="EnterpriseStrategyLibrary"/>
      <w:r w:rsidRPr="00C83DF5">
        <w:rPr>
          <w:rFonts w:ascii="Tahoma" w:hAnsi="Tahoma" w:cs="Tahoma"/>
          <w:b/>
          <w:bCs/>
          <w:color w:val="000000"/>
          <w:sz w:val="18"/>
          <w:szCs w:val="18"/>
          <w:lang w:val="de-DE"/>
        </w:rPr>
        <w:t xml:space="preserve">Enterprise Strategy Network: </w:t>
      </w:r>
      <w:r w:rsidRPr="00C83DF5">
        <w:rPr>
          <w:rFonts w:ascii="Tahoma" w:hAnsi="Tahoma" w:cs="Tahoma"/>
          <w:bCs/>
          <w:color w:val="000000"/>
          <w:sz w:val="18"/>
          <w:szCs w:val="18"/>
          <w:lang w:val="de-DE"/>
        </w:rPr>
        <w:t xml:space="preserve">Eine enge Verbindung mit den Forschungs- und Entwicklungsteams von Microsoft sowie mit Experten aus allen Bereichen von Microsoft </w:t>
      </w:r>
    </w:p>
    <w:p w:rsidR="00BA5266" w:rsidRPr="00C83DF5" w:rsidRDefault="00BA5266" w:rsidP="00BA5266">
      <w:pPr>
        <w:pStyle w:val="ListParagraph"/>
        <w:numPr>
          <w:ilvl w:val="0"/>
          <w:numId w:val="146"/>
        </w:numPr>
        <w:rPr>
          <w:lang w:val="de-DE"/>
        </w:rPr>
      </w:pPr>
      <w:r w:rsidRPr="00C83DF5">
        <w:rPr>
          <w:rFonts w:ascii="Tahoma" w:hAnsi="Tahoma" w:cs="Tahoma"/>
          <w:b/>
          <w:bCs/>
          <w:color w:val="000000"/>
          <w:sz w:val="18"/>
          <w:szCs w:val="18"/>
          <w:lang w:val="de-DE"/>
        </w:rPr>
        <w:t>Enterprise Strategy Library</w:t>
      </w:r>
      <w:bookmarkEnd w:id="910"/>
      <w:r w:rsidRPr="00C83DF5">
        <w:rPr>
          <w:rFonts w:ascii="Tahoma" w:hAnsi="Tahoma" w:cs="Tahoma"/>
          <w:b/>
          <w:bCs/>
          <w:color w:val="000000"/>
          <w:sz w:val="18"/>
          <w:szCs w:val="18"/>
          <w:lang w:val="de-DE"/>
        </w:rPr>
        <w:t xml:space="preserve">: </w:t>
      </w:r>
      <w:r w:rsidRPr="00C83DF5">
        <w:rPr>
          <w:rFonts w:ascii="Tahoma" w:hAnsi="Tahoma" w:cs="Tahoma"/>
          <w:bCs/>
          <w:color w:val="000000"/>
          <w:sz w:val="18"/>
          <w:szCs w:val="18"/>
          <w:lang w:val="de-DE"/>
        </w:rPr>
        <w:t>Eine umfangreiche Sammlung von Materialien, darunter Branchen-Know-how und Benchmarks-Tools, Konzern- und Technologiearchitektur sowie Referenzmodelle und -methoden.</w:t>
      </w:r>
    </w:p>
    <w:p w:rsidR="00BA5266" w:rsidRPr="008B3D04" w:rsidRDefault="00BA5266" w:rsidP="00BA5266">
      <w:pPr>
        <w:spacing w:after="120"/>
        <w:rPr>
          <w:rFonts w:cs="Tahoma"/>
          <w:b/>
          <w:color w:val="000000"/>
          <w:szCs w:val="18"/>
          <w:u w:val="single"/>
          <w:lang w:val="de-DE"/>
        </w:rPr>
      </w:pPr>
    </w:p>
    <w:p w:rsidR="00BA5266" w:rsidRPr="00C83DF5" w:rsidRDefault="00BA5266" w:rsidP="00BA5266">
      <w:pPr>
        <w:spacing w:after="120"/>
        <w:rPr>
          <w:lang w:val="de-DE"/>
        </w:rPr>
      </w:pPr>
      <w:r w:rsidRPr="00C83DF5">
        <w:rPr>
          <w:rFonts w:cs="Tahoma"/>
          <w:b/>
          <w:color w:val="000000"/>
          <w:sz w:val="22"/>
          <w:szCs w:val="18"/>
          <w:lang w:val="de-DE"/>
        </w:rPr>
        <w:t>Enterprise Strategy-Servicemodule</w:t>
      </w:r>
    </w:p>
    <w:p w:rsidR="00BA5266" w:rsidRPr="00C83DF5" w:rsidRDefault="00BA5266" w:rsidP="00776F42">
      <w:pPr>
        <w:spacing w:before="240" w:after="240" w:line="240" w:lineRule="atLeast"/>
        <w:rPr>
          <w:lang w:val="de-DE"/>
        </w:rPr>
      </w:pPr>
      <w:r w:rsidRPr="00C83DF5">
        <w:rPr>
          <w:rFonts w:cs="Tahoma"/>
          <w:szCs w:val="18"/>
          <w:lang w:val="de-DE"/>
        </w:rPr>
        <w:t>Der Enterprise Strategy-Einsatz beinhaltet eines oder mehrere der folgenden Enterprise Strategy-Servicemodule, wie</w:t>
      </w:r>
      <w:r w:rsidR="00776F42">
        <w:rPr>
          <w:rFonts w:cs="Tahoma"/>
          <w:szCs w:val="18"/>
          <w:lang w:val="de-DE"/>
        </w:rPr>
        <w:t> </w:t>
      </w:r>
      <w:r w:rsidRPr="00C83DF5">
        <w:rPr>
          <w:rFonts w:cs="Tahoma"/>
          <w:szCs w:val="18"/>
          <w:lang w:val="de-DE"/>
        </w:rPr>
        <w:t>im Service Delivery Plan dokumentiert:</w:t>
      </w:r>
    </w:p>
    <w:p w:rsidR="00BA5266" w:rsidRPr="00C83DF5" w:rsidRDefault="00BA5266" w:rsidP="00BA5266">
      <w:pPr>
        <w:numPr>
          <w:ilvl w:val="0"/>
          <w:numId w:val="145"/>
        </w:numPr>
        <w:rPr>
          <w:lang w:val="de-DE"/>
        </w:rPr>
      </w:pPr>
      <w:r w:rsidRPr="00C83DF5">
        <w:rPr>
          <w:rFonts w:cs="Tahoma"/>
          <w:b/>
          <w:szCs w:val="18"/>
          <w:lang w:val="de-DE"/>
        </w:rPr>
        <w:t xml:space="preserve">Werterkennungsworkshop: </w:t>
      </w:r>
      <w:r w:rsidRPr="00C83DF5">
        <w:rPr>
          <w:rFonts w:cs="Tahoma"/>
          <w:szCs w:val="18"/>
          <w:lang w:val="de-DE"/>
        </w:rPr>
        <w:t>Ein Workshop, der Geschäfts- und IT-Verantwortliche bei der Entwicklung und Anfertigung eines Kundenkontextberichts und einer Zusammenfassung der Geschäftsmöglichkeiten unterstützen soll.</w:t>
      </w:r>
    </w:p>
    <w:p w:rsidR="00BA5266" w:rsidRPr="00C83DF5" w:rsidRDefault="00BA5266" w:rsidP="00BA5266">
      <w:pPr>
        <w:numPr>
          <w:ilvl w:val="0"/>
          <w:numId w:val="145"/>
        </w:numPr>
        <w:rPr>
          <w:lang w:val="de-DE"/>
        </w:rPr>
      </w:pPr>
      <w:r w:rsidRPr="00C83DF5">
        <w:rPr>
          <w:rFonts w:cs="Tahoma"/>
          <w:b/>
          <w:szCs w:val="18"/>
          <w:lang w:val="de-DE"/>
        </w:rPr>
        <w:t>Roadmap zum Wert des Konzernvertrages:</w:t>
      </w:r>
      <w:r w:rsidRPr="00C83DF5">
        <w:rPr>
          <w:rFonts w:cs="Tahoma"/>
          <w:szCs w:val="18"/>
          <w:lang w:val="de-DE"/>
        </w:rPr>
        <w:t xml:space="preserve"> Eine Roadmap und Key Performance Indicators (KPIs) für zusammengehörige Initiativen, mit denen der Geschäftswert Ihrer Investition in Microsoft-Services und -Software quantifiziert wird, einschließlich einer Reihe von Empfehlungen zur Verkürzung des Zeitrahmens bis zur Bereitstellung und Einführung Ihrer Investitionen.</w:t>
      </w:r>
    </w:p>
    <w:p w:rsidR="00BA5266" w:rsidRPr="00C83DF5" w:rsidRDefault="00BA5266" w:rsidP="00BA5266">
      <w:pPr>
        <w:numPr>
          <w:ilvl w:val="0"/>
          <w:numId w:val="145"/>
        </w:numPr>
        <w:rPr>
          <w:lang w:val="de-DE"/>
        </w:rPr>
      </w:pPr>
      <w:r w:rsidRPr="00C83DF5">
        <w:rPr>
          <w:rFonts w:cs="Tahoma"/>
          <w:b/>
          <w:szCs w:val="18"/>
          <w:lang w:val="de-DE"/>
        </w:rPr>
        <w:t>Portfolio-Optimierung</w:t>
      </w:r>
      <w:r w:rsidRPr="003336C4">
        <w:rPr>
          <w:rFonts w:cs="Tahoma"/>
          <w:b/>
          <w:bCs/>
          <w:szCs w:val="18"/>
          <w:lang w:val="de-DE"/>
        </w:rPr>
        <w:t>:</w:t>
      </w:r>
      <w:r w:rsidRPr="00C83DF5">
        <w:rPr>
          <w:rFonts w:cs="Tahoma"/>
          <w:szCs w:val="18"/>
          <w:lang w:val="de-DE"/>
        </w:rPr>
        <w:t xml:space="preserve"> Ein Bericht, in dem Ihre Geschäfts- und IT-Portfolios (einschließlich geschäftlicher Fähigkeiten, IT-Services, Anwendungen, Technologien und vorhandener Programm-/Projekt-Portfolios) bewertet und Möglichkeiten zum Einsatz von Microsoft-Geräten und -Services zur Rationalisierung spezifischer Portfolios im Kontext Ihrer aktuellen Geschäftsstrategie aufgezeigt werden.</w:t>
      </w:r>
    </w:p>
    <w:p w:rsidR="00BA5266" w:rsidRPr="00C83DF5" w:rsidRDefault="00BA5266" w:rsidP="00F2776F">
      <w:pPr>
        <w:numPr>
          <w:ilvl w:val="0"/>
          <w:numId w:val="145"/>
        </w:numPr>
        <w:rPr>
          <w:lang w:val="de-DE"/>
        </w:rPr>
      </w:pPr>
      <w:r w:rsidRPr="00C83DF5">
        <w:rPr>
          <w:rFonts w:cs="Tahoma"/>
          <w:b/>
          <w:szCs w:val="18"/>
          <w:lang w:val="de-DE"/>
        </w:rPr>
        <w:t>Architekturoptionen und -empfehlungen</w:t>
      </w:r>
      <w:r w:rsidRPr="003336C4">
        <w:rPr>
          <w:rFonts w:cs="Tahoma"/>
          <w:b/>
          <w:bCs/>
          <w:szCs w:val="18"/>
          <w:lang w:val="de-DE"/>
        </w:rPr>
        <w:t>:</w:t>
      </w:r>
      <w:r w:rsidRPr="00C83DF5">
        <w:rPr>
          <w:rFonts w:cs="Tahoma"/>
          <w:szCs w:val="18"/>
          <w:lang w:val="de-DE"/>
        </w:rPr>
        <w:t xml:space="preserve"> Ein Dokument zur Architekturpräzisierung und -empfehlung, in dem auf realisierbare Architekturoptionen, jeweils mit Bewertung im Hinblick auf die Programmcharta und</w:t>
      </w:r>
      <w:r w:rsidR="00F2776F">
        <w:rPr>
          <w:rFonts w:cs="Tahoma"/>
          <w:szCs w:val="18"/>
          <w:lang w:val="de-DE"/>
        </w:rPr>
        <w:t> </w:t>
      </w:r>
      <w:r w:rsidRPr="00C83DF5">
        <w:rPr>
          <w:rFonts w:cs="Tahoma"/>
          <w:szCs w:val="18"/>
          <w:lang w:val="de-DE"/>
        </w:rPr>
        <w:t xml:space="preserve">Ihre Architekturprinzipien, auf Geschäfts- und IT-Standards sowie auf die Grenzen der Möglichkeiten eingegangen wird. </w:t>
      </w:r>
    </w:p>
    <w:p w:rsidR="00BA5266" w:rsidRPr="00C83DF5" w:rsidRDefault="00BA5266" w:rsidP="00AA07E6">
      <w:pPr>
        <w:numPr>
          <w:ilvl w:val="0"/>
          <w:numId w:val="145"/>
        </w:numPr>
        <w:rPr>
          <w:lang w:val="de-DE"/>
        </w:rPr>
      </w:pPr>
      <w:r w:rsidRPr="00C83DF5">
        <w:rPr>
          <w:rFonts w:cs="Tahoma"/>
          <w:b/>
          <w:szCs w:val="18"/>
          <w:lang w:val="de-DE"/>
        </w:rPr>
        <w:lastRenderedPageBreak/>
        <w:t>Wertplanung</w:t>
      </w:r>
      <w:r w:rsidRPr="003336C4">
        <w:rPr>
          <w:rFonts w:cs="Tahoma"/>
          <w:b/>
          <w:bCs/>
          <w:szCs w:val="18"/>
          <w:lang w:val="de-DE"/>
        </w:rPr>
        <w:t>:</w:t>
      </w:r>
      <w:r w:rsidRPr="00C83DF5">
        <w:rPr>
          <w:rFonts w:cs="Tahoma"/>
          <w:szCs w:val="18"/>
          <w:lang w:val="de-DE"/>
        </w:rPr>
        <w:t xml:space="preserve"> Ein detaillierter Programmplan, Einführungs- und Änderungsplan, eine Value Scorecard und</w:t>
      </w:r>
      <w:r w:rsidR="00AA07E6">
        <w:rPr>
          <w:rFonts w:cs="Tahoma"/>
          <w:szCs w:val="18"/>
          <w:lang w:val="de-DE"/>
        </w:rPr>
        <w:t> </w:t>
      </w:r>
      <w:r w:rsidRPr="00C83DF5">
        <w:rPr>
          <w:rFonts w:cs="Tahoma"/>
          <w:szCs w:val="18"/>
          <w:lang w:val="de-DE"/>
        </w:rPr>
        <w:t>ein Steuerungsplan zur Unterstützung der oben beschriebenen Empfehlung und Roadmap (Architekturoptionen und -empfehlungen).</w:t>
      </w:r>
    </w:p>
    <w:p w:rsidR="00BA5266" w:rsidRPr="00C83DF5" w:rsidRDefault="00BA5266" w:rsidP="00F2776F">
      <w:pPr>
        <w:numPr>
          <w:ilvl w:val="0"/>
          <w:numId w:val="145"/>
        </w:numPr>
        <w:rPr>
          <w:lang w:val="de-DE"/>
        </w:rPr>
      </w:pPr>
      <w:r w:rsidRPr="00C83DF5">
        <w:rPr>
          <w:rFonts w:cs="Tahoma"/>
          <w:b/>
          <w:szCs w:val="18"/>
          <w:lang w:val="de-DE"/>
        </w:rPr>
        <w:t>Business-Case-Entwicklung</w:t>
      </w:r>
      <w:r w:rsidRPr="003336C4">
        <w:rPr>
          <w:rFonts w:cs="Tahoma"/>
          <w:b/>
          <w:bCs/>
          <w:szCs w:val="18"/>
          <w:lang w:val="de-DE"/>
        </w:rPr>
        <w:t>:</w:t>
      </w:r>
      <w:r w:rsidRPr="00C83DF5">
        <w:rPr>
          <w:rFonts w:cs="Tahoma"/>
          <w:szCs w:val="18"/>
          <w:lang w:val="de-DE"/>
        </w:rPr>
        <w:t xml:space="preserve"> Ein Geschäftswertmodell für den Plan für die vorgeschlagene Initiative auf</w:t>
      </w:r>
      <w:r w:rsidR="00F2776F">
        <w:rPr>
          <w:rFonts w:cs="Tahoma"/>
          <w:szCs w:val="18"/>
          <w:lang w:val="de-DE"/>
        </w:rPr>
        <w:t> </w:t>
      </w:r>
      <w:r w:rsidRPr="00C83DF5">
        <w:rPr>
          <w:rFonts w:cs="Tahoma"/>
          <w:szCs w:val="18"/>
          <w:lang w:val="de-DE"/>
        </w:rPr>
        <w:t>der Grundlage einer finanziellen Analyse der veranschlagten Kosten und quantifizierbaren Vorteile.</w:t>
      </w:r>
    </w:p>
    <w:p w:rsidR="00BA5266" w:rsidRPr="00C83DF5" w:rsidRDefault="00BA5266" w:rsidP="00BA5266">
      <w:pPr>
        <w:numPr>
          <w:ilvl w:val="0"/>
          <w:numId w:val="145"/>
        </w:numPr>
        <w:rPr>
          <w:lang w:val="de-DE"/>
        </w:rPr>
      </w:pPr>
      <w:r w:rsidRPr="00C83DF5">
        <w:rPr>
          <w:rFonts w:cs="Tahoma"/>
          <w:b/>
          <w:szCs w:val="18"/>
          <w:lang w:val="de-DE"/>
        </w:rPr>
        <w:t>Einführungs- und Änderungsmanagement</w:t>
      </w:r>
      <w:r w:rsidRPr="003336C4">
        <w:rPr>
          <w:rFonts w:cs="Tahoma"/>
          <w:b/>
          <w:bCs/>
          <w:szCs w:val="18"/>
          <w:lang w:val="de-DE"/>
        </w:rPr>
        <w:t>:</w:t>
      </w:r>
      <w:r w:rsidRPr="00C83DF5">
        <w:rPr>
          <w:rFonts w:cs="Tahoma"/>
          <w:szCs w:val="18"/>
          <w:lang w:val="de-DE"/>
        </w:rPr>
        <w:t xml:space="preserve"> Durchführung des Einführungs- und Änderungsplans (einschließlich des Kommunikationsplans, der Bereitschafts-/Schulungspläne und der Supportpläne) und Bereitstellung von Einführungsbeaufsichtigung, Berichterstattung und Risikominderung.</w:t>
      </w:r>
    </w:p>
    <w:p w:rsidR="00BA5266" w:rsidRPr="00C83DF5" w:rsidRDefault="00BA5266" w:rsidP="00F2776F">
      <w:pPr>
        <w:numPr>
          <w:ilvl w:val="0"/>
          <w:numId w:val="145"/>
        </w:numPr>
        <w:rPr>
          <w:lang w:val="de-DE"/>
        </w:rPr>
      </w:pPr>
      <w:r w:rsidRPr="00C83DF5">
        <w:rPr>
          <w:rFonts w:cs="Tahoma"/>
          <w:b/>
          <w:szCs w:val="18"/>
          <w:lang w:val="de-DE"/>
        </w:rPr>
        <w:t>Wertmanagement:</w:t>
      </w:r>
      <w:r w:rsidRPr="00C83DF5">
        <w:rPr>
          <w:rFonts w:cs="Tahoma"/>
          <w:szCs w:val="18"/>
          <w:lang w:val="de-DE"/>
        </w:rPr>
        <w:t xml:space="preserve"> Messung und Verfolgung des Fortschritts der Initiative anhand Ihrer festgelegten KPIs</w:t>
      </w:r>
      <w:r w:rsidR="00F2776F">
        <w:rPr>
          <w:rFonts w:cs="Tahoma"/>
          <w:szCs w:val="18"/>
          <w:lang w:val="de-DE"/>
        </w:rPr>
        <w:t> </w:t>
      </w:r>
      <w:r w:rsidRPr="00C83DF5">
        <w:rPr>
          <w:rFonts w:cs="Tahoma"/>
          <w:szCs w:val="18"/>
          <w:lang w:val="de-DE"/>
        </w:rPr>
        <w:t>und der internen Messsysteme Ihres Unternehmens (z. B. Engagements, Scorecards und Geschäftsbewertungen).</w:t>
      </w:r>
    </w:p>
    <w:p w:rsidR="00BA5266" w:rsidRPr="00C83DF5" w:rsidRDefault="00BA5266" w:rsidP="00F2776F">
      <w:pPr>
        <w:pStyle w:val="ListParagraph"/>
        <w:numPr>
          <w:ilvl w:val="0"/>
          <w:numId w:val="145"/>
        </w:numPr>
        <w:spacing w:after="60"/>
        <w:rPr>
          <w:lang w:val="de-DE"/>
        </w:rPr>
      </w:pPr>
      <w:r w:rsidRPr="00C83DF5">
        <w:rPr>
          <w:rFonts w:ascii="Tahoma" w:hAnsi="Tahoma" w:cs="Tahoma"/>
          <w:b/>
          <w:sz w:val="18"/>
          <w:szCs w:val="18"/>
          <w:lang w:val="de-DE"/>
        </w:rPr>
        <w:t>Programmsteuerung, Risiko- und Compliance-Management</w:t>
      </w:r>
      <w:r w:rsidRPr="00F2776F">
        <w:rPr>
          <w:rFonts w:ascii="Tahoma" w:hAnsi="Tahoma" w:cs="Tahoma"/>
          <w:b/>
          <w:bCs/>
          <w:sz w:val="18"/>
          <w:szCs w:val="18"/>
          <w:lang w:val="de-DE"/>
        </w:rPr>
        <w:t>:</w:t>
      </w:r>
      <w:r w:rsidRPr="00C83DF5">
        <w:rPr>
          <w:rFonts w:ascii="Tahoma" w:hAnsi="Tahoma" w:cs="Tahoma"/>
          <w:sz w:val="18"/>
          <w:szCs w:val="18"/>
          <w:lang w:val="de-DE"/>
        </w:rPr>
        <w:t xml:space="preserve"> Überwachung des Programmstatus und</w:t>
      </w:r>
      <w:r w:rsidR="00F2776F">
        <w:rPr>
          <w:rFonts w:ascii="Tahoma" w:hAnsi="Tahoma" w:cs="Tahoma"/>
          <w:sz w:val="18"/>
          <w:szCs w:val="18"/>
          <w:lang w:val="de-DE"/>
        </w:rPr>
        <w:t> </w:t>
      </w:r>
      <w:r w:rsidRPr="00C83DF5">
        <w:rPr>
          <w:rFonts w:ascii="Tahoma" w:hAnsi="Tahoma" w:cs="Tahoma"/>
          <w:sz w:val="18"/>
          <w:szCs w:val="18"/>
          <w:lang w:val="de-DE"/>
        </w:rPr>
        <w:t>Übermittlung von Berichten an definierte Steuerungsstrukturen (z. B. Lenkungskomitees, Prüfungsausschüsse) zur Ermöglichung effektiver Entscheidungsfindungen während des gesamten Lebenszyklus des Programms.</w:t>
      </w:r>
    </w:p>
    <w:p w:rsidR="00BA5266" w:rsidRPr="008B3D04" w:rsidRDefault="00BA5266" w:rsidP="00BA5266">
      <w:pPr>
        <w:rPr>
          <w:rFonts w:eastAsia="Arial" w:cs="Tahoma"/>
          <w:b/>
          <w:lang w:val="de-DE" w:eastAsia="ja-JP"/>
        </w:rPr>
      </w:pPr>
    </w:p>
    <w:p w:rsidR="00BA5266" w:rsidRPr="00C83DF5" w:rsidRDefault="00BA5266" w:rsidP="00BA5266">
      <w:pPr>
        <w:spacing w:after="240"/>
        <w:rPr>
          <w:lang w:val="de-DE"/>
        </w:rPr>
      </w:pPr>
      <w:r w:rsidRPr="00C83DF5">
        <w:rPr>
          <w:rFonts w:eastAsia="Arial" w:cs="Tahoma"/>
          <w:b/>
          <w:sz w:val="22"/>
          <w:szCs w:val="18"/>
          <w:lang w:val="de-DE"/>
        </w:rPr>
        <w:t>Enterprise Strategy Capacity Add-On</w:t>
      </w:r>
    </w:p>
    <w:p w:rsidR="00BA5266" w:rsidRPr="00C83DF5" w:rsidRDefault="00BA5266" w:rsidP="00BA5266">
      <w:pPr>
        <w:ind w:left="360"/>
        <w:rPr>
          <w:lang w:val="de-DE"/>
        </w:rPr>
      </w:pPr>
      <w:r w:rsidRPr="00C83DF5">
        <w:rPr>
          <w:rFonts w:cs="Tahoma"/>
          <w:color w:val="000000"/>
          <w:szCs w:val="18"/>
          <w:lang w:val="de-DE"/>
        </w:rPr>
        <w:t xml:space="preserve">Der Kunde kann Ressourcen des Microsoft-Konzernserviceerbringungsteam in Blöcken zu je </w:t>
      </w:r>
      <w:r w:rsidR="00AA07E6">
        <w:rPr>
          <w:rFonts w:cs="Tahoma"/>
          <w:color w:val="000000"/>
          <w:szCs w:val="18"/>
          <w:lang w:val="de-DE"/>
        </w:rPr>
        <w:br/>
      </w:r>
      <w:r w:rsidRPr="00C83DF5">
        <w:rPr>
          <w:rFonts w:cs="Tahoma"/>
          <w:color w:val="000000"/>
          <w:szCs w:val="18"/>
          <w:lang w:val="de-DE"/>
        </w:rPr>
        <w:t xml:space="preserve">200 Stunden erwerben, um die Bereitstellungskapazität bei Enterprise Strategy-Einsätzen zu erhöhen. </w:t>
      </w:r>
      <w:r w:rsidRPr="00C83DF5">
        <w:rPr>
          <w:rFonts w:cs="Tahoma"/>
          <w:color w:val="000000"/>
          <w:szCs w:val="18"/>
          <w:lang w:val="de-DE"/>
        </w:rPr>
        <w:br/>
        <w:t>Das Enterprise Strategy Capacity Add-On steht Kunden zur Verfügung, die das Angebot Enterprise Strategy Connect, Enterprise Strategy Foundation oder Enterprise Strategy Portfolio über Microsoft-Volumenlizenzverträge oder standardmäßige Microsoft-Serviceverträge erworben haben.</w:t>
      </w:r>
    </w:p>
    <w:p w:rsidR="00BA5266" w:rsidRPr="008B3D04" w:rsidRDefault="00BA5266" w:rsidP="00BA5266">
      <w:pPr>
        <w:spacing w:after="60"/>
        <w:rPr>
          <w:rFonts w:eastAsia="Arial" w:cs="Tahoma"/>
          <w:lang w:val="de-DE" w:eastAsia="ja-JP"/>
        </w:rPr>
      </w:pPr>
    </w:p>
    <w:p w:rsidR="00BA5266" w:rsidRPr="008B3D04" w:rsidRDefault="00BA5266" w:rsidP="00BA5266">
      <w:pPr>
        <w:spacing w:after="240"/>
        <w:rPr>
          <w:rFonts w:cs="Tahoma"/>
          <w:b/>
          <w:sz w:val="22"/>
          <w:szCs w:val="18"/>
          <w:lang w:val="de-DE"/>
        </w:rPr>
      </w:pPr>
      <w:r w:rsidRPr="008B3D04">
        <w:rPr>
          <w:rFonts w:cs="Tahoma"/>
          <w:b/>
          <w:sz w:val="22"/>
          <w:szCs w:val="18"/>
          <w:lang w:val="de-DE"/>
        </w:rPr>
        <w:t>Nicht abgedeckte Ser</w:t>
      </w:r>
      <w:r w:rsidR="00D92F39">
        <w:rPr>
          <w:rFonts w:cs="Tahoma"/>
          <w:b/>
          <w:sz w:val="22"/>
          <w:szCs w:val="18"/>
          <w:lang w:val="de-DE"/>
        </w:rPr>
        <w:t>vices</w:t>
      </w:r>
    </w:p>
    <w:p w:rsidR="00BA5266" w:rsidRPr="000F3BE2" w:rsidRDefault="00BA5266" w:rsidP="00BA5266">
      <w:pPr>
        <w:rPr>
          <w:szCs w:val="18"/>
          <w:lang w:val="de-DE"/>
        </w:rPr>
      </w:pPr>
      <w:r w:rsidRPr="000F3BE2">
        <w:rPr>
          <w:rFonts w:cs="Tahoma"/>
          <w:szCs w:val="18"/>
          <w:lang w:val="de-DE"/>
        </w:rPr>
        <w:t>Das Enterprise Strategy-Programm umfasst ausschließlich Beratung und Empfehlungen für die Einführung von Microsoft-Technologien durch den Kunden.</w:t>
      </w:r>
      <w:r w:rsidR="00E71F46" w:rsidRPr="000F3BE2">
        <w:rPr>
          <w:rFonts w:cs="Tahoma"/>
          <w:szCs w:val="18"/>
          <w:lang w:val="de-DE"/>
        </w:rPr>
        <w:t xml:space="preserve"> </w:t>
      </w:r>
      <w:r w:rsidRPr="000F3BE2">
        <w:rPr>
          <w:rFonts w:eastAsia="Arial" w:cs="Tahoma"/>
          <w:bCs/>
          <w:szCs w:val="18"/>
          <w:lang w:val="de-DE"/>
        </w:rPr>
        <w:t>Die Entscheidung, die Ratschläge, Hinweise und Empfehlungen von Microsoft zu befolgen oder zu ignorieren, liegt ausschließlich beim Kunden.</w:t>
      </w:r>
      <w:r w:rsidR="00E71F46" w:rsidRPr="000F3BE2">
        <w:rPr>
          <w:rFonts w:eastAsia="Arial" w:cs="Tahoma"/>
          <w:bCs/>
          <w:szCs w:val="18"/>
          <w:lang w:val="de-DE"/>
        </w:rPr>
        <w:t xml:space="preserve"> </w:t>
      </w:r>
      <w:r w:rsidRPr="000F3BE2">
        <w:rPr>
          <w:rFonts w:eastAsia="Arial" w:cs="Tahoma"/>
          <w:bCs/>
          <w:szCs w:val="18"/>
          <w:lang w:val="de-DE"/>
        </w:rPr>
        <w:t>Microsoft gibt keinerlei Zusicherungen, Gewährleistungen oder Garantien hinsichtlich der Ergebnisse ab, die der Kunde möglicherweise durch Befolgen der Ratschläge, Hinweise und Empfehlungen von Microsoft erzielt.</w:t>
      </w:r>
      <w:r w:rsidR="00E71F46" w:rsidRPr="000F3BE2">
        <w:rPr>
          <w:rFonts w:eastAsia="Arial" w:cs="Tahoma"/>
          <w:bCs/>
          <w:szCs w:val="18"/>
          <w:lang w:val="de-DE"/>
        </w:rPr>
        <w:t xml:space="preserve"> </w:t>
      </w:r>
      <w:r w:rsidRPr="000F3BE2">
        <w:rPr>
          <w:rFonts w:cs="Tahoma"/>
          <w:szCs w:val="18"/>
          <w:lang w:val="de-DE"/>
        </w:rPr>
        <w:t>Produktlizenzen sind nicht enthalten.</w:t>
      </w:r>
      <w:r w:rsidR="00E71F46" w:rsidRPr="000F3BE2">
        <w:rPr>
          <w:rFonts w:cs="Tahoma"/>
          <w:szCs w:val="18"/>
          <w:lang w:val="de-DE"/>
        </w:rPr>
        <w:t xml:space="preserve"> </w:t>
      </w:r>
      <w:r w:rsidRPr="000F3BE2">
        <w:rPr>
          <w:rFonts w:cs="Tahoma"/>
          <w:szCs w:val="18"/>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rsidR="00BA5266" w:rsidRPr="008B3D04" w:rsidRDefault="00BA5266" w:rsidP="00BA5266">
      <w:pPr>
        <w:rPr>
          <w:rFonts w:cs="Tahoma"/>
          <w:szCs w:val="18"/>
          <w:lang w:val="de-DE"/>
        </w:rPr>
      </w:pPr>
    </w:p>
    <w:p w:rsidR="00BA5266" w:rsidRPr="008B3D04" w:rsidRDefault="00BA5266" w:rsidP="00BA5266">
      <w:pPr>
        <w:spacing w:after="240"/>
        <w:rPr>
          <w:rFonts w:cs="Tahoma"/>
          <w:b/>
          <w:sz w:val="22"/>
          <w:szCs w:val="18"/>
          <w:lang w:val="de-DE"/>
        </w:rPr>
      </w:pPr>
      <w:r w:rsidRPr="008B3D04">
        <w:rPr>
          <w:rFonts w:cs="Tahoma"/>
          <w:b/>
          <w:sz w:val="22"/>
          <w:szCs w:val="18"/>
          <w:lang w:val="de-DE"/>
        </w:rPr>
        <w:t>Verantwortlichkeiten des Kunden</w:t>
      </w:r>
      <w:r w:rsidR="00E71F46" w:rsidRPr="008B3D04">
        <w:rPr>
          <w:rFonts w:cs="Tahoma"/>
          <w:b/>
          <w:sz w:val="22"/>
          <w:szCs w:val="18"/>
          <w:lang w:val="de-DE"/>
        </w:rPr>
        <w:t xml:space="preserve"> </w:t>
      </w:r>
    </w:p>
    <w:p w:rsidR="00BA5266" w:rsidRPr="00C83DF5" w:rsidRDefault="00BA5266" w:rsidP="00BA5266">
      <w:pPr>
        <w:spacing w:after="240"/>
        <w:rPr>
          <w:lang w:val="de-DE"/>
        </w:rPr>
      </w:pPr>
      <w:r w:rsidRPr="00C83DF5">
        <w:rPr>
          <w:rFonts w:cs="Tahoma"/>
          <w:szCs w:val="18"/>
          <w:lang w:val="de-DE"/>
        </w:rPr>
        <w:t>Der Erfolg des Enterprise Strategy-Programms und die Erfüllung unserer Pflichten sind von der Beteiligung des Kunden während des Programms abhängig, einschließlich, jedoch ohne Beschränkung auf Folgendes:</w:t>
      </w:r>
    </w:p>
    <w:p w:rsidR="00BA5266" w:rsidRPr="00C83DF5" w:rsidRDefault="00BA5266" w:rsidP="00BA5266">
      <w:pPr>
        <w:numPr>
          <w:ilvl w:val="0"/>
          <w:numId w:val="78"/>
        </w:numPr>
        <w:ind w:left="630"/>
        <w:contextualSpacing/>
        <w:rPr>
          <w:lang w:val="de-DE"/>
        </w:rPr>
      </w:pPr>
      <w:r w:rsidRPr="00C83DF5">
        <w:rPr>
          <w:rFonts w:cs="Tahoma"/>
          <w:color w:val="000000"/>
          <w:szCs w:val="18"/>
          <w:lang w:val="de-DE"/>
        </w:rPr>
        <w:t xml:space="preserve">Verfügbarkeit von Vertretern, IT-Mitarbeitern und Ressourcen des Kunden, einschließlich, jedoch nicht beschränkt auf Hardware, Software, Internetanschluss und Büroräume </w:t>
      </w:r>
    </w:p>
    <w:p w:rsidR="00BA5266" w:rsidRPr="00C83DF5" w:rsidRDefault="00BA5266" w:rsidP="00BA5266">
      <w:pPr>
        <w:numPr>
          <w:ilvl w:val="0"/>
          <w:numId w:val="78"/>
        </w:numPr>
        <w:ind w:left="630"/>
        <w:contextualSpacing/>
        <w:rPr>
          <w:lang w:val="de-DE"/>
        </w:rPr>
      </w:pPr>
      <w:r w:rsidRPr="00C83DF5">
        <w:rPr>
          <w:rFonts w:cs="Tahoma"/>
          <w:color w:val="000000"/>
          <w:szCs w:val="18"/>
          <w:lang w:val="de-DE"/>
        </w:rPr>
        <w:t xml:space="preserve">Zeitnahe Bereitstellung korrekter und vollständiger Informationen durch den Kunden </w:t>
      </w:r>
    </w:p>
    <w:p w:rsidR="00BA5266" w:rsidRPr="00C83DF5" w:rsidRDefault="00BA5266" w:rsidP="00BA5266">
      <w:pPr>
        <w:numPr>
          <w:ilvl w:val="0"/>
          <w:numId w:val="78"/>
        </w:numPr>
        <w:ind w:left="630"/>
        <w:contextualSpacing/>
        <w:rPr>
          <w:lang w:val="de-DE"/>
        </w:rPr>
      </w:pPr>
      <w:r w:rsidRPr="00C83DF5">
        <w:rPr>
          <w:rFonts w:cs="Tahoma"/>
          <w:color w:val="000000"/>
          <w:szCs w:val="18"/>
          <w:lang w:val="de-DE"/>
        </w:rPr>
        <w:t>Zugang zu Informationen über das Unternehmen des Kunden</w:t>
      </w:r>
    </w:p>
    <w:p w:rsidR="00BA5266" w:rsidRPr="00C83DF5" w:rsidRDefault="00BA5266" w:rsidP="00BA5266">
      <w:pPr>
        <w:numPr>
          <w:ilvl w:val="0"/>
          <w:numId w:val="78"/>
        </w:numPr>
        <w:ind w:left="630"/>
        <w:contextualSpacing/>
        <w:rPr>
          <w:lang w:val="de-DE"/>
        </w:rPr>
      </w:pPr>
      <w:r w:rsidRPr="00C83DF5">
        <w:rPr>
          <w:rFonts w:cs="Tahoma"/>
          <w:color w:val="000000"/>
          <w:szCs w:val="18"/>
          <w:lang w:val="de-DE"/>
        </w:rPr>
        <w:t>Zeitnahe und effektiven Erfüllung der dem Kunden zugewiesenen Verantwortlichkeiten und</w:t>
      </w:r>
    </w:p>
    <w:p w:rsidR="00BA5266" w:rsidRPr="00C83DF5" w:rsidRDefault="00BA5266" w:rsidP="00BA5266">
      <w:pPr>
        <w:numPr>
          <w:ilvl w:val="0"/>
          <w:numId w:val="78"/>
        </w:numPr>
        <w:ind w:left="630"/>
        <w:contextualSpacing/>
        <w:rPr>
          <w:lang w:val="de-DE"/>
        </w:rPr>
      </w:pPr>
      <w:r w:rsidRPr="00C83DF5">
        <w:rPr>
          <w:rFonts w:cs="Tahoma"/>
          <w:color w:val="000000"/>
          <w:szCs w:val="18"/>
          <w:lang w:val="de-DE"/>
        </w:rPr>
        <w:t>Zeitnahe Entscheidungen und Genehmigungen durch das Management des Kunden.</w:t>
      </w:r>
      <w:r w:rsidR="00E71F46" w:rsidRPr="00C83DF5">
        <w:rPr>
          <w:rFonts w:cs="Tahoma"/>
          <w:color w:val="000000"/>
          <w:szCs w:val="18"/>
          <w:lang w:val="de-DE"/>
        </w:rPr>
        <w:t xml:space="preserve"> </w:t>
      </w:r>
    </w:p>
    <w:p w:rsidR="00BA5266" w:rsidRPr="008B3D04" w:rsidRDefault="00BA5266" w:rsidP="006D6BED">
      <w:pPr>
        <w:rPr>
          <w:rFonts w:cs="Arial"/>
          <w:lang w:val="de-DE"/>
        </w:rPr>
      </w:pPr>
    </w:p>
    <w:p w:rsidR="0064651F" w:rsidRPr="008B3D04" w:rsidRDefault="0064651F" w:rsidP="00CA52FE">
      <w:pPr>
        <w:rPr>
          <w:b/>
          <w:szCs w:val="18"/>
          <w:lang w:val="de-DE"/>
        </w:rPr>
      </w:pPr>
      <w:bookmarkStart w:id="911" w:name="_Toc288760404"/>
    </w:p>
    <w:p w:rsidR="00D7564E" w:rsidRPr="008B3D04" w:rsidRDefault="00D7564E" w:rsidP="00CA52FE">
      <w:pPr>
        <w:rPr>
          <w:b/>
          <w:szCs w:val="18"/>
          <w:lang w:val="de-DE"/>
        </w:rPr>
      </w:pPr>
    </w:p>
    <w:p w:rsidR="00D7564E" w:rsidRPr="008B3D04" w:rsidRDefault="00D7564E" w:rsidP="00CA52FE">
      <w:pPr>
        <w:rPr>
          <w:b/>
          <w:szCs w:val="18"/>
          <w:lang w:val="de-DE"/>
        </w:rPr>
      </w:pPr>
    </w:p>
    <w:p w:rsidR="00D7564E" w:rsidRPr="008B3D04" w:rsidRDefault="00D7564E" w:rsidP="00CA52FE">
      <w:pPr>
        <w:rPr>
          <w:b/>
          <w:szCs w:val="18"/>
          <w:lang w:val="de-DE"/>
        </w:rPr>
      </w:pPr>
    </w:p>
    <w:p w:rsidR="00D7564E" w:rsidRPr="008B3D04" w:rsidRDefault="00D7564E" w:rsidP="00CA52FE">
      <w:pPr>
        <w:rPr>
          <w:b/>
          <w:szCs w:val="18"/>
          <w:lang w:val="de-DE"/>
        </w:rPr>
      </w:pPr>
    </w:p>
    <w:p w:rsidR="00D7564E" w:rsidRPr="008B3D04" w:rsidRDefault="00D7564E" w:rsidP="00CA52FE">
      <w:pPr>
        <w:rPr>
          <w:b/>
          <w:szCs w:val="18"/>
          <w:lang w:val="de-DE"/>
        </w:rPr>
      </w:pPr>
    </w:p>
    <w:p w:rsidR="00D7564E" w:rsidRPr="008B3D04" w:rsidRDefault="00D7564E" w:rsidP="00CA52FE">
      <w:pPr>
        <w:rPr>
          <w:b/>
          <w:szCs w:val="18"/>
          <w:lang w:val="de-DE"/>
        </w:rPr>
      </w:pPr>
    </w:p>
    <w:p w:rsidR="00D7564E" w:rsidRPr="008B3D04" w:rsidRDefault="00D7564E" w:rsidP="00CA52FE">
      <w:pPr>
        <w:rPr>
          <w:b/>
          <w:szCs w:val="18"/>
          <w:lang w:val="de-DE"/>
        </w:rPr>
      </w:pPr>
    </w:p>
    <w:p w:rsidR="00DD7F8E" w:rsidRPr="00C83DF5" w:rsidRDefault="00DD7F8E" w:rsidP="00CA52FE">
      <w:pPr>
        <w:rPr>
          <w:lang w:val="de-DE"/>
        </w:rPr>
      </w:pPr>
      <w:r w:rsidRPr="00C83DF5">
        <w:rPr>
          <w:b/>
          <w:sz w:val="24"/>
          <w:szCs w:val="18"/>
          <w:lang w:val="de-DE"/>
        </w:rPr>
        <w:lastRenderedPageBreak/>
        <w:t>Zusätzliche Servicebestimmungen</w:t>
      </w:r>
    </w:p>
    <w:p w:rsidR="00DD7F8E" w:rsidRPr="008B3D04" w:rsidRDefault="00DD7F8E" w:rsidP="00CA52FE">
      <w:pPr>
        <w:rPr>
          <w:sz w:val="22"/>
          <w:szCs w:val="18"/>
          <w:lang w:val="de-DE"/>
        </w:rPr>
      </w:pPr>
    </w:p>
    <w:p w:rsidR="00DD7F8E" w:rsidRPr="00C83DF5" w:rsidRDefault="00DB2D1E" w:rsidP="00E77F1E">
      <w:pPr>
        <w:spacing w:after="60"/>
        <w:rPr>
          <w:lang w:val="de-DE"/>
        </w:rPr>
      </w:pPr>
      <w:bookmarkStart w:id="912" w:name="_Toc317591257"/>
      <w:bookmarkStart w:id="913" w:name="_Toc336338248"/>
      <w:bookmarkStart w:id="914" w:name="_Toc370983357"/>
      <w:r w:rsidRPr="00C83DF5">
        <w:rPr>
          <w:rStyle w:val="Heading2Char"/>
          <w:rFonts w:ascii="Tahoma" w:hAnsi="Tahoma"/>
          <w:sz w:val="20"/>
          <w:szCs w:val="20"/>
          <w:lang w:val="de-DE"/>
        </w:rPr>
        <w:t>Nutzungsrechte, Eigentum und Lizenzrechte</w:t>
      </w:r>
      <w:bookmarkEnd w:id="911"/>
      <w:bookmarkEnd w:id="912"/>
      <w:bookmarkEnd w:id="913"/>
      <w:bookmarkEnd w:id="914"/>
    </w:p>
    <w:p w:rsidR="00DB2D1E" w:rsidRPr="00D7564E" w:rsidRDefault="00DB2D1E" w:rsidP="00CA52FE">
      <w:pPr>
        <w:pStyle w:val="normal1"/>
        <w:rPr>
          <w:sz w:val="18"/>
          <w:szCs w:val="18"/>
          <w:lang w:val="de-DE"/>
        </w:rPr>
      </w:pPr>
      <w:r w:rsidRPr="00D7564E">
        <w:rPr>
          <w:rFonts w:ascii="Tahoma" w:hAnsi="Tahoma" w:cs="Tahoma"/>
          <w:b/>
          <w:bCs/>
          <w:color w:val="000000"/>
          <w:sz w:val="18"/>
          <w:szCs w:val="18"/>
          <w:lang w:val="de-DE"/>
        </w:rPr>
        <w:t>Fixes.</w:t>
      </w:r>
      <w:r w:rsidR="00E71F46" w:rsidRPr="00D7564E">
        <w:rPr>
          <w:rFonts w:ascii="Tahoma" w:hAnsi="Tahoma" w:cs="Tahoma"/>
          <w:b/>
          <w:bCs/>
          <w:color w:val="000000"/>
          <w:sz w:val="18"/>
          <w:szCs w:val="18"/>
          <w:lang w:val="de-DE"/>
        </w:rPr>
        <w:t xml:space="preserve"> </w:t>
      </w:r>
      <w:r w:rsidRPr="00D7564E">
        <w:rPr>
          <w:rFonts w:ascii="Tahoma" w:hAnsi="Tahoma" w:cs="Tahoma"/>
          <w:bCs/>
          <w:color w:val="000000"/>
          <w:sz w:val="18"/>
          <w:szCs w:val="18"/>
          <w:lang w:val="de-DE"/>
        </w:rPr>
        <w:t>Wenn Microsoft dem Kunden im Rahmen der Erbringung der Services Fixes zur Verfügung stellt, werden diese</w:t>
      </w:r>
      <w:r w:rsidRPr="00D7564E">
        <w:rPr>
          <w:rFonts w:ascii="Tahoma" w:hAnsi="Tahoma" w:cs="Tahoma"/>
          <w:b/>
          <w:bCs/>
          <w:color w:val="000000"/>
          <w:sz w:val="18"/>
          <w:szCs w:val="18"/>
          <w:lang w:val="de-DE"/>
        </w:rPr>
        <w:t xml:space="preserve"> </w:t>
      </w:r>
      <w:r w:rsidRPr="00D7564E">
        <w:rPr>
          <w:rFonts w:ascii="Tahoma" w:hAnsi="Tahoma" w:cs="Tahoma"/>
          <w:color w:val="000000"/>
          <w:sz w:val="18"/>
          <w:szCs w:val="18"/>
          <w:lang w:val="de-DE"/>
        </w:rPr>
        <w:t>Fixes in Übereinstimmung mit den Lizenzbestimmungen für das Product, auf das sich diese Fixes beziehen, lizenziert.</w:t>
      </w:r>
      <w:r w:rsidR="00E71F46" w:rsidRPr="00D7564E">
        <w:rPr>
          <w:rFonts w:ascii="Tahoma" w:hAnsi="Tahoma" w:cs="Tahoma"/>
          <w:color w:val="000000"/>
          <w:sz w:val="18"/>
          <w:szCs w:val="18"/>
          <w:lang w:val="de-DE"/>
        </w:rPr>
        <w:t xml:space="preserve"> </w:t>
      </w:r>
      <w:r w:rsidRPr="00D7564E">
        <w:rPr>
          <w:rFonts w:ascii="Tahoma" w:hAnsi="Tahoma" w:cs="Tahoma"/>
          <w:color w:val="000000"/>
          <w:sz w:val="18"/>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E71F46" w:rsidRPr="00D7564E">
        <w:rPr>
          <w:rFonts w:ascii="Tahoma" w:hAnsi="Tahoma" w:cs="Tahoma"/>
          <w:color w:val="000000"/>
          <w:sz w:val="18"/>
          <w:szCs w:val="18"/>
          <w:lang w:val="de-DE"/>
        </w:rPr>
        <w:t xml:space="preserve"> </w:t>
      </w:r>
      <w:r w:rsidRPr="00D7564E">
        <w:rPr>
          <w:rFonts w:ascii="Tahoma" w:hAnsi="Tahoma" w:cs="Tahoma"/>
          <w:color w:val="000000"/>
          <w:sz w:val="18"/>
          <w:szCs w:val="18"/>
          <w:lang w:val="de-DE"/>
        </w:rPr>
        <w:t>Der Kunde ist nicht berechtigt, Fixes zu ändern, ihre Dateinamen zu ändern oder sie mit Computercodes zu kombinieren, die nicht von Microsoft stammen.</w:t>
      </w:r>
    </w:p>
    <w:p w:rsidR="003F47CB" w:rsidRPr="008B3D04" w:rsidRDefault="003F47CB" w:rsidP="00CA52FE">
      <w:pPr>
        <w:pStyle w:val="normal1"/>
        <w:rPr>
          <w:rFonts w:ascii="Tahoma" w:hAnsi="Tahoma" w:cs="Tahoma"/>
          <w:color w:val="000000"/>
          <w:sz w:val="18"/>
          <w:szCs w:val="18"/>
          <w:lang w:val="de-DE"/>
        </w:rPr>
      </w:pPr>
    </w:p>
    <w:p w:rsidR="00DB2D1E" w:rsidRPr="00D7564E" w:rsidRDefault="00DB2D1E" w:rsidP="00D7564E">
      <w:pPr>
        <w:pStyle w:val="normal1"/>
        <w:rPr>
          <w:sz w:val="18"/>
          <w:szCs w:val="18"/>
          <w:lang w:val="de-DE"/>
        </w:rPr>
      </w:pPr>
      <w:r w:rsidRPr="00D7564E">
        <w:rPr>
          <w:rFonts w:ascii="Tahoma" w:hAnsi="Tahoma" w:cs="Tahoma"/>
          <w:b/>
          <w:bCs/>
          <w:color w:val="000000"/>
          <w:sz w:val="18"/>
          <w:szCs w:val="18"/>
          <w:lang w:val="de-DE"/>
        </w:rPr>
        <w:t>Vorbestehende Werke.</w:t>
      </w:r>
      <w:r w:rsidR="00E71F46" w:rsidRPr="00D7564E">
        <w:rPr>
          <w:rFonts w:ascii="Tahoma" w:hAnsi="Tahoma" w:cs="Tahoma"/>
          <w:color w:val="000000"/>
          <w:sz w:val="18"/>
          <w:szCs w:val="18"/>
          <w:lang w:val="de-DE"/>
        </w:rPr>
        <w:t xml:space="preserve"> </w:t>
      </w:r>
      <w:r w:rsidRPr="00D7564E">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w:t>
      </w:r>
      <w:r w:rsidR="00D7564E" w:rsidRPr="00D7564E">
        <w:rPr>
          <w:rFonts w:ascii="Tahoma" w:hAnsi="Tahoma" w:cs="Tahoma"/>
          <w:color w:val="000000"/>
          <w:sz w:val="18"/>
          <w:szCs w:val="18"/>
          <w:lang w:val="de-DE"/>
        </w:rPr>
        <w:t> </w:t>
      </w:r>
      <w:r w:rsidRPr="00D7564E">
        <w:rPr>
          <w:rFonts w:ascii="Tahoma" w:hAnsi="Tahoma" w:cs="Tahoma"/>
          <w:color w:val="000000"/>
          <w:sz w:val="18"/>
          <w:szCs w:val="18"/>
          <w:lang w:val="de-DE"/>
        </w:rPr>
        <w:t>oder auf andere Weise erlangt wurden („Vorbestehende Werke“), verbleiben allein bei derjenigen Partei,</w:t>
      </w:r>
      <w:r w:rsidR="00D7564E" w:rsidRPr="00D7564E">
        <w:rPr>
          <w:rFonts w:ascii="Tahoma" w:hAnsi="Tahoma" w:cs="Tahoma"/>
          <w:color w:val="000000"/>
          <w:sz w:val="18"/>
          <w:szCs w:val="18"/>
          <w:lang w:val="de-DE"/>
        </w:rPr>
        <w:t> </w:t>
      </w:r>
      <w:r w:rsidRPr="00D7564E">
        <w:rPr>
          <w:rFonts w:ascii="Tahoma" w:hAnsi="Tahoma" w:cs="Tahoma"/>
          <w:color w:val="000000"/>
          <w:sz w:val="18"/>
          <w:szCs w:val="18"/>
          <w:lang w:val="de-DE"/>
        </w:rPr>
        <w:t>die die Vorbestehenden Werke jeweils bereitstellt.</w:t>
      </w:r>
      <w:r w:rsidR="00E71F46" w:rsidRPr="00D7564E">
        <w:rPr>
          <w:rFonts w:ascii="Tahoma" w:hAnsi="Tahoma" w:cs="Tahoma"/>
          <w:color w:val="000000"/>
          <w:sz w:val="18"/>
          <w:szCs w:val="18"/>
          <w:lang w:val="de-DE"/>
        </w:rPr>
        <w:t xml:space="preserve"> </w:t>
      </w:r>
      <w:r w:rsidRPr="00D7564E">
        <w:rPr>
          <w:rFonts w:ascii="Tahoma" w:hAnsi="Tahoma" w:cs="Tahoma"/>
          <w:color w:val="000000"/>
          <w:sz w:val="18"/>
          <w:szCs w:val="18"/>
          <w:lang w:val="de-DE"/>
        </w:rPr>
        <w:t>Für die Dauer der zu erbringenden Leistungen erteilen die</w:t>
      </w:r>
      <w:r w:rsidR="00D7564E" w:rsidRPr="00D7564E">
        <w:rPr>
          <w:rFonts w:ascii="Tahoma" w:hAnsi="Tahoma" w:cs="Tahoma"/>
          <w:color w:val="000000"/>
          <w:sz w:val="18"/>
          <w:szCs w:val="18"/>
          <w:lang w:val="de-DE"/>
        </w:rPr>
        <w:t> </w:t>
      </w:r>
      <w:r w:rsidRPr="00D7564E">
        <w:rPr>
          <w:rFonts w:ascii="Tahoma" w:hAnsi="Tahoma" w:cs="Tahoma"/>
          <w:color w:val="000000"/>
          <w:sz w:val="18"/>
          <w:szCs w:val="18"/>
          <w:lang w:val="de-DE"/>
        </w:rPr>
        <w:t>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w:t>
      </w:r>
      <w:r w:rsidR="00D7564E" w:rsidRPr="00D7564E">
        <w:rPr>
          <w:rFonts w:ascii="Tahoma" w:hAnsi="Tahoma" w:cs="Tahoma"/>
          <w:color w:val="000000"/>
          <w:sz w:val="18"/>
          <w:szCs w:val="18"/>
          <w:lang w:val="de-DE"/>
        </w:rPr>
        <w:t>flichtungen im Zusammenhang mit </w:t>
      </w:r>
      <w:r w:rsidRPr="00D7564E">
        <w:rPr>
          <w:rFonts w:ascii="Tahoma" w:hAnsi="Tahoma" w:cs="Tahoma"/>
          <w:color w:val="000000"/>
          <w:sz w:val="18"/>
          <w:szCs w:val="18"/>
          <w:lang w:val="de-DE"/>
        </w:rPr>
        <w:t>den Services zu erfüllen.</w:t>
      </w:r>
    </w:p>
    <w:p w:rsidR="00DB2D1E" w:rsidRPr="00D7564E" w:rsidRDefault="00DB2D1E" w:rsidP="00CA52FE">
      <w:pPr>
        <w:pStyle w:val="normal1"/>
        <w:rPr>
          <w:sz w:val="18"/>
          <w:szCs w:val="18"/>
          <w:lang w:val="de-DE"/>
        </w:rPr>
      </w:pPr>
      <w:r w:rsidRPr="00D7564E">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3F47CB" w:rsidRPr="008B3D04" w:rsidRDefault="003F47CB" w:rsidP="00CA52FE">
      <w:pPr>
        <w:pStyle w:val="normal1"/>
        <w:rPr>
          <w:rFonts w:ascii="Tahoma" w:hAnsi="Tahoma" w:cs="Tahoma"/>
          <w:color w:val="000000"/>
          <w:sz w:val="18"/>
          <w:szCs w:val="18"/>
          <w:lang w:val="de-DE"/>
        </w:rPr>
      </w:pPr>
    </w:p>
    <w:p w:rsidR="00DB2D1E" w:rsidRPr="00D7564E" w:rsidRDefault="00DB2D1E" w:rsidP="00CA52FE">
      <w:pPr>
        <w:pStyle w:val="normal1"/>
        <w:rPr>
          <w:sz w:val="18"/>
          <w:szCs w:val="18"/>
          <w:lang w:val="de-DE"/>
        </w:rPr>
      </w:pPr>
      <w:r w:rsidRPr="00D7564E">
        <w:rPr>
          <w:rFonts w:ascii="Tahoma" w:hAnsi="Tahoma" w:cs="Tahoma"/>
          <w:b/>
          <w:bCs/>
          <w:color w:val="000000"/>
          <w:sz w:val="18"/>
          <w:szCs w:val="18"/>
          <w:lang w:val="de-DE"/>
        </w:rPr>
        <w:t>Entwicklungen.</w:t>
      </w:r>
      <w:r w:rsidR="00E71F46" w:rsidRPr="00D7564E">
        <w:rPr>
          <w:rFonts w:ascii="Tahoma" w:hAnsi="Tahoma" w:cs="Tahoma"/>
          <w:color w:val="000000"/>
          <w:sz w:val="18"/>
          <w:szCs w:val="18"/>
          <w:lang w:val="de-DE"/>
        </w:rPr>
        <w:t xml:space="preserve"> </w:t>
      </w:r>
      <w:r w:rsidRPr="00D7564E">
        <w:rPr>
          <w:rFonts w:ascii="Tahoma" w:hAnsi="Tahoma" w:cs="Tahoma"/>
          <w:color w:val="000000"/>
          <w:sz w:val="18"/>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E71F46" w:rsidRPr="00D7564E">
        <w:rPr>
          <w:rFonts w:ascii="Tahoma" w:hAnsi="Tahoma" w:cs="Tahoma"/>
          <w:color w:val="000000"/>
          <w:sz w:val="18"/>
          <w:szCs w:val="18"/>
          <w:lang w:val="de-DE"/>
        </w:rPr>
        <w:t xml:space="preserve"> </w:t>
      </w:r>
      <w:r w:rsidRPr="00D7564E">
        <w:rPr>
          <w:rFonts w:ascii="Tahoma" w:hAnsi="Tahoma" w:cs="Tahoma"/>
          <w:color w:val="000000"/>
          <w:sz w:val="18"/>
          <w:szCs w:val="18"/>
          <w:lang w:val="de-DE"/>
        </w:rPr>
        <w:t>Jede Partei ist die alleinige Eigentümerin der Bearbeitungen, die sie auf Basis der Entwicklungen vornimmt.</w:t>
      </w:r>
      <w:r w:rsidR="00E71F46" w:rsidRPr="00D7564E">
        <w:rPr>
          <w:rFonts w:ascii="Tahoma" w:hAnsi="Tahoma" w:cs="Tahoma"/>
          <w:color w:val="000000"/>
          <w:sz w:val="18"/>
          <w:szCs w:val="18"/>
          <w:lang w:val="de-DE"/>
        </w:rPr>
        <w:t xml:space="preserve"> </w:t>
      </w:r>
      <w:r w:rsidRPr="00D7564E">
        <w:rPr>
          <w:rFonts w:ascii="Tahoma" w:hAnsi="Tahoma" w:cs="Tahoma"/>
          <w:color w:val="000000"/>
          <w:sz w:val="18"/>
          <w:szCs w:val="18"/>
          <w:lang w:val="de-DE"/>
        </w:rPr>
        <w:t>Der Kunde verpflichtet sich, seine Rechte an Entwicklungen ausschließlich für seine internen Geschäftszwecke auszuüben und die Entwicklungen nicht an Dritte weiterzuverkaufen oder zu vertreiben.</w:t>
      </w:r>
    </w:p>
    <w:p w:rsidR="003F47CB" w:rsidRPr="008B3D04" w:rsidRDefault="003F47CB" w:rsidP="00CA52FE">
      <w:pPr>
        <w:pStyle w:val="normal1"/>
        <w:rPr>
          <w:rFonts w:ascii="Tahoma" w:hAnsi="Tahoma" w:cs="Tahoma"/>
          <w:color w:val="000000"/>
          <w:sz w:val="18"/>
          <w:szCs w:val="18"/>
          <w:lang w:val="de-DE"/>
        </w:rPr>
      </w:pPr>
    </w:p>
    <w:p w:rsidR="00222641" w:rsidRPr="00D7564E" w:rsidRDefault="00222641" w:rsidP="00CA52FE">
      <w:pPr>
        <w:rPr>
          <w:szCs w:val="18"/>
          <w:lang w:val="de-DE"/>
        </w:rPr>
      </w:pPr>
      <w:r w:rsidRPr="00D7564E">
        <w:rPr>
          <w:rFonts w:eastAsia="Calibri" w:cs="Tahoma"/>
          <w:b/>
          <w:bCs/>
          <w:color w:val="000000"/>
          <w:szCs w:val="18"/>
          <w:lang w:val="de-DE"/>
        </w:rPr>
        <w:t>Materialien.</w:t>
      </w:r>
      <w:r w:rsidR="00E71F46" w:rsidRPr="00D7564E">
        <w:rPr>
          <w:rFonts w:eastAsia="Calibri" w:cs="Tahoma"/>
          <w:b/>
          <w:bCs/>
          <w:color w:val="000000"/>
          <w:szCs w:val="18"/>
          <w:lang w:val="de-DE"/>
        </w:rPr>
        <w:t xml:space="preserve"> </w:t>
      </w:r>
      <w:r w:rsidRPr="00D7564E">
        <w:rPr>
          <w:rFonts w:eastAsia="Calibri" w:cs="Tahoma"/>
          <w:bCs/>
          <w:color w:val="000000"/>
          <w:szCs w:val="18"/>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w:t>
      </w:r>
      <w:r w:rsidR="00E71F46" w:rsidRPr="00D7564E">
        <w:rPr>
          <w:rFonts w:eastAsia="Calibri" w:cs="Tahoma"/>
          <w:bCs/>
          <w:color w:val="000000"/>
          <w:szCs w:val="18"/>
          <w:lang w:val="de-DE"/>
        </w:rPr>
        <w:t xml:space="preserve"> </w:t>
      </w:r>
      <w:r w:rsidRPr="00D7564E">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E71F46" w:rsidRPr="00D7564E">
        <w:rPr>
          <w:rFonts w:eastAsia="Calibri" w:cs="Tahoma"/>
          <w:bCs/>
          <w:color w:val="000000"/>
          <w:szCs w:val="18"/>
          <w:lang w:val="de-DE"/>
        </w:rPr>
        <w:t xml:space="preserve"> </w:t>
      </w:r>
      <w:r w:rsidRPr="00D7564E">
        <w:rPr>
          <w:rFonts w:eastAsia="Calibri" w:cs="Tahoma"/>
          <w:bCs/>
          <w:color w:val="000000"/>
          <w:szCs w:val="18"/>
          <w:lang w:val="de-DE"/>
        </w:rPr>
        <w:t>Kunden sind berechtigt, die unter diesem Vertrag gewährten Rechte an ihre Verbundenen Unternehmen zu unterlizenzieren.</w:t>
      </w:r>
      <w:r w:rsidR="00E71F46" w:rsidRPr="00D7564E">
        <w:rPr>
          <w:rFonts w:eastAsia="Calibri" w:cs="Tahoma"/>
          <w:bCs/>
          <w:color w:val="000000"/>
          <w:szCs w:val="18"/>
          <w:lang w:val="de-DE"/>
        </w:rPr>
        <w:t xml:space="preserve"> </w:t>
      </w:r>
      <w:r w:rsidRPr="00D7564E">
        <w:rPr>
          <w:rFonts w:eastAsia="Calibri" w:cs="Tahoma"/>
          <w:bCs/>
          <w:color w:val="000000"/>
          <w:szCs w:val="18"/>
          <w:lang w:val="de-DE"/>
        </w:rPr>
        <w:t>Alle nicht ausdrücklich gewährten Rechte bleiben vorbehalten.</w:t>
      </w:r>
    </w:p>
    <w:p w:rsidR="003F47CB" w:rsidRPr="00C83DF5" w:rsidRDefault="003F47CB" w:rsidP="00CA52FE">
      <w:pPr>
        <w:rPr>
          <w:lang w:val="de-DE"/>
        </w:rPr>
      </w:pPr>
    </w:p>
    <w:p w:rsidR="00B53C3C" w:rsidRPr="00C83DF5" w:rsidRDefault="00B53C3C" w:rsidP="00A74DC1">
      <w:pPr>
        <w:rPr>
          <w:lang w:val="de-DE"/>
        </w:rPr>
      </w:pPr>
      <w:r w:rsidRPr="00C83DF5">
        <w:rPr>
          <w:rFonts w:eastAsia="Calibri" w:cs="Tahoma"/>
          <w:b/>
          <w:bCs/>
          <w:color w:val="000000"/>
          <w:szCs w:val="18"/>
          <w:lang w:val="de-DE"/>
        </w:rPr>
        <w:t>Mustercode.</w:t>
      </w:r>
      <w:r w:rsidR="00E71F46" w:rsidRPr="00C83DF5">
        <w:rPr>
          <w:rFonts w:eastAsia="Calibri" w:cs="Tahoma"/>
          <w:b/>
          <w:bCs/>
          <w:color w:val="000000"/>
          <w:szCs w:val="18"/>
          <w:lang w:val="de-DE"/>
        </w:rPr>
        <w:t xml:space="preserve"> </w:t>
      </w:r>
      <w:r w:rsidRPr="00C83DF5">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w:t>
      </w:r>
      <w:r w:rsidR="00A74DC1">
        <w:rPr>
          <w:rFonts w:eastAsia="Calibri" w:cs="Tahoma"/>
          <w:bCs/>
          <w:color w:val="000000"/>
          <w:szCs w:val="18"/>
          <w:lang w:val="de-DE"/>
        </w:rPr>
        <w:t> </w:t>
      </w:r>
      <w:r w:rsidRPr="00C83DF5">
        <w:rPr>
          <w:rFonts w:eastAsia="Calibri" w:cs="Tahoma"/>
          <w:bCs/>
          <w:color w:val="000000"/>
          <w:szCs w:val="18"/>
          <w:lang w:val="de-DE"/>
        </w:rPr>
        <w:t>zu ändern und die Objektcodeform des Mustercodes zu vervielfältigen und zu vertreiben, vorausgesetzt, dass die</w:t>
      </w:r>
      <w:r w:rsidR="00A74DC1">
        <w:rPr>
          <w:rFonts w:eastAsia="Calibri" w:cs="Tahoma"/>
          <w:bCs/>
          <w:color w:val="000000"/>
          <w:szCs w:val="18"/>
          <w:lang w:val="de-DE"/>
        </w:rPr>
        <w:t> </w:t>
      </w:r>
      <w:r w:rsidRPr="00C83DF5">
        <w:rPr>
          <w:rFonts w:eastAsia="Calibri" w:cs="Tahoma"/>
          <w:bCs/>
          <w:color w:val="000000"/>
          <w:szCs w:val="18"/>
          <w:lang w:val="de-DE"/>
        </w:rPr>
        <w:t xml:space="preserve">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3F47CB" w:rsidRDefault="003F47CB" w:rsidP="00CA52FE">
      <w:pPr>
        <w:rPr>
          <w:lang w:val="de-DE"/>
        </w:rPr>
      </w:pPr>
    </w:p>
    <w:p w:rsidR="00137E2E" w:rsidRDefault="00137E2E" w:rsidP="00CA52FE">
      <w:pPr>
        <w:rPr>
          <w:lang w:val="de-DE"/>
        </w:rPr>
      </w:pPr>
    </w:p>
    <w:p w:rsidR="00137E2E" w:rsidRDefault="00137E2E" w:rsidP="00CA52FE">
      <w:pPr>
        <w:rPr>
          <w:lang w:val="de-DE"/>
        </w:rPr>
      </w:pPr>
    </w:p>
    <w:p w:rsidR="00137E2E" w:rsidRDefault="00137E2E" w:rsidP="00CA52FE">
      <w:pPr>
        <w:rPr>
          <w:lang w:val="de-DE"/>
        </w:rPr>
      </w:pPr>
    </w:p>
    <w:p w:rsidR="00137E2E" w:rsidRDefault="00137E2E" w:rsidP="00CA52FE">
      <w:pPr>
        <w:rPr>
          <w:lang w:val="de-DE"/>
        </w:rPr>
      </w:pPr>
    </w:p>
    <w:p w:rsidR="00137E2E" w:rsidRDefault="00137E2E" w:rsidP="00CA52FE">
      <w:pPr>
        <w:rPr>
          <w:lang w:val="de-DE"/>
        </w:rPr>
      </w:pPr>
    </w:p>
    <w:p w:rsidR="00137E2E" w:rsidRPr="00C83DF5" w:rsidRDefault="00137E2E" w:rsidP="00CA52FE">
      <w:pPr>
        <w:rPr>
          <w:lang w:val="de-DE"/>
        </w:rPr>
      </w:pPr>
    </w:p>
    <w:p w:rsidR="00DB2D1E" w:rsidRPr="00C83DF5" w:rsidRDefault="00DB2D1E" w:rsidP="00CA52FE">
      <w:pPr>
        <w:pStyle w:val="normal1"/>
        <w:rPr>
          <w:lang w:val="de-DE"/>
        </w:rPr>
      </w:pPr>
      <w:r w:rsidRPr="00C83DF5">
        <w:rPr>
          <w:rFonts w:ascii="Tahoma" w:hAnsi="Tahoma" w:cs="Tahoma"/>
          <w:b/>
          <w:bCs/>
          <w:color w:val="000000"/>
          <w:sz w:val="18"/>
          <w:szCs w:val="18"/>
          <w:lang w:val="de-DE"/>
        </w:rPr>
        <w:lastRenderedPageBreak/>
        <w:t>Open Source-Lizenzbeschränkungen</w:t>
      </w:r>
      <w:r w:rsidRPr="00137E2E">
        <w:rPr>
          <w:rFonts w:ascii="Tahoma" w:hAnsi="Tahoma" w:cs="Tahoma"/>
          <w:b/>
          <w:bCs/>
          <w:color w:val="000000"/>
          <w:sz w:val="18"/>
          <w:szCs w:val="18"/>
          <w:lang w:val="de-DE"/>
        </w:rPr>
        <w:t>.</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Außerdem sichert jede Partei zu, dass sie der anderen Partei keinen Computercode bereitstellt oder überlässt, der Open Source-Lizenzbestimmungen unterliegt.</w:t>
      </w:r>
    </w:p>
    <w:p w:rsidR="003F47CB" w:rsidRPr="008B3D04" w:rsidRDefault="003F47CB" w:rsidP="00CA52FE">
      <w:pPr>
        <w:pStyle w:val="normal1"/>
        <w:rPr>
          <w:rFonts w:ascii="Tahoma" w:hAnsi="Tahoma" w:cs="Tahoma"/>
          <w:color w:val="000000"/>
          <w:sz w:val="18"/>
          <w:szCs w:val="18"/>
          <w:lang w:val="de-DE"/>
        </w:rPr>
      </w:pPr>
    </w:p>
    <w:p w:rsidR="00DB2D1E" w:rsidRPr="00C83DF5" w:rsidRDefault="00DB2D1E" w:rsidP="00CA52FE">
      <w:pPr>
        <w:pStyle w:val="normal1"/>
        <w:rPr>
          <w:lang w:val="de-DE"/>
        </w:rPr>
      </w:pPr>
      <w:r w:rsidRPr="00C83DF5">
        <w:rPr>
          <w:rFonts w:ascii="Tahoma" w:hAnsi="Tahoma" w:cs="Tahoma"/>
          <w:b/>
          <w:bCs/>
          <w:color w:val="000000"/>
          <w:sz w:val="18"/>
          <w:szCs w:val="18"/>
          <w:lang w:val="de-DE"/>
        </w:rPr>
        <w:t>Rechte von Verbundenen Unternehmen.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rsidR="001C1727" w:rsidRPr="00C83DF5" w:rsidRDefault="001C1727">
      <w:pPr>
        <w:rPr>
          <w:lang w:val="de-DE"/>
        </w:rPr>
      </w:pPr>
    </w:p>
    <w:p w:rsidR="00DB2D1E" w:rsidRPr="00C83DF5" w:rsidRDefault="00DB2D1E" w:rsidP="00CA52FE">
      <w:pPr>
        <w:rPr>
          <w:lang w:val="de-DE"/>
        </w:rPr>
      </w:pPr>
      <w:r w:rsidRPr="00C83DF5">
        <w:rPr>
          <w:rFonts w:cs="Tahoma"/>
          <w:b/>
          <w:bCs/>
          <w:color w:val="000000"/>
          <w:szCs w:val="18"/>
          <w:lang w:val="de-DE"/>
        </w:rPr>
        <w:t>Vorbehalt von Rechten.</w:t>
      </w:r>
      <w:r w:rsidR="00E71F46" w:rsidRPr="00C83DF5">
        <w:rPr>
          <w:rFonts w:cs="Tahoma"/>
          <w:color w:val="000000"/>
          <w:szCs w:val="18"/>
          <w:lang w:val="de-DE"/>
        </w:rPr>
        <w:t xml:space="preserve"> </w:t>
      </w:r>
      <w:r w:rsidRPr="00C83DF5">
        <w:rPr>
          <w:rFonts w:cs="Tahoma"/>
          <w:color w:val="000000"/>
          <w:szCs w:val="18"/>
          <w:lang w:val="de-DE"/>
        </w:rPr>
        <w:t>Alle nicht ausdrücklich gewährten Rechte bleiben vorbehalten.</w:t>
      </w:r>
    </w:p>
    <w:p w:rsidR="00DB2D1E" w:rsidRPr="00C83DF5" w:rsidRDefault="00DB2D1E" w:rsidP="00CA52FE">
      <w:pPr>
        <w:rPr>
          <w:lang w:val="de-DE"/>
        </w:rPr>
      </w:pPr>
    </w:p>
    <w:p w:rsidR="00DD7F8E" w:rsidRPr="00C83DF5" w:rsidRDefault="00DD7F8E" w:rsidP="00E77F1E">
      <w:pPr>
        <w:spacing w:after="60"/>
        <w:rPr>
          <w:lang w:val="de-DE"/>
        </w:rPr>
      </w:pPr>
      <w:r w:rsidRPr="00C83DF5">
        <w:rPr>
          <w:b/>
          <w:szCs w:val="18"/>
          <w:lang w:val="de-DE"/>
        </w:rPr>
        <w:t>Gewährleistungen, Ausschlüsse und Haftungsbeschränkung</w:t>
      </w:r>
    </w:p>
    <w:p w:rsidR="00DD7F8E" w:rsidRPr="00C83DF5" w:rsidRDefault="00DD7F8E" w:rsidP="00CA52FE">
      <w:pPr>
        <w:ind w:left="360"/>
        <w:rPr>
          <w:lang w:val="de-DE"/>
        </w:rPr>
      </w:pPr>
      <w:r w:rsidRPr="00C83DF5">
        <w:rPr>
          <w:rFonts w:cs="Tahoma"/>
          <w:b/>
          <w:color w:val="000000"/>
          <w:szCs w:val="18"/>
          <w:lang w:val="de-DE"/>
        </w:rPr>
        <w:t>Gewährleistung für Services</w:t>
      </w:r>
      <w:r w:rsidRPr="00137E2E">
        <w:rPr>
          <w:rFonts w:cs="Tahoma"/>
          <w:b/>
          <w:bCs/>
          <w:color w:val="000000"/>
          <w:szCs w:val="18"/>
          <w:lang w:val="de-DE"/>
        </w:rPr>
        <w:t>.</w:t>
      </w:r>
      <w:r w:rsidR="00E71F46" w:rsidRPr="00C83DF5">
        <w:rPr>
          <w:rFonts w:cs="Tahoma"/>
          <w:color w:val="000000"/>
          <w:szCs w:val="18"/>
          <w:lang w:val="de-DE"/>
        </w:rPr>
        <w:t xml:space="preserve"> </w:t>
      </w:r>
      <w:r w:rsidRPr="00C83DF5">
        <w:rPr>
          <w:rFonts w:cs="Tahoma"/>
          <w:color w:val="000000"/>
          <w:szCs w:val="18"/>
          <w:lang w:val="de-DE"/>
        </w:rPr>
        <w:t>Microsoft gewährleistet, dass alle Services mit professioneller Sorgfalt und Kenntnis erbracht werden.</w:t>
      </w:r>
    </w:p>
    <w:p w:rsidR="00DD7F8E" w:rsidRPr="00C83DF5" w:rsidRDefault="00DD7F8E" w:rsidP="00CA52FE">
      <w:pPr>
        <w:ind w:left="360"/>
        <w:rPr>
          <w:lang w:val="de-DE"/>
        </w:rPr>
      </w:pPr>
    </w:p>
    <w:p w:rsidR="00DD7F8E" w:rsidRPr="00C83DF5" w:rsidRDefault="00DD7F8E" w:rsidP="00137E2E">
      <w:pPr>
        <w:ind w:left="360"/>
        <w:rPr>
          <w:lang w:val="de-DE"/>
        </w:rPr>
      </w:pPr>
      <w:r w:rsidRPr="00C83DF5">
        <w:rPr>
          <w:b/>
          <w:szCs w:val="18"/>
          <w:lang w:val="de-DE"/>
        </w:rPr>
        <w:t>KEINE ANDEREN GARANTIEN</w:t>
      </w:r>
      <w:r w:rsidRPr="00137E2E">
        <w:rPr>
          <w:b/>
          <w:iCs/>
          <w:szCs w:val="18"/>
          <w:lang w:val="de-DE"/>
        </w:rPr>
        <w:t>.</w:t>
      </w:r>
      <w:r w:rsidR="00E71F46" w:rsidRPr="00137E2E">
        <w:rPr>
          <w:iCs/>
          <w:szCs w:val="18"/>
          <w:lang w:val="de-DE"/>
        </w:rPr>
        <w:t xml:space="preserve"> </w:t>
      </w:r>
      <w:r w:rsidRPr="00C83DF5">
        <w:rPr>
          <w:szCs w:val="18"/>
          <w:lang w:val="de-DE"/>
        </w:rPr>
        <w:t>IM DURCH DAS ANWENDBARE GESETZ ZUGELASSENEN UMFANG SCHLIESS</w:t>
      </w:r>
      <w:r w:rsidR="00137E2E">
        <w:rPr>
          <w:szCs w:val="18"/>
          <w:lang w:val="de-DE"/>
        </w:rPr>
        <w:t> </w:t>
      </w:r>
      <w:r w:rsidRPr="00C83DF5">
        <w:rPr>
          <w:szCs w:val="18"/>
          <w:lang w:val="de-DE"/>
        </w:rPr>
        <w:t>MICROSOFT ALLE ZUSICHERUNGEN, GARANTIEN UND GEWÄHRLEISTUNGEN, OB AUSDRÜCKLICHE, KONKLUDENTE ODER GESETZLICHE, MIT AUSNAHME DER IN DIESEM VERTRAG AUSDRÜCKLICH GENANNTEN AUS.</w:t>
      </w:r>
      <w:r w:rsidR="00E71F46" w:rsidRPr="00C83DF5">
        <w:rPr>
          <w:szCs w:val="18"/>
          <w:lang w:val="de-DE"/>
        </w:rPr>
        <w:t xml:space="preserve"> </w:t>
      </w:r>
      <w:r w:rsidRPr="00C83DF5">
        <w:rPr>
          <w:szCs w:val="18"/>
          <w:lang w:val="de-DE"/>
        </w:rPr>
        <w:t>DIESER AUSSCHLUSS UMFASST SÄMTLICHE GEWÄHRLEISTUNGEN ODER GARANTIEN IM HINBLICK AUF</w:t>
      </w:r>
      <w:r w:rsidR="00DF3F89">
        <w:rPr>
          <w:szCs w:val="18"/>
          <w:lang w:val="de-DE"/>
        </w:rPr>
        <w:t xml:space="preserve"> </w:t>
      </w:r>
      <w:r w:rsidRPr="00C83DF5">
        <w:rPr>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E71F46" w:rsidRPr="00C83DF5">
        <w:rPr>
          <w:szCs w:val="18"/>
          <w:lang w:val="de-DE"/>
        </w:rPr>
        <w:t xml:space="preserve"> </w:t>
      </w:r>
    </w:p>
    <w:p w:rsidR="00DD7F8E" w:rsidRPr="00C83DF5" w:rsidRDefault="00DD7F8E" w:rsidP="00CA52FE">
      <w:pPr>
        <w:ind w:left="360"/>
        <w:rPr>
          <w:lang w:val="de-DE"/>
        </w:rPr>
      </w:pPr>
    </w:p>
    <w:p w:rsidR="00DD7F8E" w:rsidRPr="00C83DF5" w:rsidRDefault="00DD7F8E" w:rsidP="00CA52FE">
      <w:pPr>
        <w:ind w:left="360"/>
        <w:rPr>
          <w:lang w:val="de-DE"/>
        </w:rPr>
      </w:pPr>
      <w:r w:rsidRPr="00C83DF5">
        <w:rPr>
          <w:b/>
          <w:szCs w:val="18"/>
          <w:lang w:val="de-DE"/>
        </w:rPr>
        <w:t>Haftungsbeschränkung</w:t>
      </w:r>
      <w:r w:rsidRPr="00137E2E">
        <w:rPr>
          <w:b/>
          <w:bCs/>
          <w:szCs w:val="18"/>
          <w:lang w:val="de-DE"/>
        </w:rPr>
        <w:t>.</w:t>
      </w:r>
      <w:r w:rsidR="00E71F46" w:rsidRPr="00C83DF5">
        <w:rPr>
          <w:szCs w:val="18"/>
          <w:lang w:val="de-DE"/>
        </w:rPr>
        <w:t xml:space="preserve"> </w:t>
      </w:r>
      <w:r w:rsidRPr="00C83DF5">
        <w:rPr>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E71F46" w:rsidRPr="00C83DF5">
        <w:rPr>
          <w:szCs w:val="18"/>
          <w:lang w:val="de-DE"/>
        </w:rPr>
        <w:t xml:space="preserve"> </w:t>
      </w:r>
    </w:p>
    <w:p w:rsidR="00DD7F8E" w:rsidRPr="00C83DF5" w:rsidRDefault="00DD7F8E" w:rsidP="00CA52FE">
      <w:pPr>
        <w:ind w:left="360"/>
        <w:rPr>
          <w:lang w:val="de-DE"/>
        </w:rPr>
      </w:pPr>
    </w:p>
    <w:p w:rsidR="00DD7F8E" w:rsidRPr="00C83DF5" w:rsidRDefault="00DD7F8E" w:rsidP="00137E2E">
      <w:pPr>
        <w:ind w:left="360"/>
        <w:rPr>
          <w:lang w:val="de-DE"/>
        </w:rPr>
      </w:pPr>
      <w:r w:rsidRPr="00C83DF5">
        <w:rPr>
          <w:b/>
          <w:szCs w:val="18"/>
          <w:lang w:val="de-DE"/>
        </w:rPr>
        <w:t>KEINE HAFTUNG FÜR BESTIMMTE SCHADENERSATZANSPRÜCHE</w:t>
      </w:r>
      <w:r w:rsidRPr="00137E2E">
        <w:rPr>
          <w:b/>
          <w:bCs/>
          <w:szCs w:val="18"/>
          <w:lang w:val="de-DE"/>
        </w:rPr>
        <w:t>.</w:t>
      </w:r>
      <w:r w:rsidR="00E71F46" w:rsidRPr="00C83DF5">
        <w:rPr>
          <w:szCs w:val="18"/>
          <w:lang w:val="de-DE"/>
        </w:rPr>
        <w:t xml:space="preserve"> </w:t>
      </w:r>
      <w:r w:rsidRPr="00C83DF5">
        <w:rPr>
          <w:szCs w:val="18"/>
          <w:lang w:val="de-DE"/>
        </w:rPr>
        <w:t>IM GRÖSSTMÖGLICHEN DURCH DAS</w:t>
      </w:r>
      <w:r w:rsidR="00137E2E">
        <w:rPr>
          <w:szCs w:val="18"/>
          <w:lang w:val="de-DE"/>
        </w:rPr>
        <w:t> </w:t>
      </w:r>
      <w:r w:rsidRPr="00C83DF5">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E71F46" w:rsidRPr="00C83DF5">
        <w:rPr>
          <w:szCs w:val="18"/>
          <w:lang w:val="de-DE"/>
        </w:rPr>
        <w:t xml:space="preserve"> </w:t>
      </w:r>
      <w:r w:rsidRPr="00C83DF5">
        <w:rPr>
          <w:szCs w:val="18"/>
          <w:lang w:val="de-DE"/>
        </w:rPr>
        <w:t>DIESER HAFTUNGSAUSSCHLUSS GILT NICHT FÜR DIE GEGENSEITIGE HAFTUNG BEIDER PARTEIEN FÜR VERLETZUNGEN VON VERTRAULICHKEITSVERPFLICHTUNGEN ODER VON URHEBERRECHTEN/GEWERBLICHEN SCHUTZRECHTEN DER JEWEILS ANDEREN PARTEI.</w:t>
      </w:r>
    </w:p>
    <w:p w:rsidR="00DD7F8E" w:rsidRPr="00C83DF5" w:rsidRDefault="00DD7F8E" w:rsidP="00CA52FE">
      <w:pPr>
        <w:ind w:left="360" w:hanging="360"/>
        <w:jc w:val="both"/>
        <w:rPr>
          <w:lang w:val="de-DE"/>
        </w:rPr>
      </w:pPr>
    </w:p>
    <w:p w:rsidR="00DD7F8E" w:rsidRPr="00C83DF5" w:rsidRDefault="00DD7F8E" w:rsidP="00137E2E">
      <w:pPr>
        <w:ind w:left="360"/>
        <w:rPr>
          <w:lang w:val="de-DE"/>
        </w:rPr>
      </w:pPr>
      <w:r w:rsidRPr="00C83DF5">
        <w:rPr>
          <w:b/>
          <w:szCs w:val="18"/>
          <w:lang w:val="de-DE"/>
        </w:rPr>
        <w:t>Anwendung</w:t>
      </w:r>
      <w:r w:rsidRPr="00137E2E">
        <w:rPr>
          <w:b/>
          <w:bCs/>
          <w:szCs w:val="18"/>
          <w:lang w:val="de-DE"/>
        </w:rPr>
        <w:t>.</w:t>
      </w:r>
      <w:r w:rsidR="00E71F46" w:rsidRPr="00C83DF5">
        <w:rPr>
          <w:szCs w:val="18"/>
          <w:lang w:val="de-DE"/>
        </w:rPr>
        <w:t xml:space="preserve"> </w:t>
      </w:r>
      <w:r w:rsidRPr="00C83DF5">
        <w:rPr>
          <w:szCs w:val="18"/>
          <w:lang w:val="de-DE"/>
        </w:rPr>
        <w:t>Außer wie ausdrücklich in diesem Dokument dargelegt, gelten die in diesem Vertrag genannten</w:t>
      </w:r>
      <w:r w:rsidR="00137E2E">
        <w:rPr>
          <w:szCs w:val="18"/>
          <w:lang w:val="de-DE"/>
        </w:rPr>
        <w:t> </w:t>
      </w:r>
      <w:r w:rsidRPr="00C83DF5">
        <w:rPr>
          <w:szCs w:val="18"/>
          <w:lang w:val="de-DE"/>
        </w:rPr>
        <w:t>Beschränkungen und Ausschlüsse der Haftung für Schäden unabhängig davon, ob die Haftung auf</w:t>
      </w:r>
      <w:r w:rsidR="00137E2E">
        <w:rPr>
          <w:szCs w:val="18"/>
          <w:lang w:val="de-DE"/>
        </w:rPr>
        <w:t> </w:t>
      </w:r>
      <w:r w:rsidRPr="00C83DF5">
        <w:rPr>
          <w:szCs w:val="18"/>
          <w:lang w:val="de-DE"/>
        </w:rPr>
        <w:t>Vertragsverletzung, unerlaubter Handlung (einschließlich Fahrlässigkeit), verschuldensunabhängiger Haftung,</w:t>
      </w:r>
      <w:r w:rsidR="00137E2E">
        <w:rPr>
          <w:szCs w:val="18"/>
          <w:lang w:val="de-DE"/>
        </w:rPr>
        <w:t> </w:t>
      </w:r>
      <w:r w:rsidRPr="00C83DF5">
        <w:rPr>
          <w:szCs w:val="18"/>
          <w:lang w:val="de-DE"/>
        </w:rPr>
        <w:t>Verletzung von Gewährleistungen oder auf einem anderen Rechtsgrund beruht.</w:t>
      </w:r>
    </w:p>
    <w:p w:rsidR="00023FE7" w:rsidRDefault="00023FE7">
      <w:pPr>
        <w:tabs>
          <w:tab w:val="left" w:pos="2936"/>
        </w:tabs>
        <w:rPr>
          <w:lang w:val="de-DE"/>
        </w:rPr>
      </w:pPr>
    </w:p>
    <w:p w:rsidR="00137E2E" w:rsidRDefault="00137E2E">
      <w:pPr>
        <w:tabs>
          <w:tab w:val="left" w:pos="2936"/>
        </w:tabs>
        <w:rPr>
          <w:lang w:val="de-DE"/>
        </w:rPr>
      </w:pPr>
    </w:p>
    <w:p w:rsidR="00137E2E" w:rsidRDefault="00137E2E">
      <w:pPr>
        <w:tabs>
          <w:tab w:val="left" w:pos="2936"/>
        </w:tabs>
        <w:rPr>
          <w:lang w:val="de-DE"/>
        </w:rPr>
      </w:pPr>
    </w:p>
    <w:p w:rsidR="00137E2E" w:rsidRDefault="00137E2E">
      <w:pPr>
        <w:tabs>
          <w:tab w:val="left" w:pos="2936"/>
        </w:tabs>
        <w:rPr>
          <w:lang w:val="de-DE"/>
        </w:rPr>
      </w:pPr>
    </w:p>
    <w:p w:rsidR="00137E2E" w:rsidRDefault="00137E2E">
      <w:pPr>
        <w:tabs>
          <w:tab w:val="left" w:pos="2936"/>
        </w:tabs>
        <w:rPr>
          <w:lang w:val="de-DE"/>
        </w:rPr>
      </w:pPr>
    </w:p>
    <w:p w:rsidR="00137E2E" w:rsidRPr="00C83DF5" w:rsidRDefault="00137E2E">
      <w:pPr>
        <w:tabs>
          <w:tab w:val="left" w:pos="2936"/>
        </w:tabs>
        <w:rPr>
          <w:lang w:val="de-DE"/>
        </w:rPr>
      </w:pPr>
    </w:p>
    <w:p w:rsidR="000F4095" w:rsidRPr="00C83DF5" w:rsidRDefault="000F4095" w:rsidP="000F4095">
      <w:pPr>
        <w:rPr>
          <w:lang w:val="de-DE"/>
        </w:rPr>
      </w:pPr>
      <w:r w:rsidRPr="00C83DF5">
        <w:rPr>
          <w:b/>
          <w:sz w:val="24"/>
          <w:szCs w:val="24"/>
          <w:lang w:val="de-DE"/>
        </w:rPr>
        <w:lastRenderedPageBreak/>
        <w:t>Microsoft Dynamics CRM Online-Supportangebote</w:t>
      </w:r>
    </w:p>
    <w:p w:rsidR="000F4095" w:rsidRPr="008B3D04" w:rsidRDefault="000F4095" w:rsidP="000F4095">
      <w:pPr>
        <w:rPr>
          <w:b/>
          <w:szCs w:val="24"/>
          <w:lang w:val="de-DE"/>
        </w:rPr>
      </w:pPr>
    </w:p>
    <w:p w:rsidR="000F4095" w:rsidRPr="00C83DF5" w:rsidRDefault="000F4095" w:rsidP="00137E2E">
      <w:pPr>
        <w:jc w:val="both"/>
        <w:rPr>
          <w:lang w:val="de-DE"/>
        </w:rPr>
      </w:pPr>
      <w:r w:rsidRPr="00C83DF5">
        <w:rPr>
          <w:rFonts w:cs="Arial"/>
          <w:color w:val="000000"/>
          <w:szCs w:val="18"/>
          <w:lang w:val="de-DE"/>
        </w:rPr>
        <w:t>Sofern unten nichts anderes dargelegt ist, sind die Microsoft Dynamics CRM Online-Supportservices für Microsoft</w:t>
      </w:r>
      <w:r w:rsidR="00137E2E">
        <w:rPr>
          <w:rFonts w:cs="Arial"/>
          <w:color w:val="000000"/>
          <w:szCs w:val="18"/>
          <w:lang w:val="de-DE"/>
        </w:rPr>
        <w:t> </w:t>
      </w:r>
      <w:r w:rsidRPr="00C83DF5">
        <w:rPr>
          <w:rFonts w:cs="Arial"/>
          <w:color w:val="000000"/>
          <w:szCs w:val="18"/>
          <w:lang w:val="de-DE"/>
        </w:rPr>
        <w:t xml:space="preserve">Dynamics CRM Online verfügbar. </w:t>
      </w:r>
    </w:p>
    <w:p w:rsidR="000F4095" w:rsidRPr="008B3D04" w:rsidRDefault="000F4095" w:rsidP="000F4095">
      <w:pPr>
        <w:tabs>
          <w:tab w:val="left" w:pos="360"/>
        </w:tabs>
        <w:jc w:val="both"/>
        <w:rPr>
          <w:rFonts w:cs="Arial"/>
          <w:szCs w:val="18"/>
          <w:lang w:val="de-DE"/>
        </w:rPr>
      </w:pPr>
    </w:p>
    <w:p w:rsidR="000F4095" w:rsidRPr="00C83DF5" w:rsidRDefault="000F4095" w:rsidP="000F4095">
      <w:pPr>
        <w:tabs>
          <w:tab w:val="left" w:pos="360"/>
        </w:tabs>
        <w:jc w:val="both"/>
        <w:rPr>
          <w:lang w:val="de-DE"/>
        </w:rPr>
      </w:pPr>
      <w:r w:rsidRPr="00C83DF5">
        <w:rPr>
          <w:rFonts w:cs="Arial"/>
          <w:szCs w:val="18"/>
          <w:lang w:val="de-DE"/>
        </w:rPr>
        <w:t xml:space="preserve">Die Services werden vom Microsoft </w:t>
      </w:r>
      <w:r w:rsidRPr="00C83DF5">
        <w:rPr>
          <w:rFonts w:cs="Arial"/>
          <w:color w:val="000000"/>
          <w:szCs w:val="18"/>
          <w:lang w:val="de-DE"/>
        </w:rPr>
        <w:t>Dynamics CRM Online</w:t>
      </w:r>
      <w:r w:rsidRPr="00C83DF5">
        <w:rPr>
          <w:rFonts w:cs="Arial"/>
          <w:szCs w:val="18"/>
          <w:lang w:val="de-DE"/>
        </w:rPr>
        <w:t xml:space="preserve">-Supportteam erbracht, das aus Microsoft </w:t>
      </w:r>
      <w:r w:rsidRPr="00C83DF5">
        <w:rPr>
          <w:rFonts w:cs="Arial"/>
          <w:color w:val="000000"/>
          <w:szCs w:val="18"/>
          <w:lang w:val="de-DE"/>
        </w:rPr>
        <w:t>Dynamics CRM Online</w:t>
      </w:r>
      <w:r w:rsidRPr="00C83DF5">
        <w:rPr>
          <w:rFonts w:cs="Arial"/>
          <w:szCs w:val="18"/>
          <w:lang w:val="de-DE"/>
        </w:rPr>
        <w:t>-Experten besteht, die Supportanfragen von Kunden bearbeiten</w:t>
      </w:r>
      <w:r w:rsidRPr="00C83DF5">
        <w:rPr>
          <w:rFonts w:cs="Arial"/>
          <w:snapToGrid w:val="0"/>
          <w:szCs w:val="18"/>
          <w:lang w:val="de-DE"/>
        </w:rPr>
        <w:t xml:space="preserve">. </w:t>
      </w:r>
    </w:p>
    <w:p w:rsidR="000F4095" w:rsidRPr="008B3D04" w:rsidRDefault="000F4095" w:rsidP="000F4095">
      <w:pPr>
        <w:tabs>
          <w:tab w:val="left" w:pos="360"/>
        </w:tabs>
        <w:jc w:val="both"/>
        <w:rPr>
          <w:rFonts w:cs="Arial"/>
          <w:szCs w:val="18"/>
          <w:lang w:val="de-DE"/>
        </w:rPr>
      </w:pPr>
    </w:p>
    <w:p w:rsidR="000F4095" w:rsidRPr="00C83DF5" w:rsidRDefault="000F4095" w:rsidP="00372C70">
      <w:pPr>
        <w:tabs>
          <w:tab w:val="left" w:pos="360"/>
        </w:tabs>
        <w:jc w:val="both"/>
        <w:rPr>
          <w:lang w:val="de-DE"/>
        </w:rPr>
      </w:pPr>
      <w:r w:rsidRPr="00C83DF5">
        <w:rPr>
          <w:rFonts w:cs="Arial"/>
          <w:szCs w:val="18"/>
          <w:lang w:val="de-DE"/>
        </w:rPr>
        <w:t>„Fall“ ist eine unterstützte Break-Fix-Supportanfrage für ein Einzelnes Supportproblem.</w:t>
      </w:r>
      <w:r w:rsidR="00E71F46" w:rsidRPr="00C83DF5">
        <w:rPr>
          <w:rFonts w:cs="Arial"/>
          <w:szCs w:val="18"/>
          <w:lang w:val="de-DE"/>
        </w:rPr>
        <w:t xml:space="preserve"> </w:t>
      </w:r>
      <w:r w:rsidRPr="00C83DF5">
        <w:rPr>
          <w:rFonts w:cs="Arial"/>
          <w:szCs w:val="18"/>
          <w:lang w:val="de-DE"/>
        </w:rPr>
        <w:t>Ein „Einzelnes Supportproblem“ ist ein Problem, das nicht in untergeordnete Probleme aufgeteilt werden kann.</w:t>
      </w:r>
      <w:r w:rsidR="00E71F46" w:rsidRPr="00C83DF5">
        <w:rPr>
          <w:rFonts w:cs="Arial"/>
          <w:szCs w:val="18"/>
          <w:lang w:val="de-DE"/>
        </w:rPr>
        <w:t xml:space="preserve"> </w:t>
      </w:r>
      <w:r w:rsidRPr="00C83DF5">
        <w:rPr>
          <w:rFonts w:cs="Arial"/>
          <w:szCs w:val="18"/>
          <w:lang w:val="de-DE"/>
        </w:rPr>
        <w:t>Wenn ein Problem aus untergeordneten Problemen besteht, wird jedes von ihnen als separater Fall betrachtet.</w:t>
      </w:r>
      <w:r w:rsidR="00E71F46" w:rsidRPr="00C83DF5">
        <w:rPr>
          <w:rFonts w:cs="Arial"/>
          <w:szCs w:val="18"/>
          <w:lang w:val="de-DE"/>
        </w:rPr>
        <w:t xml:space="preserve"> </w:t>
      </w:r>
      <w:r w:rsidRPr="00C83DF5">
        <w:rPr>
          <w:rFonts w:cs="Arial"/>
          <w:szCs w:val="18"/>
          <w:lang w:val="de-DE"/>
        </w:rPr>
        <w:t>Fälle umfassen den wirtschaftlich angemessenen Serviceumfang, der für die Problembehandlung und Hilfe bei der Behebung des Supportproblems notwendig ist.</w:t>
      </w:r>
      <w:r w:rsidR="00E71F46" w:rsidRPr="00C83DF5">
        <w:rPr>
          <w:rFonts w:cs="Arial"/>
          <w:szCs w:val="18"/>
          <w:lang w:val="de-DE"/>
        </w:rPr>
        <w:t xml:space="preserve"> </w:t>
      </w:r>
      <w:r w:rsidRPr="00C83DF5">
        <w:rPr>
          <w:rFonts w:cs="Arial"/>
          <w:szCs w:val="18"/>
          <w:lang w:val="de-DE"/>
        </w:rPr>
        <w:t xml:space="preserve">Fälle können über die unterstützte Online-Supportwebsite unter </w:t>
      </w:r>
      <w:r w:rsidR="00372C70" w:rsidRPr="00372C70">
        <w:rPr>
          <w:lang w:val="de-DE"/>
        </w:rPr>
        <w:t>https://portal.microsoftonline.com/</w:t>
      </w:r>
      <w:r w:rsidR="00E71F46" w:rsidRPr="00C83DF5">
        <w:rPr>
          <w:rFonts w:cs="Arial"/>
          <w:szCs w:val="18"/>
          <w:lang w:val="de-DE"/>
        </w:rPr>
        <w:t xml:space="preserve"> </w:t>
      </w:r>
      <w:r w:rsidRPr="00C83DF5">
        <w:rPr>
          <w:rFonts w:cs="Arial"/>
          <w:szCs w:val="18"/>
          <w:lang w:val="de-DE"/>
        </w:rPr>
        <w:t>eingereicht werden.</w:t>
      </w:r>
    </w:p>
    <w:p w:rsidR="000F4095" w:rsidRPr="00C83DF5" w:rsidRDefault="000F4095" w:rsidP="000F4095">
      <w:pPr>
        <w:tabs>
          <w:tab w:val="left" w:pos="360"/>
        </w:tabs>
        <w:jc w:val="both"/>
        <w:rPr>
          <w:lang w:val="de-DE"/>
        </w:rPr>
      </w:pPr>
    </w:p>
    <w:p w:rsidR="000F4095" w:rsidRPr="00C83DF5" w:rsidRDefault="000F4095" w:rsidP="000F4095">
      <w:pPr>
        <w:tabs>
          <w:tab w:val="left" w:pos="360"/>
        </w:tabs>
        <w:jc w:val="both"/>
        <w:rPr>
          <w:lang w:val="de-DE"/>
        </w:rPr>
      </w:pPr>
      <w:r w:rsidRPr="00C83DF5">
        <w:rPr>
          <w:rFonts w:cs="Arial"/>
          <w:szCs w:val="18"/>
          <w:lang w:val="de-DE"/>
        </w:rPr>
        <w:t xml:space="preserve">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Microsoft </w:t>
      </w:r>
      <w:r w:rsidRPr="00C83DF5">
        <w:rPr>
          <w:rFonts w:cs="Arial"/>
          <w:color w:val="000000"/>
          <w:szCs w:val="18"/>
          <w:lang w:val="de-DE"/>
        </w:rPr>
        <w:t>Dynamics CRM Online</w:t>
      </w:r>
      <w:r w:rsidRPr="00C83DF5">
        <w:rPr>
          <w:rFonts w:cs="Arial"/>
          <w:szCs w:val="18"/>
          <w:lang w:val="de-DE"/>
        </w:rPr>
        <w:t xml:space="preserve"> verfügbar.</w:t>
      </w:r>
      <w:r w:rsidR="00E71F46" w:rsidRPr="00C83DF5">
        <w:rPr>
          <w:rFonts w:cs="Arial"/>
          <w:szCs w:val="18"/>
          <w:lang w:val="de-DE"/>
        </w:rPr>
        <w:t xml:space="preserve"> </w:t>
      </w:r>
      <w:r w:rsidRPr="00C83DF5">
        <w:rPr>
          <w:rFonts w:cs="Arial"/>
          <w:szCs w:val="18"/>
          <w:lang w:val="de-DE"/>
        </w:rPr>
        <w:t>Diese zusätzlichen Services unterliegen den Bestimmungen dieses separaten Vertrages.</w:t>
      </w:r>
    </w:p>
    <w:p w:rsidR="000F4095" w:rsidRPr="00C83DF5" w:rsidRDefault="000F4095" w:rsidP="00137E2E">
      <w:pPr>
        <w:jc w:val="both"/>
        <w:rPr>
          <w:lang w:val="de-DE"/>
        </w:rPr>
      </w:pPr>
    </w:p>
    <w:p w:rsidR="000F4095" w:rsidRPr="00C83DF5" w:rsidRDefault="000F4095" w:rsidP="000F4095">
      <w:pPr>
        <w:widowControl w:val="0"/>
        <w:tabs>
          <w:tab w:val="left" w:pos="720"/>
          <w:tab w:val="left" w:pos="1170"/>
        </w:tabs>
        <w:rPr>
          <w:lang w:val="de-DE"/>
        </w:rPr>
      </w:pPr>
      <w:r w:rsidRPr="00C83DF5">
        <w:rPr>
          <w:rFonts w:cs="Arial"/>
          <w:b/>
          <w:bCs/>
          <w:sz w:val="24"/>
          <w:szCs w:val="18"/>
          <w:lang w:val="de-DE"/>
        </w:rPr>
        <w:t>Professional Direct Support for Microsoft Dynamics CRM Online</w:t>
      </w:r>
    </w:p>
    <w:p w:rsidR="000F4095" w:rsidRPr="008B3D04" w:rsidRDefault="000F4095" w:rsidP="000F4095">
      <w:pPr>
        <w:tabs>
          <w:tab w:val="left" w:pos="360"/>
        </w:tabs>
        <w:jc w:val="both"/>
        <w:rPr>
          <w:rFonts w:cs="Arial"/>
          <w:b/>
          <w:color w:val="000000"/>
          <w:szCs w:val="18"/>
          <w:lang w:val="de-DE"/>
        </w:rPr>
      </w:pPr>
    </w:p>
    <w:p w:rsidR="000F4095" w:rsidRPr="00C83DF5" w:rsidRDefault="000F4095" w:rsidP="00092FEB">
      <w:pPr>
        <w:tabs>
          <w:tab w:val="left" w:pos="360"/>
        </w:tabs>
        <w:rPr>
          <w:lang w:val="de-DE"/>
        </w:rPr>
      </w:pPr>
      <w:r w:rsidRPr="00C83DF5">
        <w:rPr>
          <w:rFonts w:cs="Arial"/>
          <w:i/>
          <w:color w:val="000000"/>
          <w:szCs w:val="18"/>
          <w:lang w:val="de-DE"/>
        </w:rPr>
        <w:t>Begrenzte Marktverfügbarkeit:</w:t>
      </w:r>
      <w:r w:rsidRPr="00C83DF5">
        <w:rPr>
          <w:rFonts w:cs="Arial"/>
          <w:color w:val="000000"/>
          <w:szCs w:val="18"/>
          <w:lang w:val="de-DE"/>
        </w:rPr>
        <w:t xml:space="preserve"> Die nachstehend dargelegten Dienstleistungen im Zusammenhang mit Professional Direct Support for Microsoft Dynamics CRM Online werden nur in englischer Sprache in einer begrenzten Anzahl von Ländern (</w:t>
      </w:r>
      <w:r w:rsidR="00092FEB" w:rsidRPr="00092FEB">
        <w:rPr>
          <w:rFonts w:cs="Arial"/>
          <w:color w:val="000000"/>
          <w:szCs w:val="18"/>
          <w:lang w:val="de-DE"/>
        </w:rPr>
        <w:t>http://www.microsoft.com/dynamics/customer/en-us/service-plans.aspx</w:t>
      </w:r>
      <w:r w:rsidRPr="00C83DF5">
        <w:rPr>
          <w:rFonts w:cs="Arial"/>
          <w:szCs w:val="18"/>
          <w:lang w:val="de-DE"/>
        </w:rPr>
        <w:t>) erbracht.</w:t>
      </w:r>
    </w:p>
    <w:p w:rsidR="000F4095" w:rsidRPr="00C83DF5" w:rsidRDefault="000F4095" w:rsidP="000F4095">
      <w:pPr>
        <w:tabs>
          <w:tab w:val="left" w:pos="360"/>
        </w:tabs>
        <w:jc w:val="both"/>
        <w:rPr>
          <w:lang w:val="de-DE"/>
        </w:rPr>
      </w:pPr>
    </w:p>
    <w:p w:rsidR="000F4095" w:rsidRPr="00C83DF5" w:rsidRDefault="000F4095" w:rsidP="000F4095">
      <w:pPr>
        <w:tabs>
          <w:tab w:val="left" w:pos="360"/>
        </w:tabs>
        <w:jc w:val="both"/>
        <w:rPr>
          <w:lang w:val="de-DE"/>
        </w:rPr>
      </w:pPr>
      <w:r w:rsidRPr="00C83DF5">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E71F46" w:rsidRPr="00C83DF5">
        <w:rPr>
          <w:rFonts w:cs="Arial"/>
          <w:color w:val="000000"/>
          <w:szCs w:val="18"/>
          <w:lang w:val="de-DE"/>
        </w:rPr>
        <w:t xml:space="preserve"> </w:t>
      </w:r>
      <w:r w:rsidRPr="00C83DF5">
        <w:rPr>
          <w:rFonts w:cs="Arial"/>
          <w:color w:val="000000"/>
          <w:szCs w:val="18"/>
          <w:lang w:val="de-DE"/>
        </w:rPr>
        <w:t>Der Schweregrad des Falls bestimmt die Reaktionsebene innerhalb von Microsoft, und geschätzte Reaktionszeiten sind in der folgenden Tabelle festgelegt.</w:t>
      </w:r>
      <w:r w:rsidR="00E71F46" w:rsidRPr="00C83DF5">
        <w:rPr>
          <w:rFonts w:cs="Arial"/>
          <w:color w:val="000000"/>
          <w:szCs w:val="18"/>
          <w:lang w:val="de-DE"/>
        </w:rPr>
        <w:t xml:space="preserve"> </w:t>
      </w:r>
      <w:r w:rsidRPr="00C83DF5">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rsidR="000F4095" w:rsidRPr="008B3D04" w:rsidRDefault="000F4095" w:rsidP="000F4095">
      <w:pPr>
        <w:tabs>
          <w:tab w:val="left" w:pos="360"/>
        </w:tabs>
        <w:jc w:val="both"/>
        <w:rPr>
          <w:rFonts w:cs="Arial"/>
          <w:color w:val="000000"/>
          <w:szCs w:val="18"/>
          <w:lang w:val="de-DE"/>
        </w:rPr>
      </w:pPr>
    </w:p>
    <w:p w:rsidR="000F4095" w:rsidRPr="008B3D04" w:rsidRDefault="000F4095" w:rsidP="000F4095">
      <w:pPr>
        <w:rPr>
          <w:b/>
          <w:szCs w:val="24"/>
          <w:lang w:val="de-D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172"/>
        <w:gridCol w:w="4041"/>
        <w:gridCol w:w="2610"/>
      </w:tblGrid>
      <w:tr w:rsidR="000F4095" w:rsidRPr="00DE147A" w:rsidTr="00D92F39">
        <w:tc>
          <w:tcPr>
            <w:tcW w:w="1537" w:type="dxa"/>
            <w:shd w:val="clear" w:color="auto" w:fill="FABF8F"/>
          </w:tcPr>
          <w:p w:rsidR="000F4095" w:rsidRPr="00DE147A" w:rsidRDefault="000F4095" w:rsidP="00343766">
            <w:pPr>
              <w:jc w:val="center"/>
              <w:rPr>
                <w:rFonts w:cs="Tahoma"/>
                <w:b/>
                <w:bCs/>
                <w:color w:val="000000"/>
                <w:sz w:val="20"/>
                <w:szCs w:val="18"/>
              </w:rPr>
            </w:pPr>
            <w:r w:rsidRPr="00DE147A">
              <w:rPr>
                <w:rFonts w:cs="Tahoma"/>
                <w:b/>
                <w:bCs/>
                <w:color w:val="000000"/>
                <w:sz w:val="20"/>
                <w:szCs w:val="18"/>
              </w:rPr>
              <w:t>Schweregrad</w:t>
            </w:r>
          </w:p>
        </w:tc>
        <w:tc>
          <w:tcPr>
            <w:tcW w:w="1172" w:type="dxa"/>
            <w:shd w:val="clear" w:color="auto" w:fill="FABF8F"/>
          </w:tcPr>
          <w:p w:rsidR="000F4095" w:rsidRPr="00DE147A" w:rsidRDefault="000F4095" w:rsidP="00343766">
            <w:pPr>
              <w:jc w:val="center"/>
              <w:rPr>
                <w:rFonts w:cs="Tahoma"/>
                <w:b/>
                <w:bCs/>
                <w:color w:val="000000"/>
                <w:sz w:val="20"/>
                <w:szCs w:val="18"/>
              </w:rPr>
            </w:pPr>
            <w:r w:rsidRPr="00DE147A">
              <w:rPr>
                <w:rFonts w:cs="Tahoma"/>
                <w:b/>
                <w:bCs/>
                <w:color w:val="000000"/>
                <w:sz w:val="20"/>
                <w:szCs w:val="18"/>
              </w:rPr>
              <w:t>Kontakt</w:t>
            </w:r>
          </w:p>
        </w:tc>
        <w:tc>
          <w:tcPr>
            <w:tcW w:w="4041" w:type="dxa"/>
            <w:shd w:val="clear" w:color="auto" w:fill="FABF8F"/>
          </w:tcPr>
          <w:p w:rsidR="000F4095" w:rsidRPr="00DE147A" w:rsidRDefault="000F4095" w:rsidP="00343766">
            <w:pPr>
              <w:jc w:val="center"/>
              <w:rPr>
                <w:rFonts w:cs="Tahoma"/>
                <w:b/>
                <w:bCs/>
                <w:color w:val="000000"/>
                <w:sz w:val="20"/>
                <w:szCs w:val="18"/>
              </w:rPr>
            </w:pPr>
            <w:r w:rsidRPr="00DE147A">
              <w:rPr>
                <w:rFonts w:cs="Tahoma"/>
                <w:b/>
                <w:bCs/>
                <w:color w:val="000000"/>
                <w:sz w:val="20"/>
                <w:szCs w:val="18"/>
              </w:rPr>
              <w:t>Situation des Kunden</w:t>
            </w:r>
          </w:p>
        </w:tc>
        <w:tc>
          <w:tcPr>
            <w:tcW w:w="2610" w:type="dxa"/>
            <w:shd w:val="clear" w:color="auto" w:fill="FABF8F"/>
          </w:tcPr>
          <w:p w:rsidR="000F4095" w:rsidRPr="00DE147A" w:rsidRDefault="000F4095" w:rsidP="00343766">
            <w:pPr>
              <w:jc w:val="center"/>
              <w:rPr>
                <w:rFonts w:cs="Tahoma"/>
                <w:b/>
                <w:bCs/>
                <w:color w:val="000000"/>
                <w:sz w:val="20"/>
                <w:szCs w:val="18"/>
              </w:rPr>
            </w:pPr>
            <w:r w:rsidRPr="00DE147A">
              <w:rPr>
                <w:rFonts w:cs="Tahoma"/>
                <w:b/>
                <w:bCs/>
                <w:color w:val="000000"/>
                <w:sz w:val="20"/>
                <w:szCs w:val="18"/>
              </w:rPr>
              <w:t>Von Microsoft erwartete Reaktion</w:t>
            </w:r>
          </w:p>
        </w:tc>
      </w:tr>
      <w:tr w:rsidR="000F4095" w:rsidRPr="004D388E" w:rsidTr="00D92F39">
        <w:tc>
          <w:tcPr>
            <w:tcW w:w="1537" w:type="dxa"/>
          </w:tcPr>
          <w:p w:rsidR="000F4095" w:rsidRPr="00DE147A" w:rsidRDefault="000F4095" w:rsidP="00343766">
            <w:pPr>
              <w:spacing w:after="60" w:line="240" w:lineRule="atLeast"/>
              <w:jc w:val="center"/>
              <w:rPr>
                <w:rFonts w:cs="Tahoma"/>
                <w:szCs w:val="18"/>
              </w:rPr>
            </w:pPr>
            <w:r w:rsidRPr="00DE147A">
              <w:rPr>
                <w:rFonts w:cs="Tahoma"/>
                <w:szCs w:val="18"/>
              </w:rPr>
              <w:t>A</w:t>
            </w:r>
          </w:p>
        </w:tc>
        <w:tc>
          <w:tcPr>
            <w:tcW w:w="1172" w:type="dxa"/>
          </w:tcPr>
          <w:p w:rsidR="000F4095" w:rsidRPr="00DE147A" w:rsidRDefault="000F4095" w:rsidP="00343766">
            <w:pPr>
              <w:spacing w:after="60" w:line="240" w:lineRule="atLeast"/>
              <w:jc w:val="center"/>
              <w:rPr>
                <w:rFonts w:cs="Tahoma"/>
                <w:szCs w:val="18"/>
              </w:rPr>
            </w:pPr>
            <w:r w:rsidRPr="00DE147A">
              <w:rPr>
                <w:rFonts w:cs="Tahoma"/>
                <w:szCs w:val="18"/>
              </w:rPr>
              <w:t>Einreichung per Web</w:t>
            </w:r>
          </w:p>
        </w:tc>
        <w:tc>
          <w:tcPr>
            <w:tcW w:w="4041" w:type="dxa"/>
          </w:tcPr>
          <w:p w:rsidR="000F4095" w:rsidRPr="00DE147A" w:rsidRDefault="000F4095" w:rsidP="00343766">
            <w:pPr>
              <w:spacing w:after="60" w:line="240" w:lineRule="atLeast"/>
              <w:rPr>
                <w:rFonts w:cs="Tahoma"/>
                <w:lang w:val="de-DE"/>
              </w:rPr>
            </w:pPr>
            <w:r w:rsidRPr="00DE147A">
              <w:rPr>
                <w:rFonts w:cs="Tahoma"/>
                <w:szCs w:val="18"/>
                <w:lang w:val="de-DE"/>
              </w:rPr>
              <w:t>Kritische Auswirkungen auf das Geschäft:</w:t>
            </w:r>
          </w:p>
          <w:p w:rsidR="000F4095" w:rsidRPr="00DE147A" w:rsidRDefault="000F4095" w:rsidP="00343766">
            <w:pPr>
              <w:spacing w:after="60" w:line="240" w:lineRule="atLeast"/>
              <w:rPr>
                <w:rFonts w:cs="Tahoma"/>
                <w:lang w:val="de-DE"/>
              </w:rPr>
            </w:pPr>
            <w:r w:rsidRPr="00DE147A">
              <w:rPr>
                <w:rFonts w:cs="Tahoma"/>
                <w:szCs w:val="18"/>
                <w:lang w:val="de-DE"/>
              </w:rPr>
              <w:t>Erheblicher Verlust oder erhebliche Beeinträchtigung von Diensten (Anwendungsausfall)</w:t>
            </w:r>
          </w:p>
          <w:p w:rsidR="000F4095" w:rsidRPr="00DE147A" w:rsidRDefault="000F4095" w:rsidP="00343766">
            <w:pPr>
              <w:spacing w:after="60" w:line="240" w:lineRule="atLeast"/>
              <w:rPr>
                <w:rFonts w:cs="Tahoma"/>
                <w:szCs w:val="18"/>
                <w:lang w:val="de-DE"/>
              </w:rPr>
            </w:pPr>
            <w:r w:rsidRPr="00DE147A">
              <w:rPr>
                <w:rFonts w:cs="Tahoma"/>
                <w:szCs w:val="18"/>
                <w:lang w:val="de-DE"/>
              </w:rPr>
              <w:t>Bearbeitung innerhalb von 1 Stunde erforderlich</w:t>
            </w:r>
          </w:p>
        </w:tc>
        <w:tc>
          <w:tcPr>
            <w:tcW w:w="2610" w:type="dxa"/>
          </w:tcPr>
          <w:p w:rsidR="000F4095" w:rsidRPr="00446F6C" w:rsidRDefault="000F4095" w:rsidP="00343766">
            <w:pPr>
              <w:spacing w:after="60" w:line="240" w:lineRule="atLeast"/>
              <w:rPr>
                <w:rFonts w:cs="Tahoma"/>
                <w:lang w:val="de-DE"/>
              </w:rPr>
            </w:pPr>
            <w:r w:rsidRPr="00446F6C">
              <w:rPr>
                <w:rFonts w:cs="Tahoma"/>
                <w:szCs w:val="18"/>
                <w:lang w:val="de-DE"/>
              </w:rPr>
              <w:t>1. Reaktion in 1 Stunde oder weniger, 24x7 verfügbar</w:t>
            </w:r>
          </w:p>
          <w:p w:rsidR="000F4095" w:rsidRPr="00446F6C" w:rsidRDefault="000F4095" w:rsidP="00343766">
            <w:pPr>
              <w:spacing w:after="60" w:line="240" w:lineRule="atLeast"/>
              <w:rPr>
                <w:rFonts w:cs="Tahoma"/>
                <w:szCs w:val="18"/>
                <w:lang w:val="de-DE"/>
              </w:rPr>
            </w:pPr>
          </w:p>
        </w:tc>
      </w:tr>
      <w:tr w:rsidR="000F4095" w:rsidRPr="004D388E" w:rsidTr="00D92F39">
        <w:tc>
          <w:tcPr>
            <w:tcW w:w="1537" w:type="dxa"/>
          </w:tcPr>
          <w:p w:rsidR="000F4095" w:rsidRPr="00DE147A" w:rsidRDefault="000F4095" w:rsidP="00343766">
            <w:pPr>
              <w:spacing w:after="60" w:line="240" w:lineRule="atLeast"/>
              <w:jc w:val="center"/>
              <w:rPr>
                <w:rFonts w:cs="Tahoma"/>
                <w:szCs w:val="18"/>
              </w:rPr>
            </w:pPr>
            <w:r w:rsidRPr="00DE147A">
              <w:rPr>
                <w:rFonts w:cs="Tahoma"/>
                <w:szCs w:val="18"/>
              </w:rPr>
              <w:t>B</w:t>
            </w:r>
          </w:p>
        </w:tc>
        <w:tc>
          <w:tcPr>
            <w:tcW w:w="1172" w:type="dxa"/>
          </w:tcPr>
          <w:p w:rsidR="000F4095" w:rsidRPr="00DE147A" w:rsidRDefault="000F4095" w:rsidP="00343766">
            <w:pPr>
              <w:spacing w:after="60" w:line="240" w:lineRule="atLeast"/>
              <w:jc w:val="center"/>
              <w:rPr>
                <w:rFonts w:cs="Tahoma"/>
                <w:szCs w:val="18"/>
              </w:rPr>
            </w:pPr>
            <w:r w:rsidRPr="00DE147A">
              <w:rPr>
                <w:rFonts w:cs="Tahoma"/>
                <w:szCs w:val="18"/>
              </w:rPr>
              <w:t>Einreichung per Web</w:t>
            </w:r>
          </w:p>
        </w:tc>
        <w:tc>
          <w:tcPr>
            <w:tcW w:w="4041" w:type="dxa"/>
          </w:tcPr>
          <w:p w:rsidR="000F4095" w:rsidRPr="00DE147A" w:rsidRDefault="000F4095" w:rsidP="00343766">
            <w:pPr>
              <w:spacing w:after="60" w:line="240" w:lineRule="atLeast"/>
              <w:rPr>
                <w:rFonts w:cs="Tahoma"/>
                <w:lang w:val="de-DE"/>
              </w:rPr>
            </w:pPr>
            <w:r w:rsidRPr="00DE147A">
              <w:rPr>
                <w:rFonts w:cs="Tahoma"/>
                <w:szCs w:val="18"/>
                <w:lang w:val="de-DE"/>
              </w:rPr>
              <w:t xml:space="preserve">Mittelschwere Auswirkungen auf das Geschäft: </w:t>
            </w:r>
          </w:p>
          <w:p w:rsidR="000F4095" w:rsidRPr="00DE147A" w:rsidRDefault="000F4095" w:rsidP="00930EA3">
            <w:pPr>
              <w:spacing w:line="240" w:lineRule="atLeast"/>
              <w:rPr>
                <w:rFonts w:cs="Tahoma"/>
                <w:lang w:val="de-DE"/>
              </w:rPr>
            </w:pPr>
            <w:r w:rsidRPr="00DE147A">
              <w:rPr>
                <w:rFonts w:cs="Tahoma"/>
                <w:szCs w:val="18"/>
                <w:lang w:val="de-DE"/>
              </w:rPr>
              <w:t>Mittelmäßiger Verlust oder mittelmäßige Beeinträchtigung von Diensten, die Arbeit</w:t>
            </w:r>
            <w:r w:rsidR="00930EA3">
              <w:rPr>
                <w:rFonts w:cs="Tahoma"/>
                <w:szCs w:val="18"/>
                <w:lang w:val="de-DE"/>
              </w:rPr>
              <w:t> </w:t>
            </w:r>
            <w:r w:rsidRPr="00DE147A">
              <w:rPr>
                <w:rFonts w:cs="Tahoma"/>
                <w:szCs w:val="18"/>
                <w:lang w:val="de-DE"/>
              </w:rPr>
              <w:t>kann</w:t>
            </w:r>
            <w:r w:rsidR="00930EA3">
              <w:rPr>
                <w:rFonts w:cs="Tahoma"/>
                <w:szCs w:val="18"/>
                <w:lang w:val="de-DE"/>
              </w:rPr>
              <w:t> </w:t>
            </w:r>
            <w:r w:rsidRPr="00DE147A">
              <w:rPr>
                <w:rFonts w:cs="Tahoma"/>
                <w:szCs w:val="18"/>
                <w:lang w:val="de-DE"/>
              </w:rPr>
              <w:t>jedoch vernünftigerweise mit Beeinträchtigungen fortgesetzt werden.</w:t>
            </w:r>
          </w:p>
          <w:p w:rsidR="000F4095" w:rsidRPr="00DE147A" w:rsidRDefault="000F4095" w:rsidP="00343766">
            <w:pPr>
              <w:spacing w:after="60" w:line="240" w:lineRule="atLeast"/>
              <w:rPr>
                <w:rFonts w:cs="Tahoma"/>
                <w:szCs w:val="18"/>
                <w:lang w:val="de-DE"/>
              </w:rPr>
            </w:pPr>
            <w:r w:rsidRPr="00DE147A">
              <w:rPr>
                <w:rFonts w:cs="Tahoma"/>
                <w:szCs w:val="18"/>
                <w:lang w:val="de-DE"/>
              </w:rPr>
              <w:t>Bearbeitung innerhalb von 2 Stunden erforderlich</w:t>
            </w:r>
          </w:p>
        </w:tc>
        <w:tc>
          <w:tcPr>
            <w:tcW w:w="2610" w:type="dxa"/>
          </w:tcPr>
          <w:p w:rsidR="000F4095" w:rsidRPr="00446F6C" w:rsidRDefault="000F4095" w:rsidP="00155130">
            <w:pPr>
              <w:spacing w:line="240" w:lineRule="atLeast"/>
              <w:rPr>
                <w:rFonts w:cs="Tahoma"/>
                <w:lang w:val="de-DE"/>
              </w:rPr>
            </w:pPr>
            <w:r w:rsidRPr="00446F6C">
              <w:rPr>
                <w:rFonts w:cs="Tahoma"/>
                <w:szCs w:val="18"/>
                <w:lang w:val="de-DE"/>
              </w:rPr>
              <w:t>1. Reaktion in 2 Stunden oder weniger, 24x7</w:t>
            </w:r>
            <w:r w:rsidR="00155130" w:rsidRPr="00446F6C">
              <w:rPr>
                <w:rFonts w:cs="Tahoma"/>
                <w:szCs w:val="18"/>
                <w:lang w:val="de-DE"/>
              </w:rPr>
              <w:t> </w:t>
            </w:r>
            <w:r w:rsidRPr="00446F6C">
              <w:rPr>
                <w:rFonts w:cs="Tahoma"/>
                <w:szCs w:val="18"/>
                <w:lang w:val="de-DE"/>
              </w:rPr>
              <w:t>verfügbar</w:t>
            </w:r>
          </w:p>
          <w:p w:rsidR="000F4095" w:rsidRPr="00446F6C" w:rsidRDefault="000F4095" w:rsidP="00343766">
            <w:pPr>
              <w:spacing w:after="60" w:line="240" w:lineRule="atLeast"/>
              <w:rPr>
                <w:rFonts w:cs="Tahoma"/>
                <w:szCs w:val="18"/>
                <w:lang w:val="de-DE"/>
              </w:rPr>
            </w:pPr>
          </w:p>
        </w:tc>
      </w:tr>
      <w:tr w:rsidR="000F4095" w:rsidRPr="00DE147A" w:rsidTr="00D92F39">
        <w:tc>
          <w:tcPr>
            <w:tcW w:w="1537" w:type="dxa"/>
          </w:tcPr>
          <w:p w:rsidR="000F4095" w:rsidRPr="00DE147A" w:rsidRDefault="000F4095" w:rsidP="00343766">
            <w:pPr>
              <w:spacing w:after="60" w:line="240" w:lineRule="atLeast"/>
              <w:jc w:val="center"/>
              <w:rPr>
                <w:rFonts w:cs="Tahoma"/>
                <w:szCs w:val="18"/>
              </w:rPr>
            </w:pPr>
            <w:r w:rsidRPr="00DE147A">
              <w:rPr>
                <w:rFonts w:cs="Tahoma"/>
                <w:szCs w:val="18"/>
              </w:rPr>
              <w:t>C</w:t>
            </w:r>
          </w:p>
        </w:tc>
        <w:tc>
          <w:tcPr>
            <w:tcW w:w="1172" w:type="dxa"/>
          </w:tcPr>
          <w:p w:rsidR="000F4095" w:rsidRPr="00DE147A" w:rsidRDefault="000F4095" w:rsidP="00343766">
            <w:pPr>
              <w:spacing w:after="60" w:line="240" w:lineRule="atLeast"/>
              <w:jc w:val="center"/>
              <w:rPr>
                <w:rFonts w:cs="Tahoma"/>
                <w:szCs w:val="18"/>
              </w:rPr>
            </w:pPr>
            <w:r w:rsidRPr="00DE147A">
              <w:rPr>
                <w:rFonts w:cs="Tahoma"/>
                <w:szCs w:val="18"/>
              </w:rPr>
              <w:t>Einreichung per Web</w:t>
            </w:r>
          </w:p>
        </w:tc>
        <w:tc>
          <w:tcPr>
            <w:tcW w:w="4041" w:type="dxa"/>
          </w:tcPr>
          <w:p w:rsidR="000F4095" w:rsidRPr="00DE147A" w:rsidRDefault="000F4095" w:rsidP="00343766">
            <w:pPr>
              <w:rPr>
                <w:rFonts w:cs="Tahoma"/>
                <w:lang w:val="de-DE"/>
              </w:rPr>
            </w:pPr>
            <w:r w:rsidRPr="00DE147A">
              <w:rPr>
                <w:rFonts w:cs="Tahoma"/>
                <w:szCs w:val="18"/>
                <w:lang w:val="de-DE"/>
              </w:rPr>
              <w:t>Minimale Auswirkungen auf das Geschäft:</w:t>
            </w:r>
          </w:p>
          <w:p w:rsidR="000F4095" w:rsidRPr="00DE147A" w:rsidRDefault="000F4095" w:rsidP="00343766">
            <w:pPr>
              <w:rPr>
                <w:rFonts w:cs="Tahoma"/>
                <w:lang w:val="de-DE"/>
              </w:rPr>
            </w:pPr>
            <w:r w:rsidRPr="00DE147A">
              <w:rPr>
                <w:rFonts w:cs="Tahoma"/>
                <w:szCs w:val="18"/>
                <w:lang w:val="de-DE"/>
              </w:rPr>
              <w:t>Im Wesentlichen funktionsfähig, mit geringen oder keinen Beeinträchtigungen von Diensten.</w:t>
            </w:r>
          </w:p>
          <w:p w:rsidR="000F4095" w:rsidRPr="00DE147A" w:rsidRDefault="000F4095" w:rsidP="00343766">
            <w:pPr>
              <w:spacing w:after="60" w:line="240" w:lineRule="atLeast"/>
              <w:rPr>
                <w:rFonts w:cs="Tahoma"/>
                <w:szCs w:val="18"/>
                <w:lang w:val="de-DE"/>
              </w:rPr>
            </w:pPr>
            <w:r w:rsidRPr="00DE147A">
              <w:rPr>
                <w:rFonts w:cs="Tahoma"/>
                <w:szCs w:val="18"/>
                <w:lang w:val="de-DE"/>
              </w:rPr>
              <w:t>Bearbeitung innerhalb von 4 Stunden erforderlich</w:t>
            </w:r>
          </w:p>
        </w:tc>
        <w:tc>
          <w:tcPr>
            <w:tcW w:w="2610" w:type="dxa"/>
          </w:tcPr>
          <w:p w:rsidR="000F4095" w:rsidRPr="00DE147A" w:rsidRDefault="000F4095" w:rsidP="00343766">
            <w:pPr>
              <w:rPr>
                <w:rFonts w:cs="Tahoma"/>
              </w:rPr>
            </w:pPr>
            <w:r w:rsidRPr="00DE147A">
              <w:rPr>
                <w:rFonts w:cs="Tahoma"/>
                <w:szCs w:val="18"/>
              </w:rPr>
              <w:t>1. Reaktion in 4 Stunden oder weniger</w:t>
            </w:r>
          </w:p>
          <w:p w:rsidR="000F4095" w:rsidRPr="00DE147A" w:rsidRDefault="000F4095" w:rsidP="00343766">
            <w:pPr>
              <w:spacing w:line="240" w:lineRule="atLeast"/>
              <w:rPr>
                <w:rFonts w:cs="Tahoma"/>
                <w:szCs w:val="18"/>
              </w:rPr>
            </w:pPr>
          </w:p>
        </w:tc>
      </w:tr>
    </w:tbl>
    <w:p w:rsidR="000F4095" w:rsidRPr="00C83DF5" w:rsidRDefault="000F4095" w:rsidP="000F4095">
      <w:pPr>
        <w:rPr>
          <w:lang w:val="de-DE"/>
        </w:rPr>
      </w:pPr>
      <w:r w:rsidRPr="00C83DF5">
        <w:rPr>
          <w:b/>
          <w:szCs w:val="24"/>
          <w:lang w:val="de-DE"/>
        </w:rPr>
        <w:lastRenderedPageBreak/>
        <w:t>Die Services beziehen sich nur auf technische Supportfälle.</w:t>
      </w:r>
    </w:p>
    <w:p w:rsidR="000F4095" w:rsidRPr="008B3D04" w:rsidRDefault="000F4095">
      <w:pPr>
        <w:rPr>
          <w:lang w:val="de-DE" w:eastAsia="ja-JP"/>
        </w:rPr>
      </w:pPr>
    </w:p>
    <w:p w:rsidR="000F4095" w:rsidRPr="00C83DF5" w:rsidRDefault="000F4095" w:rsidP="000F4095">
      <w:pPr>
        <w:rPr>
          <w:lang w:val="de-DE"/>
        </w:rPr>
      </w:pPr>
      <w:r w:rsidRPr="00C83DF5">
        <w:rPr>
          <w:b/>
          <w:sz w:val="24"/>
          <w:szCs w:val="18"/>
          <w:lang w:val="de-DE"/>
        </w:rPr>
        <w:t>Zusätzliche Servicebestimmungen</w:t>
      </w:r>
    </w:p>
    <w:p w:rsidR="000F4095" w:rsidRPr="008B3D04" w:rsidRDefault="000F4095" w:rsidP="000F4095">
      <w:pPr>
        <w:rPr>
          <w:szCs w:val="18"/>
          <w:lang w:val="de-DE"/>
        </w:rPr>
      </w:pPr>
    </w:p>
    <w:p w:rsidR="000F4095" w:rsidRPr="008B3D04" w:rsidRDefault="000F4095" w:rsidP="000F4095">
      <w:pPr>
        <w:spacing w:after="60"/>
        <w:rPr>
          <w:b/>
          <w:sz w:val="20"/>
          <w:szCs w:val="20"/>
          <w:lang w:val="de-DE"/>
        </w:rPr>
      </w:pPr>
      <w:bookmarkStart w:id="915" w:name="_Toc357763632"/>
      <w:r w:rsidRPr="008B3D04">
        <w:rPr>
          <w:b/>
          <w:sz w:val="20"/>
          <w:szCs w:val="20"/>
          <w:lang w:val="de-DE"/>
        </w:rPr>
        <w:t>Nutzungsrechte, Eigentum und Lizenzrechte</w:t>
      </w:r>
      <w:bookmarkEnd w:id="915"/>
    </w:p>
    <w:p w:rsidR="000F4095" w:rsidRPr="00C83DF5" w:rsidRDefault="000F4095" w:rsidP="000F4095">
      <w:pPr>
        <w:rPr>
          <w:lang w:val="de-DE"/>
        </w:rPr>
      </w:pPr>
      <w:r w:rsidRPr="00C83DF5">
        <w:rPr>
          <w:rFonts w:eastAsia="Calibri" w:cs="Tahoma"/>
          <w:b/>
          <w:bCs/>
          <w:color w:val="000000"/>
          <w:szCs w:val="18"/>
          <w:lang w:val="de-DE"/>
        </w:rPr>
        <w:t>Fixes.</w:t>
      </w:r>
      <w:r w:rsidR="00E71F46" w:rsidRPr="00C83DF5">
        <w:rPr>
          <w:rFonts w:eastAsia="Calibri" w:cs="Tahoma"/>
          <w:b/>
          <w:bCs/>
          <w:color w:val="000000"/>
          <w:szCs w:val="18"/>
          <w:lang w:val="de-DE"/>
        </w:rPr>
        <w:t xml:space="preserve"> </w:t>
      </w:r>
      <w:r w:rsidRPr="00C83DF5">
        <w:rPr>
          <w:rFonts w:eastAsia="Calibri" w:cs="Tahoma"/>
          <w:bCs/>
          <w:color w:val="000000"/>
          <w:szCs w:val="18"/>
          <w:lang w:val="de-DE"/>
        </w:rPr>
        <w:t>Wenn Microsoft dem Kunden im Rahmen der Erbringung der Services Fixes zur Verfügung stellt, werden diese</w:t>
      </w:r>
      <w:r w:rsidRPr="00C83DF5">
        <w:rPr>
          <w:rFonts w:eastAsia="Calibri" w:cs="Tahoma"/>
          <w:b/>
          <w:bCs/>
          <w:color w:val="000000"/>
          <w:szCs w:val="18"/>
          <w:lang w:val="de-DE"/>
        </w:rPr>
        <w:t xml:space="preserve"> </w:t>
      </w:r>
      <w:r w:rsidRPr="00C83DF5">
        <w:rPr>
          <w:rFonts w:eastAsia="Calibri" w:cs="Tahoma"/>
          <w:color w:val="000000"/>
          <w:szCs w:val="18"/>
          <w:lang w:val="de-DE"/>
        </w:rPr>
        <w:t>Fixes in Übereinstimmung mit den Lizenzbestimmungen für das Product, auf das sich diese Fixes beziehen, lizenziert.</w:t>
      </w:r>
      <w:r w:rsidR="00E71F46" w:rsidRPr="00C83DF5">
        <w:rPr>
          <w:rFonts w:eastAsia="Calibri" w:cs="Tahoma"/>
          <w:color w:val="000000"/>
          <w:szCs w:val="18"/>
          <w:lang w:val="de-DE"/>
        </w:rPr>
        <w:t xml:space="preserve"> </w:t>
      </w:r>
      <w:r w:rsidRPr="00C83DF5">
        <w:rPr>
          <w:rFonts w:eastAsia="Calibri" w:cs="Tahoma"/>
          <w:color w:val="000000"/>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E71F46" w:rsidRPr="00C83DF5">
        <w:rPr>
          <w:rFonts w:eastAsia="Calibri" w:cs="Tahoma"/>
          <w:color w:val="000000"/>
          <w:szCs w:val="18"/>
          <w:lang w:val="de-DE"/>
        </w:rPr>
        <w:t xml:space="preserve"> </w:t>
      </w:r>
      <w:r w:rsidRPr="00C83DF5">
        <w:rPr>
          <w:rFonts w:eastAsia="Calibri" w:cs="Tahoma"/>
          <w:color w:val="000000"/>
          <w:szCs w:val="18"/>
          <w:lang w:val="de-DE"/>
        </w:rPr>
        <w:t>Der Kunde ist nicht berechtigt, Fixes zu ändern, ihre Dateinamen zu ändern oder sie mit Computercodes zu kombinieren, die nicht von Microsoft stammen.</w:t>
      </w:r>
    </w:p>
    <w:p w:rsidR="000F4095" w:rsidRPr="008B3D04" w:rsidRDefault="000F4095" w:rsidP="000F4095">
      <w:pPr>
        <w:rPr>
          <w:rFonts w:eastAsia="Calibri" w:cs="Tahoma"/>
          <w:color w:val="000000"/>
          <w:szCs w:val="18"/>
          <w:lang w:val="de-DE"/>
        </w:rPr>
      </w:pPr>
    </w:p>
    <w:p w:rsidR="000F4095" w:rsidRPr="00C83DF5" w:rsidRDefault="000F4095" w:rsidP="00D37A86">
      <w:pPr>
        <w:rPr>
          <w:lang w:val="de-DE"/>
        </w:rPr>
      </w:pPr>
      <w:r w:rsidRPr="00C83DF5">
        <w:rPr>
          <w:rFonts w:eastAsia="Calibri" w:cs="Tahoma"/>
          <w:b/>
          <w:bCs/>
          <w:color w:val="000000"/>
          <w:szCs w:val="18"/>
          <w:lang w:val="de-DE"/>
        </w:rPr>
        <w:t>Vorbestehende Werke.</w:t>
      </w:r>
      <w:r w:rsidR="00E71F46" w:rsidRPr="00C83DF5">
        <w:rPr>
          <w:rFonts w:eastAsia="Calibri" w:cs="Tahoma"/>
          <w:color w:val="000000"/>
          <w:szCs w:val="18"/>
          <w:lang w:val="de-DE"/>
        </w:rPr>
        <w:t xml:space="preserve"> </w:t>
      </w:r>
      <w:r w:rsidRPr="00C83DF5">
        <w:rPr>
          <w:rFonts w:eastAsia="Calibri" w:cs="Tahoma"/>
          <w:color w:val="000000"/>
          <w:szCs w:val="18"/>
          <w:lang w:val="de-DE"/>
        </w:rPr>
        <w:t>Sämtliche Rechte an Computercode oder an nicht codebasierten schriftlichen Materialien, die von den oder für die Parteien oder ihre(n) Verbundenen Unternehmen unabhängig von diesem Vertrag entwickelt</w:t>
      </w:r>
      <w:r w:rsidR="00D37A86">
        <w:rPr>
          <w:rFonts w:eastAsia="Calibri" w:cs="Tahoma"/>
          <w:color w:val="000000"/>
          <w:szCs w:val="18"/>
          <w:lang w:val="de-DE"/>
        </w:rPr>
        <w:t> </w:t>
      </w:r>
      <w:r w:rsidRPr="00C83DF5">
        <w:rPr>
          <w:rFonts w:eastAsia="Calibri" w:cs="Tahoma"/>
          <w:color w:val="000000"/>
          <w:szCs w:val="18"/>
          <w:lang w:val="de-DE"/>
        </w:rPr>
        <w:t>oder auf andere Weise erlangt wurden („Vorbestehende Werke“), verbleiben allein bei derjenigen Partei,</w:t>
      </w:r>
      <w:r w:rsidR="00D37A86">
        <w:rPr>
          <w:rFonts w:eastAsia="Calibri" w:cs="Tahoma"/>
          <w:color w:val="000000"/>
          <w:szCs w:val="18"/>
          <w:lang w:val="de-DE"/>
        </w:rPr>
        <w:t> </w:t>
      </w:r>
      <w:r w:rsidRPr="00C83DF5">
        <w:rPr>
          <w:rFonts w:eastAsia="Calibri" w:cs="Tahoma"/>
          <w:color w:val="000000"/>
          <w:szCs w:val="18"/>
          <w:lang w:val="de-DE"/>
        </w:rPr>
        <w:t>die die Vorbestehenden Werke jeweils bereitstellt.</w:t>
      </w:r>
      <w:r w:rsidR="00E71F46" w:rsidRPr="00C83DF5">
        <w:rPr>
          <w:rFonts w:eastAsia="Calibri" w:cs="Tahoma"/>
          <w:color w:val="000000"/>
          <w:szCs w:val="18"/>
          <w:lang w:val="de-DE"/>
        </w:rPr>
        <w:t xml:space="preserve"> </w:t>
      </w:r>
      <w:r w:rsidRPr="00C83DF5">
        <w:rPr>
          <w:rFonts w:eastAsia="Calibri" w:cs="Tahoma"/>
          <w:color w:val="000000"/>
          <w:szCs w:val="18"/>
          <w:lang w:val="de-DE"/>
        </w:rPr>
        <w:t>Für die Dauer der zu erbringenden Leistungen erteilen die</w:t>
      </w:r>
      <w:r w:rsidR="00D37A86">
        <w:rPr>
          <w:rFonts w:eastAsia="Calibri" w:cs="Tahoma"/>
          <w:color w:val="000000"/>
          <w:szCs w:val="18"/>
          <w:lang w:val="de-DE"/>
        </w:rPr>
        <w:t> </w:t>
      </w:r>
      <w:r w:rsidRPr="00C83DF5">
        <w:rPr>
          <w:rFonts w:eastAsia="Calibri" w:cs="Tahoma"/>
          <w:color w:val="000000"/>
          <w:szCs w:val="18"/>
          <w:lang w:val="de-DE"/>
        </w:rPr>
        <w:t>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D37A86">
        <w:rPr>
          <w:rFonts w:eastAsia="Calibri" w:cs="Tahoma"/>
          <w:color w:val="000000"/>
          <w:szCs w:val="18"/>
          <w:lang w:val="de-DE"/>
        </w:rPr>
        <w:t> </w:t>
      </w:r>
      <w:r w:rsidRPr="00C83DF5">
        <w:rPr>
          <w:rFonts w:eastAsia="Calibri" w:cs="Tahoma"/>
          <w:color w:val="000000"/>
          <w:szCs w:val="18"/>
          <w:lang w:val="de-DE"/>
        </w:rPr>
        <w:t>den Services zu erfüllen.</w:t>
      </w:r>
    </w:p>
    <w:p w:rsidR="000F4095" w:rsidRPr="00C83DF5" w:rsidRDefault="000F4095" w:rsidP="000F4095">
      <w:pPr>
        <w:rPr>
          <w:lang w:val="de-DE"/>
        </w:rPr>
      </w:pPr>
      <w:r w:rsidRPr="00C83DF5">
        <w:rPr>
          <w:rFonts w:eastAsia="Calibri" w:cs="Tahoma"/>
          <w:color w:val="000000"/>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0F4095" w:rsidRPr="008B3D04" w:rsidRDefault="000F4095" w:rsidP="000F4095">
      <w:pPr>
        <w:rPr>
          <w:rFonts w:eastAsia="Calibri" w:cs="Tahoma"/>
          <w:color w:val="000000"/>
          <w:szCs w:val="18"/>
          <w:lang w:val="de-DE"/>
        </w:rPr>
      </w:pPr>
    </w:p>
    <w:p w:rsidR="000F4095" w:rsidRPr="00C83DF5" w:rsidRDefault="000F4095" w:rsidP="000F4095">
      <w:pPr>
        <w:rPr>
          <w:lang w:val="de-DE"/>
        </w:rPr>
      </w:pPr>
      <w:r w:rsidRPr="00C83DF5">
        <w:rPr>
          <w:rFonts w:eastAsia="Calibri" w:cs="Tahoma"/>
          <w:b/>
          <w:bCs/>
          <w:color w:val="000000"/>
          <w:szCs w:val="18"/>
          <w:lang w:val="de-DE"/>
        </w:rPr>
        <w:t>Entwicklungen</w:t>
      </w:r>
      <w:r w:rsidRPr="00EB1236">
        <w:rPr>
          <w:rFonts w:eastAsia="Calibri" w:cs="Tahoma"/>
          <w:b/>
          <w:bCs/>
          <w:color w:val="000000"/>
          <w:szCs w:val="18"/>
          <w:lang w:val="de-DE"/>
        </w:rPr>
        <w:t>.</w:t>
      </w:r>
      <w:r w:rsidR="00E71F46" w:rsidRPr="00C83DF5">
        <w:rPr>
          <w:rFonts w:eastAsia="Calibri" w:cs="Tahoma"/>
          <w:color w:val="000000"/>
          <w:szCs w:val="18"/>
          <w:lang w:val="de-DE"/>
        </w:rPr>
        <w:t xml:space="preserve"> </w:t>
      </w:r>
      <w:r w:rsidRPr="00C83DF5">
        <w:rPr>
          <w:rFonts w:eastAsia="Calibri" w:cs="Tahoma"/>
          <w:color w:val="000000"/>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E71F46" w:rsidRPr="00C83DF5">
        <w:rPr>
          <w:rFonts w:eastAsia="Calibri" w:cs="Tahoma"/>
          <w:color w:val="000000"/>
          <w:szCs w:val="18"/>
          <w:lang w:val="de-DE"/>
        </w:rPr>
        <w:t xml:space="preserve"> </w:t>
      </w:r>
      <w:r w:rsidRPr="00C83DF5">
        <w:rPr>
          <w:rFonts w:eastAsia="Calibri" w:cs="Tahoma"/>
          <w:color w:val="000000"/>
          <w:szCs w:val="18"/>
          <w:lang w:val="de-DE"/>
        </w:rPr>
        <w:t>Jede Partei ist die alleinige Eigentümerin der Bearbeitungen, die sie auf Basis der Entwicklungen vornimmt.</w:t>
      </w:r>
      <w:r w:rsidR="00E71F46" w:rsidRPr="00C83DF5">
        <w:rPr>
          <w:rFonts w:eastAsia="Calibri" w:cs="Tahoma"/>
          <w:color w:val="000000"/>
          <w:szCs w:val="18"/>
          <w:lang w:val="de-DE"/>
        </w:rPr>
        <w:t xml:space="preserve"> </w:t>
      </w:r>
      <w:r w:rsidRPr="00C83DF5">
        <w:rPr>
          <w:rFonts w:eastAsia="Calibri" w:cs="Tahoma"/>
          <w:color w:val="000000"/>
          <w:szCs w:val="18"/>
          <w:lang w:val="de-DE"/>
        </w:rPr>
        <w:t>Der Kunde verpflichtet sich, seine Rechte an Entwicklungen ausschließlich für seine internen Geschäftszwecke auszuüben und die Entwicklungen nicht an Dritte weiterzuverkaufen oder zu vertreiben.</w:t>
      </w:r>
    </w:p>
    <w:p w:rsidR="000F4095" w:rsidRPr="008B3D04" w:rsidRDefault="000F4095" w:rsidP="000F4095">
      <w:pPr>
        <w:rPr>
          <w:rFonts w:eastAsia="Calibri" w:cs="Tahoma"/>
          <w:color w:val="000000"/>
          <w:szCs w:val="18"/>
          <w:lang w:val="de-DE"/>
        </w:rPr>
      </w:pPr>
    </w:p>
    <w:p w:rsidR="000F4095" w:rsidRPr="00C83DF5" w:rsidRDefault="000F4095" w:rsidP="009520CA">
      <w:pPr>
        <w:rPr>
          <w:lang w:val="de-DE"/>
        </w:rPr>
      </w:pPr>
      <w:r w:rsidRPr="00C83DF5">
        <w:rPr>
          <w:rFonts w:eastAsia="Calibri" w:cs="Tahoma"/>
          <w:b/>
          <w:bCs/>
          <w:color w:val="000000"/>
          <w:szCs w:val="18"/>
          <w:lang w:val="de-DE"/>
        </w:rPr>
        <w:t>Materialien.</w:t>
      </w:r>
      <w:r w:rsidR="00E71F46" w:rsidRPr="00C83DF5">
        <w:rPr>
          <w:rFonts w:eastAsia="Calibri" w:cs="Tahoma"/>
          <w:b/>
          <w:bCs/>
          <w:color w:val="000000"/>
          <w:szCs w:val="18"/>
          <w:lang w:val="de-DE"/>
        </w:rPr>
        <w:t xml:space="preserve"> </w:t>
      </w:r>
      <w:r w:rsidRPr="00C83DF5">
        <w:rPr>
          <w:rFonts w:eastAsia="Calibri" w:cs="Tahoma"/>
          <w:bCs/>
          <w:color w:val="000000"/>
          <w:szCs w:val="18"/>
          <w:lang w:val="de-DE"/>
        </w:rPr>
        <w:t>Alle Rechte an Materialien, die von uns entwickelt (ausgenommen Softwarecode) und dem Kunden in</w:t>
      </w:r>
      <w:r w:rsidR="009520CA">
        <w:rPr>
          <w:rFonts w:eastAsia="Calibri" w:cs="Tahoma"/>
          <w:bCs/>
          <w:color w:val="000000"/>
          <w:szCs w:val="18"/>
          <w:lang w:val="de-DE"/>
        </w:rPr>
        <w:t> </w:t>
      </w:r>
      <w:r w:rsidRPr="00C83DF5">
        <w:rPr>
          <w:rFonts w:eastAsia="Calibri" w:cs="Tahoma"/>
          <w:bCs/>
          <w:color w:val="000000"/>
          <w:szCs w:val="18"/>
          <w:lang w:val="de-DE"/>
        </w:rPr>
        <w:t>Verbindung mit dem Microsoft Dynamics CRM Online-Support und Professional Support bereitgestellt werden („Materialien“), stehen in unserem Eigentum, außer insoweit solche Materialien Vorbestehenden Werke des Kunden darstellen.</w:t>
      </w:r>
      <w:r w:rsidR="00E71F46" w:rsidRPr="00C83DF5">
        <w:rPr>
          <w:rFonts w:eastAsia="Calibri" w:cs="Tahoma"/>
          <w:bCs/>
          <w:color w:val="000000"/>
          <w:szCs w:val="18"/>
          <w:lang w:val="de-DE"/>
        </w:rPr>
        <w:t xml:space="preserve"> </w:t>
      </w:r>
      <w:r w:rsidRPr="00C83DF5">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E71F46" w:rsidRPr="00C83DF5">
        <w:rPr>
          <w:rFonts w:eastAsia="Calibri" w:cs="Tahoma"/>
          <w:bCs/>
          <w:color w:val="000000"/>
          <w:szCs w:val="18"/>
          <w:lang w:val="de-DE"/>
        </w:rPr>
        <w:t xml:space="preserve"> </w:t>
      </w:r>
      <w:r w:rsidRPr="00C83DF5">
        <w:rPr>
          <w:rFonts w:eastAsia="Calibri" w:cs="Tahoma"/>
          <w:bCs/>
          <w:color w:val="000000"/>
          <w:szCs w:val="18"/>
          <w:lang w:val="de-DE"/>
        </w:rPr>
        <w:t>Kunden sind berechtigt, die unter diesem Vertrag gewährten Rechte an ihre Verbundenen Unternehmen zu unterlizenzieren.</w:t>
      </w:r>
      <w:r w:rsidR="00E71F46" w:rsidRPr="00C83DF5">
        <w:rPr>
          <w:rFonts w:eastAsia="Calibri" w:cs="Tahoma"/>
          <w:bCs/>
          <w:color w:val="000000"/>
          <w:szCs w:val="18"/>
          <w:lang w:val="de-DE"/>
        </w:rPr>
        <w:t xml:space="preserve"> </w:t>
      </w:r>
      <w:r w:rsidRPr="00C83DF5">
        <w:rPr>
          <w:rFonts w:eastAsia="Calibri" w:cs="Tahoma"/>
          <w:bCs/>
          <w:color w:val="000000"/>
          <w:szCs w:val="18"/>
          <w:lang w:val="de-DE"/>
        </w:rPr>
        <w:t>Alle nicht ausdrücklich gewährten Rechte bleiben vorbehalten.</w:t>
      </w:r>
    </w:p>
    <w:p w:rsidR="000F4095" w:rsidRPr="00C83DF5" w:rsidRDefault="000F4095" w:rsidP="000F4095">
      <w:pPr>
        <w:rPr>
          <w:lang w:val="de-DE"/>
        </w:rPr>
      </w:pPr>
    </w:p>
    <w:p w:rsidR="000F4095" w:rsidRPr="00C83DF5" w:rsidRDefault="000F4095" w:rsidP="000F4095">
      <w:pPr>
        <w:rPr>
          <w:lang w:val="de-DE"/>
        </w:rPr>
      </w:pPr>
      <w:r w:rsidRPr="00C83DF5">
        <w:rPr>
          <w:rFonts w:eastAsia="Calibri" w:cs="Tahoma"/>
          <w:b/>
          <w:bCs/>
          <w:color w:val="000000"/>
          <w:szCs w:val="18"/>
          <w:lang w:val="de-DE"/>
        </w:rPr>
        <w:t>Mustercode.</w:t>
      </w:r>
      <w:r w:rsidR="00E71F46" w:rsidRPr="00C83DF5">
        <w:rPr>
          <w:rFonts w:eastAsia="Calibri" w:cs="Tahoma"/>
          <w:b/>
          <w:bCs/>
          <w:color w:val="000000"/>
          <w:szCs w:val="18"/>
          <w:lang w:val="de-DE"/>
        </w:rPr>
        <w:t xml:space="preserve"> </w:t>
      </w:r>
      <w:r w:rsidRPr="00C83DF5">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0F4095" w:rsidRDefault="000F4095" w:rsidP="000F4095">
      <w:pPr>
        <w:rPr>
          <w:lang w:val="de-DE"/>
        </w:rPr>
      </w:pPr>
    </w:p>
    <w:p w:rsidR="009520CA" w:rsidRDefault="009520CA" w:rsidP="000F4095">
      <w:pPr>
        <w:rPr>
          <w:lang w:val="de-DE"/>
        </w:rPr>
      </w:pPr>
    </w:p>
    <w:p w:rsidR="009520CA" w:rsidRPr="00C83DF5" w:rsidRDefault="009520CA" w:rsidP="000F4095">
      <w:pPr>
        <w:rPr>
          <w:lang w:val="de-DE"/>
        </w:rPr>
      </w:pPr>
    </w:p>
    <w:p w:rsidR="000F4095" w:rsidRPr="00C83DF5" w:rsidRDefault="000F4095" w:rsidP="000F4095">
      <w:pPr>
        <w:rPr>
          <w:lang w:val="de-DE"/>
        </w:rPr>
      </w:pPr>
      <w:r w:rsidRPr="00C83DF5">
        <w:rPr>
          <w:rFonts w:eastAsia="Calibri" w:cs="Tahoma"/>
          <w:b/>
          <w:bCs/>
          <w:color w:val="000000"/>
          <w:szCs w:val="18"/>
          <w:lang w:val="de-DE"/>
        </w:rPr>
        <w:lastRenderedPageBreak/>
        <w:t>Open Source-Lizenzbeschränkungen</w:t>
      </w:r>
      <w:r w:rsidRPr="00EB1236">
        <w:rPr>
          <w:rFonts w:eastAsia="Calibri" w:cs="Tahoma"/>
          <w:b/>
          <w:bCs/>
          <w:color w:val="000000"/>
          <w:szCs w:val="18"/>
          <w:lang w:val="de-DE"/>
        </w:rPr>
        <w:t>.</w:t>
      </w:r>
      <w:r w:rsidR="00E71F46" w:rsidRPr="00C83DF5">
        <w:rPr>
          <w:rFonts w:eastAsia="Calibri" w:cs="Tahoma"/>
          <w:color w:val="000000"/>
          <w:szCs w:val="18"/>
          <w:lang w:val="de-DE"/>
        </w:rPr>
        <w:t xml:space="preserve"> </w:t>
      </w:r>
      <w:r w:rsidRPr="00C83DF5">
        <w:rPr>
          <w:rFonts w:eastAsia="Calibri" w:cs="Tahoma"/>
          <w:color w:val="000000"/>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00E71F46" w:rsidRPr="00C83DF5">
        <w:rPr>
          <w:rFonts w:eastAsia="Calibri" w:cs="Tahoma"/>
          <w:color w:val="000000"/>
          <w:szCs w:val="18"/>
          <w:lang w:val="de-DE"/>
        </w:rPr>
        <w:t xml:space="preserve"> </w:t>
      </w:r>
      <w:r w:rsidRPr="00C83DF5">
        <w:rPr>
          <w:rFonts w:eastAsia="Calibri" w:cs="Tahoma"/>
          <w:color w:val="000000"/>
          <w:szCs w:val="18"/>
          <w:lang w:val="de-DE"/>
        </w:rPr>
        <w:t>Außerdem sichert jede Partei zu, dass sie der anderen Partei keinen Computercode bereitstellt oder überlässt, der Open Source-Lizenzbestimmungen unterliegt.</w:t>
      </w:r>
    </w:p>
    <w:p w:rsidR="000F4095" w:rsidRPr="00C83DF5" w:rsidRDefault="000F4095" w:rsidP="000F4095">
      <w:pPr>
        <w:rPr>
          <w:lang w:val="de-DE"/>
        </w:rPr>
      </w:pPr>
    </w:p>
    <w:p w:rsidR="000F4095" w:rsidRPr="00C83DF5" w:rsidRDefault="000F4095" w:rsidP="009520CA">
      <w:pPr>
        <w:rPr>
          <w:lang w:val="de-DE"/>
        </w:rPr>
      </w:pPr>
      <w:r w:rsidRPr="00C83DF5">
        <w:rPr>
          <w:rFonts w:eastAsia="Calibri" w:cs="Tahoma"/>
          <w:b/>
          <w:bCs/>
          <w:color w:val="000000"/>
          <w:szCs w:val="18"/>
          <w:lang w:val="de-DE"/>
        </w:rPr>
        <w:t>Rechte von Verbundenen Unternehmen.</w:t>
      </w:r>
      <w:r w:rsidR="00E71F46" w:rsidRPr="00C83DF5">
        <w:rPr>
          <w:rFonts w:eastAsia="Calibri" w:cs="Tahoma"/>
          <w:color w:val="000000"/>
          <w:szCs w:val="18"/>
          <w:lang w:val="de-DE"/>
        </w:rPr>
        <w:t xml:space="preserve"> </w:t>
      </w:r>
      <w:r w:rsidRPr="00C83DF5">
        <w:rPr>
          <w:rFonts w:eastAsia="Calibri" w:cs="Tahoma"/>
          <w:color w:val="000000"/>
          <w:szCs w:val="18"/>
          <w:lang w:val="de-DE"/>
        </w:rPr>
        <w:t>Der Kunde kann seinen Verbundenen Unternehmen Unterlizenzen an</w:t>
      </w:r>
      <w:r w:rsidR="009520CA">
        <w:rPr>
          <w:rFonts w:eastAsia="Calibri" w:cs="Tahoma"/>
          <w:color w:val="000000"/>
          <w:szCs w:val="18"/>
          <w:lang w:val="de-DE"/>
        </w:rPr>
        <w:t> </w:t>
      </w:r>
      <w:r w:rsidRPr="00C83DF5">
        <w:rPr>
          <w:rFonts w:eastAsia="Calibri" w:cs="Tahoma"/>
          <w:color w:val="000000"/>
          <w:szCs w:val="18"/>
          <w:lang w:val="de-DE"/>
        </w:rPr>
        <w:t>den in diesem Absatz enthaltenen Rechten in Bezug auf die Arbeitsergebnisse erteilen; jede Unterlizenzierung dieser Rechte durch die Verbundenen Unternehmen des Kunden ist hingegen unzulässig, und die Nutzung durch die</w:t>
      </w:r>
      <w:r w:rsidR="009520CA" w:rsidRPr="00A0761E">
        <w:rPr>
          <w:lang w:val="de-DE"/>
        </w:rPr>
        <w:t> </w:t>
      </w:r>
      <w:r w:rsidRPr="00C83DF5">
        <w:rPr>
          <w:rFonts w:eastAsia="Calibri" w:cs="Tahoma"/>
          <w:color w:val="000000"/>
          <w:szCs w:val="18"/>
          <w:lang w:val="de-DE"/>
        </w:rPr>
        <w:t>Verbundenen Unternehmen des Kunden muss mit den in diesem Vertrag enthaltenen Lizenzbestimmungen übereinstimmen.</w:t>
      </w:r>
    </w:p>
    <w:p w:rsidR="000F4095" w:rsidRPr="00C83DF5" w:rsidRDefault="000F4095" w:rsidP="000F4095">
      <w:pPr>
        <w:rPr>
          <w:lang w:val="de-DE"/>
        </w:rPr>
      </w:pPr>
    </w:p>
    <w:p w:rsidR="000F4095" w:rsidRPr="00C83DF5" w:rsidRDefault="000F4095" w:rsidP="000F4095">
      <w:pPr>
        <w:rPr>
          <w:lang w:val="de-DE"/>
        </w:rPr>
      </w:pPr>
      <w:r w:rsidRPr="00C83DF5">
        <w:rPr>
          <w:rFonts w:cs="Tahoma"/>
          <w:b/>
          <w:bCs/>
          <w:color w:val="000000"/>
          <w:szCs w:val="18"/>
          <w:lang w:val="de-DE"/>
        </w:rPr>
        <w:t>Vorbehalt von Rechten.</w:t>
      </w:r>
      <w:r w:rsidR="00E71F46" w:rsidRPr="00C83DF5">
        <w:rPr>
          <w:rFonts w:cs="Tahoma"/>
          <w:color w:val="000000"/>
          <w:szCs w:val="18"/>
          <w:lang w:val="de-DE"/>
        </w:rPr>
        <w:t xml:space="preserve"> </w:t>
      </w:r>
      <w:r w:rsidRPr="00C83DF5">
        <w:rPr>
          <w:rFonts w:cs="Tahoma"/>
          <w:color w:val="000000"/>
          <w:szCs w:val="18"/>
          <w:lang w:val="de-DE"/>
        </w:rPr>
        <w:t>Alle nicht ausdrücklich gewährten Rechte bleiben vorbehalten.</w:t>
      </w:r>
    </w:p>
    <w:p w:rsidR="000F4095" w:rsidRPr="00C83DF5" w:rsidRDefault="000F4095" w:rsidP="000F4095">
      <w:pPr>
        <w:rPr>
          <w:lang w:val="de-DE"/>
        </w:rPr>
      </w:pPr>
    </w:p>
    <w:p w:rsidR="000F4095" w:rsidRPr="00C83DF5" w:rsidRDefault="000F4095" w:rsidP="000F4095">
      <w:pPr>
        <w:spacing w:after="60"/>
        <w:rPr>
          <w:lang w:val="de-DE"/>
        </w:rPr>
      </w:pPr>
      <w:r w:rsidRPr="00C83DF5">
        <w:rPr>
          <w:b/>
          <w:szCs w:val="18"/>
          <w:lang w:val="de-DE"/>
        </w:rPr>
        <w:t>Gewährleistungen, Ausschlüsse und Haftungsbeschränkung</w:t>
      </w:r>
    </w:p>
    <w:p w:rsidR="000F4095" w:rsidRPr="00C83DF5" w:rsidRDefault="000F4095" w:rsidP="000F4095">
      <w:pPr>
        <w:ind w:left="360"/>
        <w:rPr>
          <w:lang w:val="de-DE"/>
        </w:rPr>
      </w:pPr>
      <w:r w:rsidRPr="00C83DF5">
        <w:rPr>
          <w:rFonts w:cs="Tahoma"/>
          <w:b/>
          <w:color w:val="000000"/>
          <w:szCs w:val="18"/>
          <w:lang w:val="de-DE"/>
        </w:rPr>
        <w:t>Gewährleistung für Services</w:t>
      </w:r>
      <w:r w:rsidRPr="00A0761E">
        <w:rPr>
          <w:rFonts w:cs="Tahoma"/>
          <w:b/>
          <w:bCs/>
          <w:color w:val="000000"/>
          <w:szCs w:val="18"/>
          <w:lang w:val="de-DE"/>
        </w:rPr>
        <w:t>.</w:t>
      </w:r>
      <w:r w:rsidR="00E71F46" w:rsidRPr="00C83DF5">
        <w:rPr>
          <w:rFonts w:cs="Tahoma"/>
          <w:color w:val="000000"/>
          <w:szCs w:val="18"/>
          <w:lang w:val="de-DE"/>
        </w:rPr>
        <w:t xml:space="preserve"> </w:t>
      </w:r>
      <w:r w:rsidRPr="00C83DF5">
        <w:rPr>
          <w:rFonts w:cs="Tahoma"/>
          <w:color w:val="000000"/>
          <w:szCs w:val="18"/>
          <w:lang w:val="de-DE"/>
        </w:rPr>
        <w:t>Microsoft gewährleistet, dass alle Services mit professioneller Sorgfalt und Kenntnis erbracht werden.</w:t>
      </w:r>
    </w:p>
    <w:p w:rsidR="000F4095" w:rsidRPr="00C83DF5" w:rsidRDefault="000F4095" w:rsidP="000F4095">
      <w:pPr>
        <w:ind w:left="360"/>
        <w:rPr>
          <w:lang w:val="de-DE"/>
        </w:rPr>
      </w:pPr>
    </w:p>
    <w:p w:rsidR="000F4095" w:rsidRPr="00C83DF5" w:rsidRDefault="000F4095" w:rsidP="00001AF7">
      <w:pPr>
        <w:ind w:left="360"/>
        <w:rPr>
          <w:lang w:val="de-DE"/>
        </w:rPr>
      </w:pPr>
      <w:r w:rsidRPr="00C83DF5">
        <w:rPr>
          <w:b/>
          <w:szCs w:val="18"/>
          <w:lang w:val="de-DE"/>
        </w:rPr>
        <w:t>KEINE ANDEREN GARANTIEN</w:t>
      </w:r>
      <w:r w:rsidRPr="00A0761E">
        <w:rPr>
          <w:b/>
          <w:iCs/>
          <w:szCs w:val="18"/>
          <w:lang w:val="de-DE"/>
        </w:rPr>
        <w:t>.</w:t>
      </w:r>
      <w:r w:rsidR="00E71F46" w:rsidRPr="00C83DF5">
        <w:rPr>
          <w:szCs w:val="18"/>
          <w:lang w:val="de-DE"/>
        </w:rPr>
        <w:t xml:space="preserve"> </w:t>
      </w:r>
      <w:r w:rsidRPr="00C83DF5">
        <w:rPr>
          <w:szCs w:val="18"/>
          <w:lang w:val="de-DE"/>
        </w:rPr>
        <w:t>IM DURCH DAS ANWENDBARE GESETZ ZUGELASSENEN UMFANG SCHLIESS</w:t>
      </w:r>
      <w:r w:rsidR="00001AF7">
        <w:rPr>
          <w:szCs w:val="18"/>
          <w:lang w:val="de-DE"/>
        </w:rPr>
        <w:t> </w:t>
      </w:r>
      <w:r w:rsidRPr="00C83DF5">
        <w:rPr>
          <w:szCs w:val="18"/>
          <w:lang w:val="de-DE"/>
        </w:rPr>
        <w:t>MICROSOFT ALLE ZUSICHERUNGEN, GARANTIEN UND GEWÄHRLEISTUNGEN, OB AUSDRÜCKLICHE, KONKLUDENTE ODER GESETZLICHE, MIT AUSNAHME DER IN DIESEM VERTRAG AUSDRÜCKLICH GENANNTEN AUS.</w:t>
      </w:r>
      <w:r w:rsidR="00E71F46" w:rsidRPr="00C83DF5">
        <w:rPr>
          <w:szCs w:val="18"/>
          <w:lang w:val="de-DE"/>
        </w:rPr>
        <w:t xml:space="preserve"> </w:t>
      </w:r>
      <w:r w:rsidRPr="00C83DF5">
        <w:rPr>
          <w:szCs w:val="18"/>
          <w:lang w:val="de-DE"/>
        </w:rPr>
        <w:t>DIESER AUSSCHLUSS UMFASST SÄMTLICHE GEWÄHRLEISTUNGEN ODER GARANTIEN IM HINBLICK AUF</w:t>
      </w:r>
      <w:r w:rsidR="00001AF7">
        <w:rPr>
          <w:szCs w:val="18"/>
          <w:lang w:val="de-DE"/>
        </w:rPr>
        <w:t> </w:t>
      </w:r>
      <w:r w:rsidRPr="00C83DF5">
        <w:rPr>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w:t>
      </w:r>
      <w:r w:rsidR="00001AF7">
        <w:rPr>
          <w:szCs w:val="18"/>
          <w:lang w:val="de-DE"/>
        </w:rPr>
        <w:t> </w:t>
      </w:r>
      <w:r w:rsidRPr="00C83DF5">
        <w:rPr>
          <w:szCs w:val="18"/>
          <w:lang w:val="de-DE"/>
        </w:rPr>
        <w:t>ERBRINGUNG DIESER SERVICES ZUR VERFÜGUNG GESTELLT WURDEN.</w:t>
      </w:r>
      <w:r w:rsidR="00E71F46" w:rsidRPr="00C83DF5">
        <w:rPr>
          <w:szCs w:val="18"/>
          <w:lang w:val="de-DE"/>
        </w:rPr>
        <w:t xml:space="preserve"> </w:t>
      </w:r>
    </w:p>
    <w:p w:rsidR="000F4095" w:rsidRPr="00C83DF5" w:rsidRDefault="000F4095" w:rsidP="000F4095">
      <w:pPr>
        <w:ind w:left="360"/>
        <w:rPr>
          <w:lang w:val="de-DE"/>
        </w:rPr>
      </w:pPr>
    </w:p>
    <w:p w:rsidR="000F4095" w:rsidRPr="00C83DF5" w:rsidRDefault="000F4095" w:rsidP="00001AF7">
      <w:pPr>
        <w:ind w:left="360"/>
        <w:rPr>
          <w:lang w:val="de-DE"/>
        </w:rPr>
      </w:pPr>
      <w:r w:rsidRPr="00C83DF5">
        <w:rPr>
          <w:b/>
          <w:szCs w:val="18"/>
          <w:lang w:val="de-DE"/>
        </w:rPr>
        <w:t>Haftungsbeschränkung</w:t>
      </w:r>
      <w:r w:rsidRPr="00A0761E">
        <w:rPr>
          <w:b/>
          <w:bCs/>
          <w:szCs w:val="18"/>
          <w:lang w:val="de-DE"/>
        </w:rPr>
        <w:t>.</w:t>
      </w:r>
      <w:r w:rsidR="00E71F46" w:rsidRPr="00C83DF5">
        <w:rPr>
          <w:szCs w:val="18"/>
          <w:lang w:val="de-DE"/>
        </w:rPr>
        <w:t xml:space="preserve"> </w:t>
      </w:r>
      <w:r w:rsidRPr="00C83DF5">
        <w:rPr>
          <w:szCs w:val="18"/>
          <w:lang w:val="de-DE"/>
        </w:rPr>
        <w:t>Die Haftung von Microsoft für direkte Schäden ist im größtmöglichen durch das anwendbare Recht zugelassenen Umfang auf die Beträge begrenzt, die der Kunde in den 12 Monaten vor dem</w:t>
      </w:r>
      <w:r w:rsidR="00001AF7">
        <w:rPr>
          <w:szCs w:val="18"/>
          <w:lang w:val="de-DE"/>
        </w:rPr>
        <w:t> </w:t>
      </w:r>
      <w:r w:rsidRPr="00C83DF5">
        <w:rPr>
          <w:szCs w:val="18"/>
          <w:lang w:val="de-DE"/>
        </w:rPr>
        <w:t>Anspruch für die Services, die Grund für den Anspruch sind, gezahlt hat.</w:t>
      </w:r>
      <w:r w:rsidR="00E71F46" w:rsidRPr="00C83DF5">
        <w:rPr>
          <w:szCs w:val="18"/>
          <w:lang w:val="de-DE"/>
        </w:rPr>
        <w:t xml:space="preserve"> </w:t>
      </w:r>
    </w:p>
    <w:p w:rsidR="000F4095" w:rsidRPr="00C83DF5" w:rsidRDefault="000F4095" w:rsidP="000F4095">
      <w:pPr>
        <w:ind w:left="360"/>
        <w:rPr>
          <w:lang w:val="de-DE"/>
        </w:rPr>
      </w:pPr>
    </w:p>
    <w:p w:rsidR="000F4095" w:rsidRPr="00C83DF5" w:rsidRDefault="000F4095" w:rsidP="00001AF7">
      <w:pPr>
        <w:ind w:left="360"/>
        <w:rPr>
          <w:lang w:val="de-DE"/>
        </w:rPr>
      </w:pPr>
      <w:r w:rsidRPr="00C83DF5">
        <w:rPr>
          <w:b/>
          <w:szCs w:val="18"/>
          <w:lang w:val="de-DE"/>
        </w:rPr>
        <w:t>KEINE HAFTUNG FÜR BESTIMMTE SCHADENERSATZANSPRÜCHE</w:t>
      </w:r>
      <w:r w:rsidRPr="00A0761E">
        <w:rPr>
          <w:b/>
          <w:bCs/>
          <w:szCs w:val="18"/>
          <w:lang w:val="de-DE"/>
        </w:rPr>
        <w:t>.</w:t>
      </w:r>
      <w:r w:rsidR="00E71F46" w:rsidRPr="00C83DF5">
        <w:rPr>
          <w:szCs w:val="18"/>
          <w:lang w:val="de-DE"/>
        </w:rPr>
        <w:t xml:space="preserve"> </w:t>
      </w:r>
      <w:r w:rsidRPr="00C83DF5">
        <w:rPr>
          <w:szCs w:val="18"/>
          <w:lang w:val="de-DE"/>
        </w:rPr>
        <w:t>IM GRÖSSTMÖGLICHEN DURCH DAS</w:t>
      </w:r>
      <w:r w:rsidR="00001AF7">
        <w:rPr>
          <w:szCs w:val="18"/>
          <w:lang w:val="de-DE"/>
        </w:rPr>
        <w:t> </w:t>
      </w:r>
      <w:r w:rsidRPr="00C83DF5">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E71F46" w:rsidRPr="00C83DF5">
        <w:rPr>
          <w:szCs w:val="18"/>
          <w:lang w:val="de-DE"/>
        </w:rPr>
        <w:t xml:space="preserve"> </w:t>
      </w:r>
      <w:r w:rsidRPr="00C83DF5">
        <w:rPr>
          <w:szCs w:val="18"/>
          <w:lang w:val="de-DE"/>
        </w:rPr>
        <w:t>DIESER HAFTUNGSAUSSCHLUSS GILT NICHT FÜR DIE GEGENSEITIGE HAFTUNG BEIDER PARTEIEN FÜR VERLETZUNGEN VON VERTRAULICHKEITSVERPFLICHTUNGEN ODER VON URHEBERRECHTEN/GEWERBLICHEN SCHUTZRECHTEN DER JEWEILS ANDEREN PARTEI.</w:t>
      </w:r>
    </w:p>
    <w:p w:rsidR="000F4095" w:rsidRPr="00C83DF5" w:rsidRDefault="000F4095" w:rsidP="000F4095">
      <w:pPr>
        <w:ind w:left="360" w:hanging="360"/>
        <w:jc w:val="both"/>
        <w:rPr>
          <w:lang w:val="de-DE"/>
        </w:rPr>
      </w:pPr>
    </w:p>
    <w:p w:rsidR="000F4095" w:rsidRPr="00C83DF5" w:rsidRDefault="000F4095" w:rsidP="00001AF7">
      <w:pPr>
        <w:ind w:left="360"/>
        <w:rPr>
          <w:lang w:val="de-DE"/>
        </w:rPr>
      </w:pPr>
      <w:r w:rsidRPr="00C83DF5">
        <w:rPr>
          <w:b/>
          <w:szCs w:val="18"/>
          <w:lang w:val="de-DE"/>
        </w:rPr>
        <w:t>Anwendung</w:t>
      </w:r>
      <w:r w:rsidRPr="00A0761E">
        <w:rPr>
          <w:b/>
          <w:bCs/>
          <w:szCs w:val="18"/>
          <w:lang w:val="de-DE"/>
        </w:rPr>
        <w:t>.</w:t>
      </w:r>
      <w:r w:rsidR="00E71F46" w:rsidRPr="00C83DF5">
        <w:rPr>
          <w:szCs w:val="18"/>
          <w:lang w:val="de-DE"/>
        </w:rPr>
        <w:t xml:space="preserve"> </w:t>
      </w:r>
      <w:r w:rsidRPr="00C83DF5">
        <w:rPr>
          <w:szCs w:val="18"/>
          <w:lang w:val="de-DE"/>
        </w:rPr>
        <w:t>Außer wie ausdrücklich in diesem Dokument dargelegt, gelten die in diesem Vertrag genannten</w:t>
      </w:r>
      <w:r w:rsidR="00001AF7">
        <w:rPr>
          <w:szCs w:val="18"/>
          <w:lang w:val="de-DE"/>
        </w:rPr>
        <w:t> </w:t>
      </w:r>
      <w:r w:rsidRPr="00C83DF5">
        <w:rPr>
          <w:szCs w:val="18"/>
          <w:lang w:val="de-DE"/>
        </w:rPr>
        <w:t>Beschränkungen und Ausschlüsse der Haftung für Schäden unabhängig davon, ob die Haftung auf</w:t>
      </w:r>
      <w:r w:rsidR="00001AF7">
        <w:rPr>
          <w:szCs w:val="18"/>
          <w:lang w:val="de-DE"/>
        </w:rPr>
        <w:t> </w:t>
      </w:r>
      <w:r w:rsidRPr="00C83DF5">
        <w:rPr>
          <w:szCs w:val="18"/>
          <w:lang w:val="de-DE"/>
        </w:rPr>
        <w:t>Vertragsverletzung, unerlaubter Handlung (einschließlich Fahrlässigkeit), verschuldensunabhängiger Haftung,</w:t>
      </w:r>
      <w:r w:rsidR="00001AF7">
        <w:rPr>
          <w:szCs w:val="18"/>
          <w:lang w:val="de-DE"/>
        </w:rPr>
        <w:t> </w:t>
      </w:r>
      <w:r w:rsidRPr="00C83DF5">
        <w:rPr>
          <w:szCs w:val="18"/>
          <w:lang w:val="de-DE"/>
        </w:rPr>
        <w:t>Verletzung von Gewährleistungen oder auf einem anderen Rechtsgrund beruht.</w:t>
      </w:r>
    </w:p>
    <w:p w:rsidR="00023FE7" w:rsidRPr="00C83DF5" w:rsidRDefault="00023FE7">
      <w:pPr>
        <w:rPr>
          <w:lang w:val="de-DE"/>
        </w:rPr>
      </w:pPr>
      <w:r w:rsidRPr="00C83DF5">
        <w:rPr>
          <w:lang w:val="de-DE"/>
        </w:rPr>
        <w:br w:type="page"/>
      </w:r>
    </w:p>
    <w:p w:rsidR="008A1637" w:rsidRPr="008B3D04" w:rsidRDefault="008A1637" w:rsidP="00B0065F">
      <w:pPr>
        <w:pStyle w:val="Heading1"/>
        <w:rPr>
          <w:lang w:val="de-DE"/>
        </w:rPr>
      </w:pPr>
      <w:bookmarkStart w:id="916" w:name="_Toc336338249"/>
      <w:bookmarkStart w:id="917" w:name="_Toc370983358"/>
      <w:r w:rsidRPr="008B3D04">
        <w:rPr>
          <w:lang w:val="de-DE"/>
        </w:rPr>
        <w:lastRenderedPageBreak/>
        <w:t>ABSCHNITT 9 – Zusätzliche Bestimmungen</w:t>
      </w:r>
      <w:bookmarkEnd w:id="916"/>
      <w:bookmarkEnd w:id="917"/>
    </w:p>
    <w:p w:rsidR="008A1637" w:rsidRPr="008B3D04" w:rsidRDefault="008A1637" w:rsidP="00B0065F">
      <w:pPr>
        <w:pStyle w:val="Heading1"/>
        <w:rPr>
          <w:sz w:val="18"/>
          <w:lang w:val="de-DE"/>
        </w:rPr>
      </w:pPr>
      <w:r w:rsidRPr="00C83DF5">
        <w:rPr>
          <w:lang w:val="de-DE"/>
        </w:rPr>
        <w:t xml:space="preserve"> </w:t>
      </w:r>
    </w:p>
    <w:p w:rsidR="008A1637" w:rsidRPr="008B3D04" w:rsidRDefault="008A1637" w:rsidP="00EA26D9">
      <w:pPr>
        <w:pStyle w:val="Heading3"/>
        <w:ind w:right="720"/>
        <w:rPr>
          <w:rFonts w:ascii="Tahoma" w:eastAsia="Times New Roman" w:hAnsi="Tahoma" w:cs="Tahoma"/>
          <w:color w:val="000000"/>
          <w:sz w:val="24"/>
          <w:szCs w:val="22"/>
          <w:lang w:val="de-DE"/>
        </w:rPr>
      </w:pPr>
      <w:bookmarkStart w:id="918" w:name="_Toc323159781"/>
      <w:bookmarkStart w:id="919" w:name="_Toc336338250"/>
      <w:bookmarkStart w:id="920" w:name="_Toc370983359"/>
      <w:r w:rsidRPr="008B3D04">
        <w:rPr>
          <w:rFonts w:ascii="Tahoma" w:eastAsia="Times New Roman" w:hAnsi="Tahoma" w:cs="Tahoma"/>
          <w:color w:val="000000"/>
          <w:sz w:val="24"/>
          <w:szCs w:val="22"/>
          <w:lang w:val="de-DE"/>
        </w:rPr>
        <w:t xml:space="preserve">Client-Zugriffslizenzen (Client Access Licenses, CALs) und </w:t>
      </w:r>
      <w:r w:rsidR="00EA26D9" w:rsidRPr="008B3D04">
        <w:rPr>
          <w:rFonts w:ascii="Tahoma" w:eastAsia="Times New Roman" w:hAnsi="Tahoma" w:cs="Tahoma"/>
          <w:color w:val="000000"/>
          <w:sz w:val="24"/>
          <w:szCs w:val="22"/>
          <w:lang w:val="de-DE"/>
        </w:rPr>
        <w:br/>
      </w:r>
      <w:r w:rsidRPr="008B3D04">
        <w:rPr>
          <w:rFonts w:ascii="Tahoma" w:eastAsia="Times New Roman" w:hAnsi="Tahoma" w:cs="Tahoma"/>
          <w:color w:val="000000"/>
          <w:sz w:val="24"/>
          <w:szCs w:val="22"/>
          <w:lang w:val="de-DE"/>
        </w:rPr>
        <w:t>Client-Management-Lizenzen (MLs)</w:t>
      </w:r>
      <w:bookmarkEnd w:id="918"/>
      <w:bookmarkEnd w:id="919"/>
      <w:bookmarkEnd w:id="920"/>
    </w:p>
    <w:p w:rsidR="008A1637" w:rsidRPr="008B3D04" w:rsidRDefault="008A1637" w:rsidP="008A1637">
      <w:pPr>
        <w:pStyle w:val="AppendixFlushBulletedList"/>
        <w:tabs>
          <w:tab w:val="clear" w:pos="360"/>
        </w:tabs>
        <w:ind w:left="720" w:right="720" w:firstLine="0"/>
        <w:rPr>
          <w:rFonts w:ascii="Tahoma" w:hAnsi="Tahoma" w:cs="Tahoma"/>
          <w:lang w:val="de-DE"/>
        </w:rPr>
      </w:pPr>
    </w:p>
    <w:p w:rsidR="008A1637" w:rsidRPr="00C83DF5" w:rsidRDefault="008A1637" w:rsidP="00EE3168">
      <w:pPr>
        <w:pStyle w:val="AppendixFlushBulletedList"/>
        <w:numPr>
          <w:ilvl w:val="0"/>
          <w:numId w:val="79"/>
        </w:numPr>
        <w:ind w:left="1440"/>
        <w:rPr>
          <w:lang w:val="de-DE"/>
        </w:rPr>
      </w:pPr>
      <w:r w:rsidRPr="00C83DF5">
        <w:rPr>
          <w:rFonts w:ascii="Tahoma" w:hAnsi="Tahoma" w:cs="Tahoma"/>
          <w:b/>
          <w:bCs/>
          <w:color w:val="000000"/>
          <w:sz w:val="18"/>
          <w:szCs w:val="18"/>
          <w:lang w:val="de-DE"/>
        </w:rPr>
        <w:t>Wechsel zwischen Nutzer- und Geräte-CALs</w:t>
      </w:r>
    </w:p>
    <w:p w:rsidR="008A1637" w:rsidRPr="00C83DF5" w:rsidRDefault="008A1637" w:rsidP="00EE3168">
      <w:pPr>
        <w:pStyle w:val="AppendixBodyText"/>
        <w:numPr>
          <w:ilvl w:val="0"/>
          <w:numId w:val="80"/>
        </w:numPr>
        <w:spacing w:afterLines="60" w:after="144"/>
        <w:ind w:left="1800"/>
        <w:rPr>
          <w:lang w:val="de-DE"/>
        </w:rPr>
      </w:pPr>
      <w:r w:rsidRPr="00C83DF5">
        <w:rPr>
          <w:rFonts w:ascii="Tahoma" w:hAnsi="Tahoma" w:cs="Tahoma"/>
          <w:color w:val="000000"/>
          <w:sz w:val="18"/>
          <w:szCs w:val="18"/>
          <w:lang w:val="de-DE"/>
        </w:rPr>
        <w:t>Kunden mit aktueller Software Assurance für CALs können bei Verlängerung von Software Assurance zwischen Nutzer und Gerät wechseln.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 xml:space="preserve">Durch diesen Wechsel ändert sich die </w:t>
      </w:r>
      <w:r w:rsidR="00EE3168">
        <w:rPr>
          <w:rFonts w:ascii="Tahoma" w:hAnsi="Tahoma" w:cs="Tahoma"/>
          <w:color w:val="000000"/>
          <w:sz w:val="18"/>
          <w:szCs w:val="18"/>
          <w:lang w:val="de-DE"/>
        </w:rPr>
        <w:br/>
      </w:r>
      <w:r w:rsidRPr="00C83DF5">
        <w:rPr>
          <w:rFonts w:ascii="Tahoma" w:hAnsi="Tahoma" w:cs="Tahoma"/>
          <w:color w:val="000000"/>
          <w:sz w:val="18"/>
          <w:szCs w:val="18"/>
          <w:lang w:val="de-DE"/>
        </w:rPr>
        <w:t xml:space="preserve">CAL-Edition (also Standard zu Enterprise) nicht. Weitere Informationen finden Sie in den Produkthinweisen für die jeweiligen Produkte </w:t>
      </w:r>
    </w:p>
    <w:p w:rsidR="008A1637" w:rsidRPr="00C83DF5" w:rsidRDefault="008A1637" w:rsidP="00EE3168">
      <w:pPr>
        <w:pStyle w:val="AppendixFlushBulletedList"/>
        <w:numPr>
          <w:ilvl w:val="0"/>
          <w:numId w:val="79"/>
        </w:numPr>
        <w:ind w:left="1440"/>
        <w:rPr>
          <w:lang w:val="de-DE"/>
        </w:rPr>
      </w:pPr>
      <w:r w:rsidRPr="00C83DF5">
        <w:rPr>
          <w:rFonts w:ascii="Tahoma" w:hAnsi="Tahoma" w:cs="Tahoma"/>
          <w:b/>
          <w:bCs/>
          <w:color w:val="000000"/>
          <w:sz w:val="18"/>
          <w:szCs w:val="18"/>
          <w:lang w:val="de-DE"/>
        </w:rPr>
        <w:t>Wechsel zwischen Nutzer- und OSE-Client-MLs</w:t>
      </w:r>
    </w:p>
    <w:p w:rsidR="008A1637" w:rsidRPr="00C83DF5" w:rsidRDefault="008A1637" w:rsidP="00EE3168">
      <w:pPr>
        <w:pStyle w:val="AppendixBodyText"/>
        <w:numPr>
          <w:ilvl w:val="0"/>
          <w:numId w:val="80"/>
        </w:numPr>
        <w:spacing w:afterLines="60" w:after="144"/>
        <w:ind w:left="1800"/>
        <w:rPr>
          <w:lang w:val="de-DE"/>
        </w:rPr>
      </w:pPr>
      <w:r w:rsidRPr="00C83DF5">
        <w:rPr>
          <w:rFonts w:ascii="Tahoma" w:hAnsi="Tahoma" w:cs="Tahoma"/>
          <w:color w:val="000000"/>
          <w:sz w:val="18"/>
          <w:szCs w:val="18"/>
          <w:lang w:val="de-DE"/>
        </w:rPr>
        <w:t>Kunden mit aktueller Software Assurance für Client-MLs können bei Verlängerung von Software Assurance zwischen Nutzer und OSE wechseln. Weitere Einzelheiten finden Sie in</w:t>
      </w:r>
      <w:r w:rsidR="00EE3168">
        <w:rPr>
          <w:rFonts w:ascii="Tahoma" w:hAnsi="Tahoma" w:cs="Tahoma"/>
          <w:color w:val="000000"/>
          <w:sz w:val="18"/>
          <w:szCs w:val="18"/>
          <w:lang w:val="de-DE"/>
        </w:rPr>
        <w:t> </w:t>
      </w:r>
      <w:r w:rsidRPr="00C83DF5">
        <w:rPr>
          <w:rFonts w:ascii="Tahoma" w:hAnsi="Tahoma" w:cs="Tahoma"/>
          <w:color w:val="000000"/>
          <w:sz w:val="18"/>
          <w:szCs w:val="18"/>
          <w:lang w:val="de-DE"/>
        </w:rPr>
        <w:t>den</w:t>
      </w:r>
      <w:r w:rsidR="00EE3168">
        <w:rPr>
          <w:rFonts w:ascii="Tahoma" w:hAnsi="Tahoma" w:cs="Tahoma"/>
          <w:color w:val="000000"/>
          <w:sz w:val="18"/>
          <w:szCs w:val="18"/>
          <w:lang w:val="de-DE"/>
        </w:rPr>
        <w:t> </w:t>
      </w:r>
      <w:r w:rsidRPr="00C83DF5">
        <w:rPr>
          <w:rFonts w:ascii="Tahoma" w:hAnsi="Tahoma" w:cs="Tahoma"/>
          <w:color w:val="000000"/>
          <w:sz w:val="18"/>
          <w:szCs w:val="18"/>
          <w:lang w:val="de-DE"/>
        </w:rPr>
        <w:t xml:space="preserve">Produkthinweisen für die jeweiligen Produkte. </w:t>
      </w:r>
    </w:p>
    <w:p w:rsidR="008A1637" w:rsidRPr="00C83DF5" w:rsidRDefault="008A1637" w:rsidP="00EE3168">
      <w:pPr>
        <w:pStyle w:val="AppendixFlushBulletedList"/>
        <w:numPr>
          <w:ilvl w:val="0"/>
          <w:numId w:val="79"/>
        </w:numPr>
        <w:ind w:left="1440"/>
      </w:pPr>
      <w:r w:rsidRPr="00C83DF5">
        <w:rPr>
          <w:rFonts w:ascii="Tahoma" w:hAnsi="Tahoma" w:cs="Tahoma"/>
          <w:b/>
          <w:bCs/>
          <w:color w:val="000000"/>
          <w:sz w:val="18"/>
          <w:szCs w:val="18"/>
        </w:rPr>
        <w:t>Bei Verlängerung</w:t>
      </w:r>
    </w:p>
    <w:p w:rsidR="008A1637" w:rsidRPr="00C83DF5" w:rsidRDefault="008A1637" w:rsidP="00EE3168">
      <w:pPr>
        <w:pStyle w:val="AppendixBodyText"/>
        <w:numPr>
          <w:ilvl w:val="0"/>
          <w:numId w:val="80"/>
        </w:numPr>
        <w:spacing w:afterLines="60" w:after="144"/>
        <w:ind w:left="1800"/>
        <w:rPr>
          <w:lang w:val="de-DE"/>
        </w:rPr>
      </w:pPr>
      <w:r w:rsidRPr="00C83DF5">
        <w:rPr>
          <w:rFonts w:ascii="Tahoma" w:hAnsi="Tahoma" w:cs="Tahoma"/>
          <w:color w:val="000000"/>
          <w:sz w:val="18"/>
          <w:szCs w:val="18"/>
          <w:lang w:val="de-DE"/>
        </w:rPr>
        <w:t>Wenn sowohl Nutzer- als auch Geräte-CALs verfügbar sind, können Kunden Software Assurance für einen der CAL-Typen verlängern. Die Produktbenutzungsrechte für den CAL-Typ, für den Software Assurance bestellt wird, bestimmen, wie die CALs zugewiesen und genutzt werden können.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Konzernbeitrittskunden, die sich für die Bestellung von Software Assurance für Nutzer-CALs entscheiden, sind berechtigt, CALs basierend auf ihrer Anzahl der</w:t>
      </w:r>
      <w:r w:rsidR="00EE3168">
        <w:rPr>
          <w:rFonts w:ascii="Tahoma" w:hAnsi="Tahoma" w:cs="Tahoma"/>
          <w:color w:val="000000"/>
          <w:sz w:val="18"/>
          <w:szCs w:val="18"/>
          <w:lang w:val="de-DE"/>
        </w:rPr>
        <w:t> </w:t>
      </w:r>
      <w:r w:rsidRPr="00C83DF5">
        <w:rPr>
          <w:rFonts w:ascii="Tahoma" w:hAnsi="Tahoma" w:cs="Tahoma"/>
          <w:color w:val="000000"/>
          <w:sz w:val="18"/>
          <w:szCs w:val="18"/>
          <w:lang w:val="de-DE"/>
        </w:rPr>
        <w:t>Nutzer zu erwerben.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Weitere Informationen finden Sie in den Hinweisen für die jeweiligen</w:t>
      </w:r>
      <w:r w:rsidR="00EE3168">
        <w:rPr>
          <w:rFonts w:ascii="Tahoma" w:hAnsi="Tahoma" w:cs="Tahoma"/>
          <w:color w:val="000000"/>
          <w:sz w:val="18"/>
          <w:szCs w:val="18"/>
          <w:lang w:val="de-DE"/>
        </w:rPr>
        <w:t> </w:t>
      </w:r>
      <w:r w:rsidRPr="00C83DF5">
        <w:rPr>
          <w:rFonts w:ascii="Tahoma" w:hAnsi="Tahoma" w:cs="Tahoma"/>
          <w:color w:val="000000"/>
          <w:sz w:val="18"/>
          <w:szCs w:val="18"/>
          <w:lang w:val="de-DE"/>
        </w:rPr>
        <w:t xml:space="preserve">Produkte. </w:t>
      </w:r>
    </w:p>
    <w:p w:rsidR="008A1637" w:rsidRPr="00C83DF5" w:rsidRDefault="008A1637" w:rsidP="00EE3168">
      <w:pPr>
        <w:pStyle w:val="AppendixFlushBulletedList"/>
        <w:numPr>
          <w:ilvl w:val="0"/>
          <w:numId w:val="79"/>
        </w:numPr>
        <w:ind w:left="1440"/>
      </w:pPr>
      <w:r w:rsidRPr="00C83DF5">
        <w:rPr>
          <w:rFonts w:ascii="Tahoma" w:hAnsi="Tahoma" w:cs="Tahoma"/>
          <w:b/>
          <w:bCs/>
          <w:color w:val="000000"/>
          <w:sz w:val="18"/>
          <w:szCs w:val="18"/>
        </w:rPr>
        <w:t>Überschüssige CALs</w:t>
      </w:r>
    </w:p>
    <w:p w:rsidR="008A1637" w:rsidRPr="00C83DF5" w:rsidRDefault="008A1637" w:rsidP="00EE3168">
      <w:pPr>
        <w:pStyle w:val="AppendixBodyText"/>
        <w:numPr>
          <w:ilvl w:val="0"/>
          <w:numId w:val="80"/>
        </w:numPr>
        <w:spacing w:afterLines="60" w:after="144"/>
        <w:ind w:left="1800"/>
        <w:rPr>
          <w:lang w:val="de-DE"/>
        </w:rPr>
      </w:pPr>
      <w:r w:rsidRPr="00C83DF5">
        <w:rPr>
          <w:rFonts w:ascii="Tahoma" w:hAnsi="Tahoma" w:cs="Tahoma"/>
          <w:color w:val="000000"/>
          <w:sz w:val="18"/>
          <w:szCs w:val="18"/>
          <w:lang w:val="de-DE"/>
        </w:rPr>
        <w:t>Der wie oben beschrieben zulässige Wechsel zwischen Nutzer- und Geräte-CALs kann zu überschüssigen CALs führen. Kunden können überschüssige CALs mit zunehmender Anzahl von Nutzern oder Geräten neu zuweisen. Zum Verlängerungszeitpunkt können Kunden sich dafür entscheiden, Software Assurance für überschüssige CALs beizubehalten. Kunden können</w:t>
      </w:r>
      <w:r w:rsidR="00EE3168">
        <w:rPr>
          <w:rFonts w:ascii="Tahoma" w:hAnsi="Tahoma" w:cs="Tahoma"/>
          <w:color w:val="000000"/>
          <w:sz w:val="18"/>
          <w:szCs w:val="18"/>
          <w:lang w:val="de-DE"/>
        </w:rPr>
        <w:t> </w:t>
      </w:r>
      <w:r w:rsidRPr="00C83DF5">
        <w:rPr>
          <w:rFonts w:ascii="Tahoma" w:hAnsi="Tahoma" w:cs="Tahoma"/>
          <w:color w:val="000000"/>
          <w:sz w:val="18"/>
          <w:szCs w:val="18"/>
          <w:lang w:val="de-DE"/>
        </w:rPr>
        <w:t>Software Assurance für überschüssige CALs, deren Software Assurance abgelaufen ist,</w:t>
      </w:r>
      <w:r w:rsidR="00EE3168">
        <w:rPr>
          <w:rFonts w:ascii="Tahoma" w:hAnsi="Tahoma" w:cs="Tahoma"/>
          <w:color w:val="000000"/>
          <w:sz w:val="18"/>
          <w:szCs w:val="18"/>
          <w:lang w:val="de-DE"/>
        </w:rPr>
        <w:t> </w:t>
      </w:r>
      <w:r w:rsidRPr="00C83DF5">
        <w:rPr>
          <w:rFonts w:ascii="Tahoma" w:hAnsi="Tahoma" w:cs="Tahoma"/>
          <w:color w:val="000000"/>
          <w:sz w:val="18"/>
          <w:szCs w:val="18"/>
          <w:lang w:val="de-DE"/>
        </w:rPr>
        <w:t xml:space="preserve">nicht zu einem späteren Zeitpunkt verlängern. </w:t>
      </w:r>
    </w:p>
    <w:p w:rsidR="008A1637" w:rsidRPr="00C83DF5" w:rsidRDefault="008A1637" w:rsidP="00EE3168">
      <w:pPr>
        <w:pStyle w:val="AppendixFlushBulletedList"/>
        <w:numPr>
          <w:ilvl w:val="0"/>
          <w:numId w:val="79"/>
        </w:numPr>
        <w:ind w:left="1440"/>
      </w:pPr>
      <w:r w:rsidRPr="00C83DF5">
        <w:rPr>
          <w:rFonts w:ascii="Tahoma" w:hAnsi="Tahoma" w:cs="Tahoma"/>
          <w:b/>
          <w:bCs/>
          <w:color w:val="000000"/>
          <w:sz w:val="18"/>
          <w:szCs w:val="18"/>
        </w:rPr>
        <w:t>Überschüssige MLs</w:t>
      </w:r>
    </w:p>
    <w:p w:rsidR="008A1637" w:rsidRPr="00C83DF5" w:rsidRDefault="008A1637" w:rsidP="00EE3168">
      <w:pPr>
        <w:pStyle w:val="AppendixBodyText"/>
        <w:numPr>
          <w:ilvl w:val="0"/>
          <w:numId w:val="80"/>
        </w:numPr>
        <w:spacing w:afterLines="60" w:after="144"/>
        <w:ind w:left="1800"/>
        <w:rPr>
          <w:lang w:val="de-DE"/>
        </w:rPr>
      </w:pPr>
      <w:r w:rsidRPr="00C83DF5">
        <w:rPr>
          <w:rFonts w:ascii="Tahoma" w:hAnsi="Tahoma" w:cs="Tahoma"/>
          <w:color w:val="000000"/>
          <w:sz w:val="18"/>
          <w:szCs w:val="18"/>
          <w:lang w:val="de-DE"/>
        </w:rPr>
        <w:t xml:space="preserve">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rsidR="008A1637" w:rsidRPr="00C83DF5" w:rsidRDefault="008A1637" w:rsidP="00EE3168">
      <w:pPr>
        <w:pStyle w:val="AppendixFlushBulletedList"/>
        <w:numPr>
          <w:ilvl w:val="0"/>
          <w:numId w:val="79"/>
        </w:numPr>
        <w:ind w:left="1440"/>
      </w:pPr>
      <w:r w:rsidRPr="00C83DF5">
        <w:rPr>
          <w:rFonts w:ascii="Tahoma" w:hAnsi="Tahoma" w:cs="Tahoma"/>
          <w:b/>
          <w:bCs/>
          <w:color w:val="000000"/>
          <w:sz w:val="18"/>
          <w:szCs w:val="18"/>
        </w:rPr>
        <w:t>Nachweis für Lizenzen</w:t>
      </w:r>
    </w:p>
    <w:p w:rsidR="007022C1" w:rsidRPr="00C83DF5" w:rsidRDefault="008A1637" w:rsidP="00EE3168">
      <w:pPr>
        <w:pStyle w:val="AppendixBodyText"/>
        <w:numPr>
          <w:ilvl w:val="0"/>
          <w:numId w:val="80"/>
        </w:numPr>
        <w:spacing w:after="0"/>
        <w:ind w:left="1800"/>
        <w:rPr>
          <w:lang w:val="de-DE"/>
        </w:rPr>
      </w:pPr>
      <w:r w:rsidRPr="00C83DF5">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w:t>
      </w:r>
      <w:r w:rsidR="00EE3168">
        <w:rPr>
          <w:rFonts w:ascii="Tahoma" w:hAnsi="Tahoma" w:cs="Tahoma"/>
          <w:color w:val="000000"/>
          <w:sz w:val="18"/>
          <w:szCs w:val="18"/>
          <w:lang w:val="de-DE"/>
        </w:rPr>
        <w:t> </w:t>
      </w:r>
      <w:r w:rsidRPr="00C83DF5">
        <w:rPr>
          <w:rFonts w:ascii="Tahoma" w:hAnsi="Tahoma" w:cs="Tahoma"/>
          <w:color w:val="000000"/>
          <w:sz w:val="18"/>
          <w:szCs w:val="18"/>
          <w:lang w:val="de-DE"/>
        </w:rPr>
        <w:t>Recht, zu Nutzer-MLs zu migrieren und diese zu nutzen, wird durch diese Produktliste, die</w:t>
      </w:r>
      <w:r w:rsidR="00EE3168">
        <w:rPr>
          <w:rFonts w:ascii="Tahoma" w:hAnsi="Tahoma" w:cs="Tahoma"/>
          <w:color w:val="000000"/>
          <w:sz w:val="18"/>
          <w:szCs w:val="18"/>
          <w:lang w:val="de-DE"/>
        </w:rPr>
        <w:t> </w:t>
      </w:r>
      <w:r w:rsidRPr="00C83DF5">
        <w:rPr>
          <w:rFonts w:ascii="Tahoma" w:hAnsi="Tahoma" w:cs="Tahoma"/>
          <w:color w:val="000000"/>
          <w:sz w:val="18"/>
          <w:szCs w:val="18"/>
          <w:lang w:val="de-DE"/>
        </w:rPr>
        <w:t>Software Assurance-Unterlagen des Kunden und die zugrunde liegenden MLs belegt.</w:t>
      </w:r>
    </w:p>
    <w:p w:rsidR="007022C1" w:rsidRPr="008B3D04" w:rsidRDefault="007022C1" w:rsidP="00944EE1">
      <w:pPr>
        <w:pStyle w:val="AppendixBodyText"/>
        <w:spacing w:after="0"/>
        <w:ind w:right="720"/>
        <w:rPr>
          <w:rFonts w:ascii="Tahoma" w:hAnsi="Tahoma" w:cs="Tahoma"/>
          <w:color w:val="000000"/>
          <w:sz w:val="18"/>
          <w:szCs w:val="18"/>
          <w:lang w:val="de-DE"/>
        </w:rPr>
      </w:pPr>
    </w:p>
    <w:p w:rsidR="008A1637" w:rsidRPr="00C83DF5" w:rsidRDefault="008A1637" w:rsidP="008A1637">
      <w:pPr>
        <w:pStyle w:val="Heading3"/>
        <w:ind w:right="720"/>
        <w:rPr>
          <w:lang w:val="de-DE"/>
        </w:rPr>
      </w:pPr>
      <w:bookmarkStart w:id="921" w:name="_Toc323159782"/>
      <w:bookmarkStart w:id="922" w:name="_Toc336338251"/>
      <w:bookmarkStart w:id="923" w:name="_Toc370983360"/>
      <w:r w:rsidRPr="00C83DF5">
        <w:rPr>
          <w:rFonts w:ascii="Tahoma" w:hAnsi="Tahoma" w:cs="Tahoma"/>
          <w:sz w:val="24"/>
          <w:szCs w:val="22"/>
          <w:lang w:val="de-DE"/>
        </w:rPr>
        <w:t>Beschränkungen durch „EI Controls“</w:t>
      </w:r>
      <w:bookmarkEnd w:id="921"/>
      <w:bookmarkEnd w:id="922"/>
      <w:bookmarkEnd w:id="923"/>
    </w:p>
    <w:p w:rsidR="008A1637" w:rsidRPr="008B3D04" w:rsidRDefault="008A1637" w:rsidP="008A1637">
      <w:pPr>
        <w:ind w:right="720"/>
        <w:rPr>
          <w:lang w:val="de-DE"/>
        </w:rPr>
      </w:pPr>
    </w:p>
    <w:p w:rsidR="008A1637" w:rsidRPr="00C83DF5" w:rsidRDefault="008A1637" w:rsidP="00E240C7">
      <w:pPr>
        <w:pStyle w:val="AppendixBodyText"/>
        <w:ind w:right="720"/>
        <w:rPr>
          <w:lang w:val="de-DE"/>
        </w:rPr>
      </w:pPr>
      <w:r w:rsidRPr="008B3D04">
        <w:rPr>
          <w:rFonts w:ascii="Tahoma" w:hAnsi="Tahoma" w:cs="Tahoma"/>
          <w:sz w:val="18"/>
          <w:lang w:val="de-DE"/>
        </w:rPr>
        <w:t>Die Ausfuhr bestimmter Microsoft-Produkte aus den Vereinigten Staaten wird durch den Abschnitt „EI</w:t>
      </w:r>
      <w:r w:rsidR="00E240C7" w:rsidRPr="008B3D04">
        <w:rPr>
          <w:rFonts w:ascii="Tahoma" w:hAnsi="Tahoma" w:cs="Tahoma"/>
          <w:sz w:val="18"/>
          <w:lang w:val="de-DE"/>
        </w:rPr>
        <w:t> </w:t>
      </w:r>
      <w:r w:rsidRPr="008B3D04">
        <w:rPr>
          <w:rFonts w:ascii="Tahoma" w:hAnsi="Tahoma" w:cs="Tahoma"/>
          <w:sz w:val="18"/>
          <w:lang w:val="de-DE"/>
        </w:rPr>
        <w:t xml:space="preserve">Controls“ der Export Administration Regulations (EAR, 15 CFR 730-744) des US-Handelsministeriums, Bureau of Export Administration (BXA), geregelt. </w:t>
      </w:r>
      <w:r w:rsidRPr="00C83DF5">
        <w:rPr>
          <w:rFonts w:ascii="Tahoma" w:hAnsi="Tahoma" w:cs="Tahoma"/>
          <w:sz w:val="18"/>
          <w:lang w:val="de-DE"/>
        </w:rPr>
        <w:t xml:space="preserve">Weitere Informationen erhalten Sie unter: </w:t>
      </w:r>
      <w:hyperlink r:id="rId32" w:history="1">
        <w:r w:rsidRPr="00C83DF5">
          <w:rPr>
            <w:rStyle w:val="Hyperlink"/>
            <w:rFonts w:ascii="Tahoma" w:hAnsi="Tahoma" w:cs="Tahoma"/>
            <w:sz w:val="18"/>
            <w:lang w:val="de-DE"/>
          </w:rPr>
          <w:t>www.microsoft.com/products/exporting/basics.htm</w:t>
        </w:r>
      </w:hyperlink>
    </w:p>
    <w:p w:rsidR="008A1637" w:rsidRPr="008B3D04" w:rsidRDefault="008A1637" w:rsidP="008A1637">
      <w:pPr>
        <w:rPr>
          <w:lang w:val="de-DE" w:eastAsia="ja-JP"/>
        </w:rPr>
      </w:pPr>
    </w:p>
    <w:p w:rsidR="00E240C7" w:rsidRPr="008B3D04" w:rsidRDefault="00E240C7" w:rsidP="008A1637">
      <w:pPr>
        <w:rPr>
          <w:lang w:val="de-DE" w:eastAsia="ja-JP"/>
        </w:rPr>
      </w:pPr>
    </w:p>
    <w:p w:rsidR="008A1637" w:rsidRPr="00C83DF5" w:rsidRDefault="008A1637" w:rsidP="00944EE1">
      <w:pPr>
        <w:pStyle w:val="Heading3"/>
        <w:spacing w:after="60"/>
        <w:ind w:right="720"/>
        <w:rPr>
          <w:lang w:val="de-DE"/>
        </w:rPr>
      </w:pPr>
      <w:bookmarkStart w:id="924" w:name="_Toc323159783"/>
      <w:bookmarkStart w:id="925" w:name="_Toc336338252"/>
      <w:bookmarkStart w:id="926" w:name="_Toc370983361"/>
      <w:r w:rsidRPr="00C83DF5">
        <w:rPr>
          <w:rFonts w:ascii="Tahoma" w:hAnsi="Tahoma" w:cs="Tahoma"/>
          <w:bCs/>
          <w:lang w:val="de-DE"/>
        </w:rPr>
        <w:lastRenderedPageBreak/>
        <w:t>Multi Language Packs (MLPs), mehrsprachige Benutzeroberflächen (Multilanguage User Interface, MUIs) und neue Sprachrechte</w:t>
      </w:r>
      <w:bookmarkEnd w:id="924"/>
      <w:bookmarkEnd w:id="925"/>
      <w:bookmarkEnd w:id="926"/>
    </w:p>
    <w:p w:rsidR="008A1637" w:rsidRPr="00C83DF5" w:rsidRDefault="008A1637" w:rsidP="00E240C7">
      <w:pPr>
        <w:rPr>
          <w:lang w:val="de-DE"/>
        </w:rPr>
      </w:pPr>
      <w:r w:rsidRPr="00C83DF5">
        <w:rPr>
          <w:lang w:val="de-DE"/>
        </w:rPr>
        <w:t>Durch MLPs und MUIs können Kunden verschiedene Sprachversionen von lizenzierten Produkten ausführen und</w:t>
      </w:r>
      <w:r w:rsidR="00E240C7">
        <w:rPr>
          <w:lang w:val="de-DE"/>
        </w:rPr>
        <w:t> </w:t>
      </w:r>
      <w:r w:rsidRPr="00C83DF5">
        <w:rPr>
          <w:lang w:val="de-DE"/>
        </w:rPr>
        <w:t>zwischen diesen wechseln.</w:t>
      </w:r>
      <w:r w:rsidR="00E71F46" w:rsidRPr="00C83DF5">
        <w:rPr>
          <w:lang w:val="de-DE"/>
        </w:rPr>
        <w:t xml:space="preserve"> </w:t>
      </w:r>
      <w:r w:rsidRPr="00C83DF5">
        <w:rPr>
          <w:lang w:val="de-DE"/>
        </w:rPr>
        <w:t>Das Recht zur Nutzung von MLPs und MUIs hängt von Produkt, Programm und</w:t>
      </w:r>
      <w:r w:rsidR="00E240C7">
        <w:rPr>
          <w:lang w:val="de-DE"/>
        </w:rPr>
        <w:t> </w:t>
      </w:r>
      <w:r w:rsidRPr="00C83DF5">
        <w:rPr>
          <w:lang w:val="de-DE"/>
        </w:rPr>
        <w:t>Lizenztyp</w:t>
      </w:r>
      <w:r w:rsidR="00E240C7">
        <w:rPr>
          <w:lang w:val="de-DE"/>
        </w:rPr>
        <w:t> </w:t>
      </w:r>
      <w:r w:rsidRPr="00C83DF5">
        <w:rPr>
          <w:lang w:val="de-DE"/>
        </w:rPr>
        <w:t>ab.</w:t>
      </w:r>
      <w:r w:rsidR="00E71F46" w:rsidRPr="00C83DF5">
        <w:rPr>
          <w:lang w:val="de-DE"/>
        </w:rPr>
        <w:t xml:space="preserve"> </w:t>
      </w:r>
    </w:p>
    <w:p w:rsidR="008A1637" w:rsidRPr="008B3D04" w:rsidRDefault="008A1637" w:rsidP="008A1637">
      <w:pPr>
        <w:pStyle w:val="Heading3"/>
        <w:ind w:right="720"/>
        <w:rPr>
          <w:rFonts w:ascii="Tahoma" w:hAnsi="Tahoma" w:cs="Tahoma"/>
          <w:b w:val="0"/>
          <w:sz w:val="18"/>
          <w:szCs w:val="18"/>
          <w:lang w:val="de-DE"/>
        </w:rPr>
      </w:pPr>
    </w:p>
    <w:p w:rsidR="008A1637" w:rsidRPr="00C83DF5" w:rsidRDefault="008A1637" w:rsidP="007022C1">
      <w:pPr>
        <w:numPr>
          <w:ilvl w:val="0"/>
          <w:numId w:val="17"/>
        </w:numPr>
        <w:tabs>
          <w:tab w:val="left" w:pos="1440"/>
        </w:tabs>
        <w:spacing w:after="60"/>
        <w:rPr>
          <w:lang w:val="de-DE"/>
        </w:rPr>
      </w:pPr>
      <w:r w:rsidRPr="00C83DF5">
        <w:rPr>
          <w:lang w:val="de-DE"/>
        </w:rPr>
        <w:t>Bei den meisten Serverprodukten (z. B. Windows Server) ist die MUI im Basisprodukt enthalten. Kunden, die diese Produkte lizenzieren, dürfen die MUI gemäß den Nutzungsrechten für diese Produkte nutzen.</w:t>
      </w:r>
      <w:r w:rsidR="00E71F46" w:rsidRPr="00C83DF5">
        <w:rPr>
          <w:lang w:val="de-DE"/>
        </w:rPr>
        <w:t xml:space="preserve"> </w:t>
      </w:r>
    </w:p>
    <w:p w:rsidR="008A1637" w:rsidRPr="00C83DF5" w:rsidRDefault="008A1637" w:rsidP="007022C1">
      <w:pPr>
        <w:numPr>
          <w:ilvl w:val="0"/>
          <w:numId w:val="17"/>
        </w:numPr>
        <w:tabs>
          <w:tab w:val="left" w:pos="1440"/>
        </w:tabs>
        <w:spacing w:after="60"/>
        <w:rPr>
          <w:lang w:val="de-DE"/>
        </w:rPr>
      </w:pPr>
      <w:r w:rsidRPr="00C83DF5">
        <w:rPr>
          <w:rFonts w:cs="Tahoma"/>
          <w:szCs w:val="18"/>
          <w:lang w:val="de-DE"/>
        </w:rPr>
        <w:t>I</w:t>
      </w:r>
      <w:r w:rsidRPr="00C83DF5">
        <w:rPr>
          <w:lang w:val="de-DE"/>
        </w:rPr>
        <w:t xml:space="preserve">m Fall von Office System-Produkten (die keine Server sind) und -Suites haben Kunden mit aktiver Software Assurance für qualifizierende Lizenzen seit dem 1. Oktober 2008 das Recht, das MLP zu nutzen (weitere Details finden Sie in </w:t>
      </w:r>
      <w:hyperlink w:anchor="_ABSCHNITT_6_–" w:history="1">
        <w:r w:rsidRPr="00B95687">
          <w:rPr>
            <w:rStyle w:val="Hyperlink"/>
            <w:lang w:val="de-DE"/>
          </w:rPr>
          <w:t>Abschnitt 6</w:t>
        </w:r>
      </w:hyperlink>
      <w:r w:rsidRPr="00C83DF5">
        <w:rPr>
          <w:lang w:val="de-DE"/>
        </w:rPr>
        <w:t xml:space="preserve">). Unter bestimmten Programmen (z. B. Select) stehen MLPs für Office System-Produkte und -Suites weiterhin außerhalb von Software Assurance separat zur Verfügung. </w:t>
      </w:r>
    </w:p>
    <w:p w:rsidR="008A1637" w:rsidRPr="00C83DF5" w:rsidRDefault="008A1637" w:rsidP="007022C1">
      <w:pPr>
        <w:numPr>
          <w:ilvl w:val="0"/>
          <w:numId w:val="17"/>
        </w:numPr>
        <w:spacing w:after="60"/>
        <w:rPr>
          <w:lang w:val="de-DE"/>
        </w:rPr>
      </w:pPr>
      <w:r w:rsidRPr="00C83DF5">
        <w:rPr>
          <w:lang w:val="de-DE"/>
        </w:rPr>
        <w:t>Im Fall von Windows 8 ist die MUI in Windows 8 Pro enthalten.</w:t>
      </w:r>
      <w:r w:rsidR="00E71F46" w:rsidRPr="00C83DF5">
        <w:rPr>
          <w:lang w:val="de-DE"/>
        </w:rPr>
        <w:t xml:space="preserve"> </w:t>
      </w:r>
    </w:p>
    <w:p w:rsidR="008A1637" w:rsidRPr="008B3D04" w:rsidRDefault="008A1637" w:rsidP="008A1637">
      <w:pPr>
        <w:rPr>
          <w:lang w:val="de-DE"/>
        </w:rPr>
      </w:pPr>
    </w:p>
    <w:p w:rsidR="008A1637" w:rsidRPr="00C83DF5" w:rsidRDefault="008A1637" w:rsidP="008A1637">
      <w:pPr>
        <w:rPr>
          <w:lang w:val="de-DE"/>
        </w:rPr>
      </w:pPr>
      <w:r w:rsidRPr="00C83DF5">
        <w:rPr>
          <w:lang w:val="de-DE"/>
        </w:rPr>
        <w:t>Die Sprachversionen, mit denen Kunden MUIs und MLPs nutzen dürfen, hängt dementsprechend von Programm, Produkt und Region ab.</w:t>
      </w:r>
      <w:r w:rsidR="00E71F46" w:rsidRPr="00C83DF5">
        <w:rPr>
          <w:lang w:val="de-DE"/>
        </w:rPr>
        <w:t xml:space="preserve"> </w:t>
      </w:r>
    </w:p>
    <w:p w:rsidR="008A1637" w:rsidRPr="008B3D04" w:rsidRDefault="008A1637" w:rsidP="008A1637">
      <w:pPr>
        <w:pStyle w:val="Heading3"/>
        <w:ind w:right="720"/>
        <w:rPr>
          <w:rFonts w:ascii="Tahoma" w:hAnsi="Tahoma" w:cs="Tahoma"/>
          <w:b w:val="0"/>
          <w:sz w:val="18"/>
          <w:szCs w:val="18"/>
          <w:lang w:val="de-DE"/>
        </w:rPr>
      </w:pPr>
    </w:p>
    <w:p w:rsidR="008A1637" w:rsidRPr="00C83DF5" w:rsidRDefault="008A1637" w:rsidP="00024C3C">
      <w:pPr>
        <w:numPr>
          <w:ilvl w:val="0"/>
          <w:numId w:val="18"/>
        </w:numPr>
        <w:tabs>
          <w:tab w:val="clear" w:pos="1080"/>
          <w:tab w:val="num" w:pos="1440"/>
        </w:tabs>
        <w:ind w:left="1440"/>
        <w:rPr>
          <w:lang w:val="de-DE"/>
        </w:rPr>
      </w:pPr>
      <w:r w:rsidRPr="00C83DF5">
        <w:rPr>
          <w:lang w:val="de-DE"/>
        </w:rPr>
        <w:t>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C83DF5">
        <w:rPr>
          <w:b/>
          <w:lang w:val="de-DE"/>
        </w:rPr>
        <w:t xml:space="preserve"> </w:t>
      </w:r>
      <w:r w:rsidRPr="00C83DF5">
        <w:rPr>
          <w:b/>
          <w:u w:val="single"/>
          <w:lang w:val="de-DE"/>
        </w:rPr>
        <w:t>in allen Sprachversionen zu nutzen,</w:t>
      </w:r>
      <w:r w:rsidRPr="00C83DF5">
        <w:rPr>
          <w:b/>
          <w:lang w:val="de-DE"/>
        </w:rPr>
        <w:t xml:space="preserve"> </w:t>
      </w:r>
      <w:r w:rsidRPr="00C83DF5">
        <w:rPr>
          <w:lang w:val="de-DE"/>
        </w:rPr>
        <w:t xml:space="preserve">ungeachtet etwaiger Beschränkungen der Nutzung bestimmter Sprachen in diesen Verträgen. </w:t>
      </w:r>
    </w:p>
    <w:p w:rsidR="008A1637" w:rsidRPr="008B3D04" w:rsidRDefault="008A1637" w:rsidP="008A1637">
      <w:pPr>
        <w:pStyle w:val="Heading3"/>
        <w:ind w:right="720"/>
        <w:rPr>
          <w:rFonts w:ascii="Tahoma" w:hAnsi="Tahoma" w:cs="Tahoma"/>
          <w:b w:val="0"/>
          <w:sz w:val="18"/>
          <w:szCs w:val="18"/>
          <w:lang w:val="de-DE"/>
        </w:rPr>
      </w:pPr>
    </w:p>
    <w:p w:rsidR="008A1637" w:rsidRPr="00C83DF5" w:rsidRDefault="008A1637" w:rsidP="00E240C7">
      <w:pPr>
        <w:rPr>
          <w:lang w:val="de-DE"/>
        </w:rPr>
      </w:pPr>
      <w:r w:rsidRPr="00C83DF5">
        <w:rPr>
          <w:lang w:val="de-DE"/>
        </w:rPr>
        <w:t>Kunden, die das Recht zur Nutzung von MUIs und MLP unter anderen Verträgen als einem Konzernvertrag oder Open</w:t>
      </w:r>
      <w:r w:rsidR="00E240C7">
        <w:rPr>
          <w:lang w:val="de-DE"/>
        </w:rPr>
        <w:t> </w:t>
      </w:r>
      <w:r w:rsidRPr="00C83DF5">
        <w:rPr>
          <w:lang w:val="de-DE"/>
        </w:rPr>
        <w:t>Value-Vertrag (organisationsweite/unternehmensweite Option) erwerben (ob mit dem Basisprodukt oder über Software Assurance), unterliegen weiterhin Beschränkungen (sofern vorhanden) in ihrem Vertrag für die Nutzung bestimmter Sprachen.</w:t>
      </w:r>
      <w:r w:rsidR="00E71F46" w:rsidRPr="00C83DF5">
        <w:rPr>
          <w:lang w:val="de-DE"/>
        </w:rPr>
        <w:t xml:space="preserve"> </w:t>
      </w:r>
      <w:r w:rsidRPr="00C83DF5">
        <w:rPr>
          <w:lang w:val="de-DE"/>
        </w:rPr>
        <w:t>Beispiel: Wenn eine lokale Sprachversion eines Produktes auf der Preisliste des Kunden zu einem anderen Preis lizenziert wird, ist das Recht des Kunden zur Nutzung anderer Sprachversionen als dieser Version (mit oder ohne MUI- oder MLP-Funktionalität) unter Umständen beschränkt.</w:t>
      </w:r>
      <w:r w:rsidR="00E71F46" w:rsidRPr="00C83DF5">
        <w:rPr>
          <w:lang w:val="de-DE"/>
        </w:rPr>
        <w:t xml:space="preserve"> </w:t>
      </w:r>
      <w:r w:rsidRPr="00C83DF5">
        <w:rPr>
          <w:lang w:val="de-DE"/>
        </w:rPr>
        <w:t xml:space="preserve">Kunden sollten sich in ihrem Lizenzvertrag oder beim Handelspartner oder Kundenbetreuer von Microsoft über ihr Recht zur Nutzung anderer Sprachen informieren. </w:t>
      </w:r>
    </w:p>
    <w:p w:rsidR="007022C1" w:rsidRPr="008B3D04" w:rsidRDefault="007022C1" w:rsidP="008A1637">
      <w:pPr>
        <w:rPr>
          <w:lang w:val="de-DE" w:eastAsia="ja-JP"/>
        </w:rPr>
      </w:pPr>
    </w:p>
    <w:p w:rsidR="008A1637" w:rsidRPr="00C83DF5" w:rsidRDefault="008A1637" w:rsidP="007022C1">
      <w:pPr>
        <w:pStyle w:val="Heading2"/>
        <w:ind w:left="0"/>
        <w:rPr>
          <w:lang w:val="de-DE"/>
        </w:rPr>
      </w:pPr>
      <w:bookmarkStart w:id="927" w:name="_Toc323159784"/>
      <w:bookmarkStart w:id="928" w:name="_Toc336338253"/>
      <w:bookmarkStart w:id="929" w:name="_Toc370983362"/>
      <w:r w:rsidRPr="00C83DF5">
        <w:rPr>
          <w:rFonts w:ascii="Tahoma" w:hAnsi="Tahoma" w:cs="Tahoma"/>
          <w:lang w:val="de-DE"/>
        </w:rPr>
        <w:t>Plattformunabhängige Lizenzen</w:t>
      </w:r>
      <w:bookmarkEnd w:id="927"/>
      <w:bookmarkEnd w:id="928"/>
      <w:bookmarkEnd w:id="929"/>
    </w:p>
    <w:p w:rsidR="008A1637" w:rsidRPr="008B3D04" w:rsidRDefault="008A1637" w:rsidP="007022C1">
      <w:pPr>
        <w:tabs>
          <w:tab w:val="num" w:pos="0"/>
        </w:tabs>
        <w:ind w:right="720"/>
        <w:rPr>
          <w:rFonts w:cs="Tahoma"/>
          <w:color w:val="000000"/>
          <w:lang w:val="de-DE"/>
        </w:rPr>
      </w:pPr>
    </w:p>
    <w:p w:rsidR="008A1637" w:rsidRPr="00C83DF5" w:rsidRDefault="008A1637" w:rsidP="00E240C7">
      <w:pPr>
        <w:pStyle w:val="AppendixBodyText"/>
        <w:spacing w:after="0"/>
        <w:rPr>
          <w:lang w:val="de-DE"/>
        </w:rPr>
      </w:pPr>
      <w:r w:rsidRPr="00C83DF5">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Beispiel: Ein Kunde, der für Office für Mac Standard 2011 lizenziert ist, kann sich dafür entscheiden, mit dieser Lizenz Office Standard 2010 für Windows auszuführen.</w:t>
      </w:r>
    </w:p>
    <w:p w:rsidR="008A1637" w:rsidRPr="00C83DF5" w:rsidRDefault="008A1637" w:rsidP="00E240C7">
      <w:pPr>
        <w:pStyle w:val="AppendixBodyText"/>
        <w:spacing w:after="0"/>
        <w:rPr>
          <w:lang w:val="de-DE"/>
        </w:rPr>
      </w:pPr>
    </w:p>
    <w:p w:rsidR="008A1637" w:rsidRPr="00C83DF5" w:rsidRDefault="008A1637" w:rsidP="00E240C7">
      <w:pPr>
        <w:pStyle w:val="AppendixBodyText"/>
        <w:spacing w:after="0"/>
        <w:rPr>
          <w:lang w:val="de-DE"/>
        </w:rPr>
      </w:pPr>
      <w:r w:rsidRPr="00C83DF5">
        <w:rPr>
          <w:rFonts w:ascii="Tahoma" w:hAnsi="Tahoma" w:cs="Tahoma"/>
          <w:color w:val="000000"/>
          <w:sz w:val="18"/>
          <w:szCs w:val="18"/>
          <w:lang w:val="de-DE"/>
        </w:rPr>
        <w:t>Die Komponenten einer Produktsuite können je nach Plattformversion variieren. Sie dürfen nur die Komponenten der</w:t>
      </w:r>
      <w:r w:rsidR="00E240C7">
        <w:rPr>
          <w:rFonts w:ascii="Tahoma" w:hAnsi="Tahoma" w:cs="Tahoma"/>
          <w:color w:val="000000"/>
          <w:sz w:val="18"/>
          <w:szCs w:val="18"/>
          <w:lang w:val="de-DE"/>
        </w:rPr>
        <w:t> </w:t>
      </w:r>
      <w:r w:rsidRPr="00C83DF5">
        <w:rPr>
          <w:rFonts w:ascii="Tahoma" w:hAnsi="Tahoma" w:cs="Tahoma"/>
          <w:color w:val="000000"/>
          <w:sz w:val="18"/>
          <w:szCs w:val="18"/>
          <w:lang w:val="de-DE"/>
        </w:rPr>
        <w:t>Suite verwenden, welche Sie für die Nutzung auswählen. 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rsidR="008A1637" w:rsidRPr="00C83DF5" w:rsidRDefault="008A1637" w:rsidP="00E240C7">
      <w:pPr>
        <w:pStyle w:val="AppendixBodyText"/>
        <w:spacing w:after="0"/>
        <w:rPr>
          <w:lang w:val="de-DE"/>
        </w:rPr>
      </w:pPr>
      <w:r w:rsidRPr="00C83DF5">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w:t>
      </w:r>
      <w:r w:rsidR="00E240C7">
        <w:rPr>
          <w:rFonts w:ascii="Tahoma" w:hAnsi="Tahoma" w:cs="Tahoma"/>
          <w:color w:val="000000"/>
          <w:sz w:val="18"/>
          <w:lang w:val="de-DE"/>
        </w:rPr>
        <w:t> </w:t>
      </w:r>
      <w:r w:rsidRPr="00C83DF5">
        <w:rPr>
          <w:rFonts w:ascii="Tahoma" w:hAnsi="Tahoma" w:cs="Tahoma"/>
          <w:color w:val="000000"/>
          <w:sz w:val="18"/>
          <w:lang w:val="de-DE"/>
        </w:rPr>
        <w:t>Komponenten). Beispiel: Ein Kunde mit aktiver Software Assurance für eine Office für Mac-Lizenz ist berechtigt, anstelle von Office für Mac die aktuellste Version der entsprechenden Edition von Office für Windows zu nutzen, die</w:t>
      </w:r>
      <w:r w:rsidR="00E240C7">
        <w:rPr>
          <w:rFonts w:ascii="Tahoma" w:hAnsi="Tahoma" w:cs="Tahoma"/>
          <w:color w:val="000000"/>
          <w:sz w:val="18"/>
          <w:lang w:val="de-DE"/>
        </w:rPr>
        <w:t> </w:t>
      </w:r>
      <w:r w:rsidRPr="00C83DF5">
        <w:rPr>
          <w:rFonts w:ascii="Tahoma" w:hAnsi="Tahoma" w:cs="Tahoma"/>
          <w:color w:val="000000"/>
          <w:sz w:val="18"/>
          <w:lang w:val="de-DE"/>
        </w:rPr>
        <w:t>während der Software Assurance-Laufzeit herausgegeben wird.</w:t>
      </w:r>
    </w:p>
    <w:p w:rsidR="008A1637" w:rsidRPr="00C83DF5" w:rsidRDefault="008A1637" w:rsidP="007022C1">
      <w:pPr>
        <w:tabs>
          <w:tab w:val="left" w:pos="360"/>
        </w:tabs>
        <w:ind w:right="720"/>
        <w:rPr>
          <w:lang w:val="de-DE"/>
        </w:rPr>
      </w:pPr>
    </w:p>
    <w:p w:rsidR="008A1637" w:rsidRPr="00C83DF5" w:rsidRDefault="008A1637" w:rsidP="004121B9">
      <w:pPr>
        <w:pStyle w:val="AppendixBodyText"/>
        <w:spacing w:after="0"/>
        <w:rPr>
          <w:lang w:val="de-DE"/>
        </w:rPr>
      </w:pPr>
      <w:r w:rsidRPr="00C83DF5">
        <w:rPr>
          <w:rFonts w:ascii="Tahoma" w:hAnsi="Tahoma" w:cs="Tahoma"/>
          <w:sz w:val="18"/>
          <w:lang w:val="de-DE"/>
        </w:rPr>
        <w:lastRenderedPageBreak/>
        <w:t>Microsoft SQL Server ist eine „plattformunabhängige“ Lizenz. Mit einer plattformunabhängigen Lizenz kann ein bestimmtes Produkt auf jeder Computerplattform genutzt werden, auf der die Software ausgeführt wird, sofern die</w:t>
      </w:r>
      <w:r w:rsidR="004121B9">
        <w:rPr>
          <w:rFonts w:ascii="Tahoma" w:hAnsi="Tahoma" w:cs="Tahoma"/>
          <w:sz w:val="18"/>
          <w:lang w:val="de-DE"/>
        </w:rPr>
        <w:t> </w:t>
      </w:r>
      <w:r w:rsidRPr="00C83DF5">
        <w:rPr>
          <w:rFonts w:ascii="Tahoma" w:hAnsi="Tahoma" w:cs="Tahoma"/>
          <w:sz w:val="18"/>
          <w:lang w:val="de-DE"/>
        </w:rPr>
        <w:t>verwendete Version mit der ursprünglich lizenzierten Version identisch oder eine frühere Version ist.</w:t>
      </w:r>
    </w:p>
    <w:p w:rsidR="008A1637" w:rsidRPr="00C83DF5" w:rsidRDefault="008A1637" w:rsidP="007022C1">
      <w:pPr>
        <w:pStyle w:val="AppendixBodyText"/>
        <w:spacing w:after="0"/>
        <w:ind w:right="720"/>
        <w:rPr>
          <w:lang w:val="de-DE"/>
        </w:rPr>
      </w:pPr>
    </w:p>
    <w:p w:rsidR="008A1637" w:rsidRPr="00C83DF5" w:rsidRDefault="008A1637" w:rsidP="00F95C64">
      <w:pPr>
        <w:pStyle w:val="AppendixBodyText"/>
        <w:spacing w:after="0"/>
        <w:rPr>
          <w:lang w:val="de-DE"/>
        </w:rPr>
      </w:pPr>
      <w:r w:rsidRPr="00C83DF5">
        <w:rPr>
          <w:rFonts w:ascii="Tahoma" w:hAnsi="Tahoma" w:cs="Tahoma"/>
          <w:sz w:val="18"/>
          <w:lang w:val="de-DE"/>
        </w:rPr>
        <w:t>Darüber hinaus ist ein Kunde, der Software Assurance für eine plattformunabhängige Lizenz erwirbt, berechtigt, die</w:t>
      </w:r>
      <w:r w:rsidR="00F95C64">
        <w:rPr>
          <w:rFonts w:ascii="Tahoma" w:hAnsi="Tahoma" w:cs="Tahoma"/>
          <w:sz w:val="18"/>
          <w:lang w:val="de-DE"/>
        </w:rPr>
        <w:t> </w:t>
      </w:r>
      <w:r w:rsidRPr="00C83DF5">
        <w:rPr>
          <w:rFonts w:ascii="Tahoma" w:hAnsi="Tahoma" w:cs="Tahoma"/>
          <w:sz w:val="18"/>
          <w:lang w:val="de-DE"/>
        </w:rPr>
        <w:t>aktuellste Version dieses bestimmten Produktes zu nutzen, die während der Laufzeit von Software Assurance verfügbar ist, unabhängig von der Plattform (sofern nur jeweils eine Version installiert ist/genutzt wird).</w:t>
      </w:r>
    </w:p>
    <w:p w:rsidR="00973A93" w:rsidRPr="00C83DF5" w:rsidRDefault="00973A93">
      <w:pPr>
        <w:rPr>
          <w:lang w:val="de-DE"/>
        </w:rPr>
      </w:pPr>
      <w:bookmarkStart w:id="930" w:name="_Toc336338254"/>
    </w:p>
    <w:p w:rsidR="008A1637" w:rsidRPr="00C83DF5" w:rsidRDefault="008A1637" w:rsidP="001760D6">
      <w:pPr>
        <w:pStyle w:val="Heading2"/>
        <w:keepNext/>
        <w:ind w:left="0"/>
        <w:rPr>
          <w:lang w:val="de-DE"/>
        </w:rPr>
      </w:pPr>
      <w:bookmarkStart w:id="931" w:name="_Toc370983363"/>
      <w:r w:rsidRPr="00C83DF5">
        <w:rPr>
          <w:rFonts w:ascii="Tahoma" w:hAnsi="Tahoma" w:cs="Tahoma"/>
          <w:lang w:val="de-DE"/>
        </w:rPr>
        <w:t>Volumenlizenz-Product Keys</w:t>
      </w:r>
      <w:bookmarkEnd w:id="930"/>
      <w:bookmarkEnd w:id="931"/>
    </w:p>
    <w:p w:rsidR="008A1637" w:rsidRPr="00C83DF5" w:rsidRDefault="008A1637" w:rsidP="001760D6">
      <w:pPr>
        <w:keepNext/>
        <w:spacing w:after="60"/>
        <w:ind w:right="720"/>
        <w:rPr>
          <w:lang w:val="de-DE"/>
        </w:rPr>
      </w:pPr>
    </w:p>
    <w:p w:rsidR="008A1637" w:rsidRPr="00C83DF5" w:rsidRDefault="004829AF" w:rsidP="00F95C64">
      <w:pPr>
        <w:rPr>
          <w:lang w:val="de-DE"/>
        </w:rPr>
      </w:pPr>
      <w:r w:rsidRPr="00C83DF5">
        <w:rPr>
          <w:rFonts w:cs="Tahoma"/>
          <w:color w:val="000000"/>
          <w:szCs w:val="18"/>
          <w:lang w:val="de-DE"/>
        </w:rPr>
        <w:t>Mithilfe von Product Keys können Organisationen die Software und Produkte nutzen, die sie lizenziert haben.</w:t>
      </w:r>
      <w:r w:rsidR="00E71F46" w:rsidRPr="00C83DF5">
        <w:rPr>
          <w:rFonts w:cs="Tahoma"/>
          <w:color w:val="000000"/>
          <w:szCs w:val="18"/>
          <w:lang w:val="de-DE"/>
        </w:rPr>
        <w:t xml:space="preserve"> </w:t>
      </w:r>
      <w:r w:rsidRPr="00C83DF5">
        <w:rPr>
          <w:rFonts w:cs="Tahoma"/>
          <w:color w:val="000000"/>
          <w:szCs w:val="18"/>
          <w:lang w:val="de-DE"/>
        </w:rPr>
        <w:t>Alle</w:t>
      </w:r>
      <w:r w:rsidR="00F95C64">
        <w:rPr>
          <w:rFonts w:cs="Tahoma"/>
          <w:color w:val="000000"/>
          <w:szCs w:val="18"/>
          <w:lang w:val="de-DE"/>
        </w:rPr>
        <w:t> </w:t>
      </w:r>
      <w:r w:rsidRPr="00C83DF5">
        <w:rPr>
          <w:rFonts w:cs="Tahoma"/>
          <w:color w:val="000000"/>
          <w:szCs w:val="18"/>
          <w:lang w:val="de-DE"/>
        </w:rPr>
        <w:t>Product Keys werden unter einem bestimmten Lizenzvertrag für einen Kunden ausgestellt.</w:t>
      </w:r>
      <w:r w:rsidR="00E71F46" w:rsidRPr="00C83DF5">
        <w:rPr>
          <w:rFonts w:cs="Tahoma"/>
          <w:color w:val="000000"/>
          <w:szCs w:val="18"/>
          <w:lang w:val="de-DE"/>
        </w:rPr>
        <w:t xml:space="preserve"> </w:t>
      </w:r>
      <w:r w:rsidRPr="00C83DF5">
        <w:rPr>
          <w:rFonts w:cs="Tahoma"/>
          <w:color w:val="000000"/>
          <w:szCs w:val="18"/>
          <w:lang w:val="de-DE"/>
        </w:rPr>
        <w:t>Ihre Product Keys</w:t>
      </w:r>
      <w:r w:rsidR="00F95C64">
        <w:rPr>
          <w:rFonts w:cs="Tahoma"/>
          <w:color w:val="000000"/>
          <w:szCs w:val="18"/>
          <w:lang w:val="de-DE"/>
        </w:rPr>
        <w:t> </w:t>
      </w:r>
      <w:r w:rsidRPr="00C83DF5">
        <w:rPr>
          <w:rFonts w:cs="Tahoma"/>
          <w:color w:val="000000"/>
          <w:szCs w:val="18"/>
          <w:lang w:val="de-DE"/>
        </w:rPr>
        <w:t xml:space="preserve">erhalten Sie im </w:t>
      </w:r>
      <w:hyperlink r:id="rId33" w:history="1">
        <w:r w:rsidRPr="00C83DF5">
          <w:rPr>
            <w:rStyle w:val="Hyperlink"/>
            <w:szCs w:val="18"/>
            <w:lang w:val="de-DE"/>
          </w:rPr>
          <w:t>Center für Microsoft Volumenlizenz-Services (VLSC)</w:t>
        </w:r>
      </w:hyperlink>
      <w:r w:rsidRPr="00C83DF5">
        <w:rPr>
          <w:rFonts w:cs="Tahoma"/>
          <w:color w:val="000000"/>
          <w:szCs w:val="18"/>
          <w:lang w:val="de-DE"/>
        </w:rPr>
        <w:t xml:space="preserve">. Außerdem können Sie das </w:t>
      </w:r>
      <w:hyperlink r:id="rId34" w:history="1">
        <w:r w:rsidRPr="00C83DF5">
          <w:rPr>
            <w:rStyle w:val="Hyperlink"/>
            <w:szCs w:val="18"/>
            <w:lang w:val="de-DE"/>
          </w:rPr>
          <w:t>Microsoft</w:t>
        </w:r>
        <w:r w:rsidR="00F95C64">
          <w:rPr>
            <w:rStyle w:val="Hyperlink"/>
            <w:szCs w:val="18"/>
            <w:lang w:val="de-DE"/>
          </w:rPr>
          <w:t> </w:t>
        </w:r>
        <w:r w:rsidRPr="00C83DF5">
          <w:rPr>
            <w:rStyle w:val="Hyperlink"/>
            <w:szCs w:val="18"/>
            <w:lang w:val="de-DE"/>
          </w:rPr>
          <w:t>Volumenlizenz-Aktivierungscenter anrufen</w:t>
        </w:r>
      </w:hyperlink>
      <w:r w:rsidRPr="00C83DF5">
        <w:rPr>
          <w:rFonts w:cs="Tahoma"/>
          <w:color w:val="0070C0"/>
          <w:szCs w:val="18"/>
          <w:lang w:val="de-DE"/>
        </w:rPr>
        <w:t>.</w:t>
      </w:r>
      <w:r w:rsidRPr="00C83DF5">
        <w:rPr>
          <w:rFonts w:cs="Tahoma"/>
          <w:color w:val="000000"/>
          <w:szCs w:val="18"/>
          <w:lang w:val="de-DE"/>
        </w:rPr>
        <w:t xml:space="preserve"> </w:t>
      </w:r>
    </w:p>
    <w:p w:rsidR="008A1637" w:rsidRPr="00C83DF5" w:rsidRDefault="008A1637" w:rsidP="00F95C64">
      <w:pPr>
        <w:rPr>
          <w:lang w:val="de-DE"/>
        </w:rPr>
      </w:pPr>
    </w:p>
    <w:p w:rsidR="008A1637" w:rsidRPr="00C83DF5" w:rsidRDefault="008A1637" w:rsidP="00F95C64">
      <w:pPr>
        <w:rPr>
          <w:lang w:val="de-DE"/>
        </w:rPr>
      </w:pPr>
      <w:r w:rsidRPr="00C83DF5">
        <w:rPr>
          <w:rFonts w:cs="Tahoma"/>
          <w:color w:val="000000"/>
          <w:szCs w:val="18"/>
          <w:lang w:val="de-DE"/>
        </w:rPr>
        <w:t xml:space="preserve">Eine Liste der Volumenlizenzprodukte, für die Product Keys erforderlich sind, sowie zusätzliche Informationen erhalten Sie unter: </w:t>
      </w:r>
      <w:hyperlink r:id="rId35" w:history="1">
        <w:r w:rsidRPr="00C83DF5">
          <w:rPr>
            <w:rStyle w:val="Hyperlink"/>
            <w:szCs w:val="18"/>
            <w:lang w:val="de-DE"/>
          </w:rPr>
          <w:t>http://www.microsoft.com/licensing/resources/vol/volumelicensekey/default.mspx</w:t>
        </w:r>
      </w:hyperlink>
      <w:r w:rsidRPr="00C83DF5">
        <w:rPr>
          <w:rFonts w:cs="Tahoma"/>
          <w:szCs w:val="18"/>
          <w:lang w:val="de-DE"/>
        </w:rPr>
        <w:t>.</w:t>
      </w:r>
      <w:r w:rsidRPr="00C83DF5">
        <w:rPr>
          <w:rFonts w:cs="Tahoma"/>
          <w:color w:val="000000"/>
          <w:szCs w:val="18"/>
          <w:lang w:val="de-DE"/>
        </w:rPr>
        <w:t xml:space="preserve"> </w:t>
      </w:r>
    </w:p>
    <w:p w:rsidR="008A1637" w:rsidRPr="00C83DF5" w:rsidRDefault="008A1637" w:rsidP="00F95C64">
      <w:pPr>
        <w:rPr>
          <w:lang w:val="de-DE"/>
        </w:rPr>
      </w:pPr>
      <w:r w:rsidRPr="00C83DF5">
        <w:rPr>
          <w:rFonts w:cs="Tahoma"/>
          <w:color w:val="1F497D"/>
          <w:szCs w:val="18"/>
          <w:lang w:val="de-DE"/>
        </w:rPr>
        <w:br/>
      </w:r>
      <w:r w:rsidRPr="00C83DF5">
        <w:rPr>
          <w:rFonts w:cs="Tahoma"/>
          <w:color w:val="000000"/>
          <w:szCs w:val="18"/>
          <w:lang w:val="de-DE"/>
        </w:rPr>
        <w:t>Nicht für alle Volumenlizenzprodukte ist ein Product Key erforderlich.</w:t>
      </w:r>
      <w:r w:rsidRPr="00C83DF5">
        <w:rPr>
          <w:rFonts w:ascii="Verdana" w:hAnsi="Verdana"/>
          <w:color w:val="333333"/>
          <w:sz w:val="17"/>
          <w:szCs w:val="17"/>
          <w:lang w:val="de-DE"/>
        </w:rPr>
        <w:t xml:space="preserve"> </w:t>
      </w:r>
      <w:r w:rsidRPr="00C83DF5">
        <w:rPr>
          <w:rFonts w:cs="Tahoma"/>
          <w:color w:val="000000"/>
          <w:szCs w:val="18"/>
          <w:lang w:val="de-DE"/>
        </w:rPr>
        <w:t>Für Produkte, die nicht aufgeführt sind, ist</w:t>
      </w:r>
      <w:r w:rsidR="00F95C64">
        <w:rPr>
          <w:rFonts w:cs="Tahoma"/>
          <w:color w:val="000000"/>
          <w:szCs w:val="18"/>
          <w:lang w:val="de-DE"/>
        </w:rPr>
        <w:t> </w:t>
      </w:r>
      <w:r w:rsidRPr="00C83DF5">
        <w:rPr>
          <w:rFonts w:cs="Tahoma"/>
          <w:color w:val="000000"/>
          <w:szCs w:val="18"/>
          <w:lang w:val="de-DE"/>
        </w:rPr>
        <w:t>kein</w:t>
      </w:r>
      <w:r w:rsidR="00F95C64">
        <w:rPr>
          <w:rFonts w:cs="Tahoma"/>
          <w:color w:val="000000"/>
          <w:szCs w:val="18"/>
          <w:lang w:val="de-DE"/>
        </w:rPr>
        <w:t> </w:t>
      </w:r>
      <w:r w:rsidRPr="00C83DF5">
        <w:rPr>
          <w:rFonts w:cs="Tahoma"/>
          <w:color w:val="000000"/>
          <w:szCs w:val="18"/>
          <w:lang w:val="de-DE"/>
        </w:rPr>
        <w:t>Product Key erforderlich.</w:t>
      </w:r>
    </w:p>
    <w:p w:rsidR="008A1637" w:rsidRPr="00C83DF5" w:rsidRDefault="008A1637" w:rsidP="00F95C64">
      <w:pPr>
        <w:rPr>
          <w:lang w:val="de-DE"/>
        </w:rPr>
      </w:pPr>
    </w:p>
    <w:p w:rsidR="001B413E" w:rsidRPr="00C83DF5" w:rsidRDefault="008A1637" w:rsidP="00F95C64">
      <w:pPr>
        <w:rPr>
          <w:lang w:val="de-DE"/>
        </w:rPr>
      </w:pPr>
      <w:r w:rsidRPr="00C83DF5">
        <w:rPr>
          <w:rFonts w:cs="Tahoma"/>
          <w:b/>
          <w:bCs/>
          <w:color w:val="000000"/>
          <w:szCs w:val="18"/>
          <w:lang w:val="de-DE"/>
        </w:rPr>
        <w:t>Anmerkung:</w:t>
      </w:r>
      <w:r w:rsidR="00E71F46" w:rsidRPr="00C83DF5">
        <w:rPr>
          <w:rFonts w:cs="Tahoma"/>
          <w:color w:val="000000"/>
          <w:szCs w:val="18"/>
          <w:lang w:val="de-DE"/>
        </w:rPr>
        <w:t xml:space="preserve"> </w:t>
      </w:r>
      <w:r w:rsidRPr="00C83DF5">
        <w:rPr>
          <w:rFonts w:cs="Tahoma"/>
          <w:color w:val="000000"/>
          <w:szCs w:val="18"/>
          <w:lang w:val="de-DE"/>
        </w:rPr>
        <w:t xml:space="preserve">Product Keys werden Ihrer Organisation zugewiesen und sind ausschließlich zur Nutzung durch Ihre Organisation vorgesehen. Sie sind für die unberechtigte Nutzung von Product Keys verantwortlich, die unter Ihrem Vertrag herausgegeben werden. Ergreifen Sie entsprechende Maßnahmen zum Schutz der Product Keys. Sie dürfen Ihre Product Keys nicht gegenüber unberechtigten Parteien offenlegen. </w:t>
      </w:r>
    </w:p>
    <w:p w:rsidR="001B413E" w:rsidRPr="00C83DF5" w:rsidRDefault="001B413E">
      <w:pPr>
        <w:rPr>
          <w:lang w:val="de-DE"/>
        </w:rPr>
      </w:pPr>
      <w:r w:rsidRPr="00C83DF5">
        <w:rPr>
          <w:rFonts w:cs="Tahoma"/>
          <w:color w:val="000000"/>
          <w:szCs w:val="18"/>
          <w:lang w:val="de-DE"/>
        </w:rPr>
        <w:br w:type="page"/>
      </w:r>
    </w:p>
    <w:p w:rsidR="001B413E" w:rsidRPr="008B3D04" w:rsidRDefault="001B413E" w:rsidP="001B413E">
      <w:pPr>
        <w:pStyle w:val="Heading1"/>
        <w:rPr>
          <w:lang w:val="de-DE"/>
        </w:rPr>
      </w:pPr>
      <w:bookmarkStart w:id="932" w:name="_Section_10_–"/>
      <w:bookmarkStart w:id="933" w:name="_Abschnitt_10_–"/>
      <w:bookmarkStart w:id="934" w:name="_Toc370983364"/>
      <w:bookmarkEnd w:id="932"/>
      <w:bookmarkEnd w:id="933"/>
      <w:r w:rsidRPr="008B3D04">
        <w:rPr>
          <w:lang w:val="de-DE"/>
        </w:rPr>
        <w:lastRenderedPageBreak/>
        <w:t>Abschnitt 10 – Ergänzende Bestimmungen für Onlinedienste, die mit Vor-Ort-Software VERWENDET werden</w:t>
      </w:r>
      <w:bookmarkEnd w:id="934"/>
    </w:p>
    <w:p w:rsidR="001B413E" w:rsidRPr="008B3D04" w:rsidRDefault="001B413E" w:rsidP="001B413E">
      <w:pPr>
        <w:rPr>
          <w:lang w:val="de-DE"/>
        </w:rPr>
      </w:pPr>
    </w:p>
    <w:p w:rsidR="001B413E" w:rsidRPr="00C83DF5" w:rsidRDefault="001B413E" w:rsidP="000E3C2A">
      <w:pPr>
        <w:rPr>
          <w:lang w:val="de-DE"/>
        </w:rPr>
      </w:pPr>
      <w:r w:rsidRPr="00C83DF5">
        <w:rPr>
          <w:snapToGrid w:val="0"/>
          <w:lang w:val="de-DE"/>
        </w:rPr>
        <w:t>Einige Angebote umfassen sowohl die bereitgestellte und in den Räumlichkeiten des Kunden verwendete Software</w:t>
      </w:r>
      <w:r w:rsidR="000E3C2A">
        <w:rPr>
          <w:snapToGrid w:val="0"/>
          <w:lang w:val="de-DE"/>
        </w:rPr>
        <w:t> </w:t>
      </w:r>
      <w:r w:rsidRPr="00C83DF5">
        <w:rPr>
          <w:snapToGrid w:val="0"/>
          <w:lang w:val="de-DE"/>
        </w:rPr>
        <w:t>als</w:t>
      </w:r>
      <w:r w:rsidR="000E3C2A">
        <w:rPr>
          <w:snapToGrid w:val="0"/>
          <w:lang w:val="de-DE"/>
        </w:rPr>
        <w:t> </w:t>
      </w:r>
      <w:r w:rsidRPr="00C83DF5">
        <w:rPr>
          <w:snapToGrid w:val="0"/>
          <w:lang w:val="de-DE"/>
        </w:rPr>
        <w:t xml:space="preserve">auch eine oder mehrere der zuvor in </w:t>
      </w:r>
      <w:hyperlink w:anchor="_Section_5_–" w:history="1">
        <w:r w:rsidRPr="00C83DF5">
          <w:rPr>
            <w:rStyle w:val="Hyperlink"/>
            <w:snapToGrid w:val="0"/>
            <w:lang w:val="de-DE"/>
          </w:rPr>
          <w:t>Abschnitt 5</w:t>
        </w:r>
      </w:hyperlink>
      <w:r w:rsidRPr="00C83DF5">
        <w:rPr>
          <w:snapToGrid w:val="0"/>
          <w:lang w:val="de-DE"/>
        </w:rPr>
        <w:t xml:space="preserve"> genannten Onlinedienste unter der gleichen Lizenz. Beispielsweise</w:t>
      </w:r>
      <w:r w:rsidRPr="00C83DF5">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 Einige dieser Onlinedienste sind außerdem als eigenständige Abonnement-Angebote zur Ergänzung der Vor-Ort-Software verfügbar.</w:t>
      </w:r>
      <w:r w:rsidR="00E71F46" w:rsidRPr="00C83DF5">
        <w:rPr>
          <w:rFonts w:cs="Tahoma"/>
          <w:szCs w:val="20"/>
          <w:lang w:val="de-DE"/>
        </w:rPr>
        <w:t xml:space="preserve"> </w:t>
      </w:r>
      <w:r w:rsidRPr="00C83DF5">
        <w:rPr>
          <w:rFonts w:cs="Tahoma"/>
          <w:szCs w:val="20"/>
          <w:lang w:val="de-DE"/>
        </w:rPr>
        <w:t xml:space="preserve">Die nachfolgenden Ergänzenden Bestimmungen („Ergänzende Bestimmungen“) </w:t>
      </w:r>
      <w:r w:rsidRPr="00C83DF5">
        <w:rPr>
          <w:snapToGrid w:val="0"/>
          <w:lang w:val="de-DE"/>
        </w:rPr>
        <w:t>gelten für den Erwerb und die Nutzung der Onlinedienste durch die Kunden.</w:t>
      </w:r>
      <w:r w:rsidR="00E71F46" w:rsidRPr="00C83DF5">
        <w:rPr>
          <w:rFonts w:cs="Tahoma"/>
          <w:szCs w:val="20"/>
          <w:lang w:val="de-DE"/>
        </w:rPr>
        <w:t xml:space="preserve"> </w:t>
      </w:r>
    </w:p>
    <w:p w:rsidR="001B413E" w:rsidRPr="00C83DF5" w:rsidRDefault="001B413E" w:rsidP="001B413E">
      <w:pPr>
        <w:keepNext/>
        <w:spacing w:before="120" w:after="60"/>
        <w:ind w:left="720"/>
        <w:outlineLvl w:val="0"/>
        <w:rPr>
          <w:lang w:val="de-DE"/>
        </w:rPr>
      </w:pPr>
      <w:r w:rsidRPr="00C83DF5">
        <w:rPr>
          <w:rFonts w:cs="Tahoma"/>
          <w:b/>
          <w:bCs/>
          <w:iCs/>
          <w:snapToGrid w:val="0"/>
          <w:szCs w:val="18"/>
          <w:lang w:val="de-DE"/>
        </w:rPr>
        <w:t>Definitionen.</w:t>
      </w:r>
    </w:p>
    <w:p w:rsidR="001B413E" w:rsidRPr="00C83DF5" w:rsidRDefault="001B413E" w:rsidP="000C0D23">
      <w:pPr>
        <w:ind w:left="720"/>
        <w:jc w:val="both"/>
        <w:rPr>
          <w:lang w:val="de-DE"/>
        </w:rPr>
      </w:pPr>
      <w:r w:rsidRPr="00C83DF5">
        <w:rPr>
          <w:rFonts w:cs="Tahoma"/>
          <w:snapToGrid w:val="0"/>
          <w:color w:val="000000"/>
          <w:szCs w:val="18"/>
          <w:lang w:val="de-DE"/>
        </w:rPr>
        <w:t>„Kundendaten“ sind alle Daten, einschließlich sämtlicher Text-, Ton-, Software- oder Bilddateien, die</w:t>
      </w:r>
      <w:r w:rsidR="000C0D23">
        <w:rPr>
          <w:rFonts w:cs="Tahoma"/>
          <w:snapToGrid w:val="0"/>
          <w:color w:val="000000"/>
          <w:szCs w:val="18"/>
          <w:lang w:val="de-DE"/>
        </w:rPr>
        <w:t> </w:t>
      </w:r>
      <w:r w:rsidRPr="00C83DF5">
        <w:rPr>
          <w:rFonts w:cs="Tahoma"/>
          <w:snapToGrid w:val="0"/>
          <w:color w:val="000000"/>
          <w:szCs w:val="18"/>
          <w:lang w:val="de-DE"/>
        </w:rPr>
        <w:t>Microsoft vom oder im Namen des Kunden durch die Nutzung der Onlinedienste durch den Kunden bereitgestellt werden.</w:t>
      </w:r>
    </w:p>
    <w:p w:rsidR="001B413E" w:rsidRPr="00C83DF5" w:rsidRDefault="001B413E" w:rsidP="00E607DB">
      <w:pPr>
        <w:spacing w:before="120"/>
        <w:ind w:left="720"/>
        <w:jc w:val="both"/>
        <w:rPr>
          <w:lang w:val="de-DE"/>
        </w:rPr>
      </w:pPr>
      <w:r w:rsidRPr="00C83DF5">
        <w:rPr>
          <w:rFonts w:cs="Tahoma"/>
          <w:snapToGrid w:val="0"/>
          <w:color w:val="000000"/>
          <w:szCs w:val="18"/>
          <w:lang w:val="de-DE"/>
        </w:rPr>
        <w:t>„Vereinbarung zum Servicelevel“ ist das Dokument, in dem die Standards aufgeführt sind, zu</w:t>
      </w:r>
      <w:r w:rsidR="00E607DB">
        <w:rPr>
          <w:rFonts w:cs="Tahoma"/>
          <w:snapToGrid w:val="0"/>
          <w:color w:val="000000"/>
          <w:szCs w:val="18"/>
          <w:lang w:val="de-DE"/>
        </w:rPr>
        <w:t> </w:t>
      </w:r>
      <w:r w:rsidRPr="00C83DF5">
        <w:rPr>
          <w:rFonts w:cs="Tahoma"/>
          <w:snapToGrid w:val="0"/>
          <w:color w:val="000000"/>
          <w:szCs w:val="18"/>
          <w:lang w:val="de-DE"/>
        </w:rPr>
        <w:t>deren</w:t>
      </w:r>
      <w:r w:rsidR="00E607DB">
        <w:rPr>
          <w:rFonts w:cs="Tahoma"/>
          <w:snapToGrid w:val="0"/>
          <w:color w:val="000000"/>
          <w:szCs w:val="18"/>
          <w:lang w:val="de-DE"/>
        </w:rPr>
        <w:t> </w:t>
      </w:r>
      <w:r w:rsidRPr="00C83DF5">
        <w:rPr>
          <w:rFonts w:cs="Tahoma"/>
          <w:snapToGrid w:val="0"/>
          <w:color w:val="000000"/>
          <w:szCs w:val="18"/>
          <w:lang w:val="de-DE"/>
        </w:rPr>
        <w:t>Einhaltung sich Microsoft verpflichtet und nach denen Microsoft das Servicelevel für einen Onlinedienst misst.</w:t>
      </w:r>
    </w:p>
    <w:p w:rsidR="001B413E" w:rsidRPr="00C83DF5" w:rsidRDefault="001B413E" w:rsidP="001B413E">
      <w:pPr>
        <w:keepNext/>
        <w:spacing w:before="120" w:after="60"/>
        <w:ind w:left="720"/>
        <w:outlineLvl w:val="0"/>
        <w:rPr>
          <w:lang w:val="de-DE"/>
        </w:rPr>
      </w:pPr>
      <w:r w:rsidRPr="00C83DF5">
        <w:rPr>
          <w:rFonts w:cs="Tahoma"/>
          <w:b/>
          <w:bCs/>
          <w:iCs/>
          <w:snapToGrid w:val="0"/>
          <w:szCs w:val="18"/>
          <w:lang w:val="de-DE"/>
        </w:rPr>
        <w:t>Anwendbarkeit der Ergänzenden Bestimmungen.</w:t>
      </w:r>
    </w:p>
    <w:p w:rsidR="001B413E" w:rsidRPr="00C83DF5" w:rsidRDefault="001B413E" w:rsidP="001B413E">
      <w:pPr>
        <w:ind w:left="720"/>
        <w:jc w:val="both"/>
        <w:rPr>
          <w:lang w:val="de-DE"/>
        </w:rPr>
      </w:pPr>
      <w:r w:rsidRPr="00C83DF5">
        <w:rPr>
          <w:rFonts w:cs="Tahoma"/>
          <w:snapToGrid w:val="0"/>
          <w:color w:val="000000"/>
          <w:szCs w:val="18"/>
          <w:lang w:val="de-DE"/>
        </w:rPr>
        <w:t>Diese Ergänzenden Bestimmungen gelten nur für den Erwerb und die Nutzung von Onlinediensten und Services durch den Kunden.</w:t>
      </w:r>
      <w:r w:rsidR="00E71F46" w:rsidRPr="00C83DF5">
        <w:rPr>
          <w:rFonts w:cs="Tahoma"/>
          <w:snapToGrid w:val="0"/>
          <w:color w:val="000000"/>
          <w:szCs w:val="18"/>
          <w:lang w:val="de-DE"/>
        </w:rPr>
        <w:t xml:space="preserve"> </w:t>
      </w:r>
      <w:r w:rsidRPr="00C83DF5">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rsidR="001B413E" w:rsidRPr="00C83DF5" w:rsidRDefault="001B413E" w:rsidP="001B413E">
      <w:pPr>
        <w:keepNext/>
        <w:spacing w:before="120" w:after="60"/>
        <w:ind w:left="720"/>
        <w:outlineLvl w:val="0"/>
        <w:rPr>
          <w:lang w:val="de-DE"/>
        </w:rPr>
      </w:pPr>
      <w:r w:rsidRPr="00C83DF5">
        <w:rPr>
          <w:rFonts w:cs="Tahoma"/>
          <w:b/>
          <w:bCs/>
          <w:iCs/>
          <w:snapToGrid w:val="0"/>
          <w:szCs w:val="18"/>
          <w:lang w:val="de-DE"/>
        </w:rPr>
        <w:t>Beschränkte Gewährleistung für Onlinedienste.</w:t>
      </w:r>
    </w:p>
    <w:p w:rsidR="001B413E" w:rsidRPr="00C83DF5" w:rsidRDefault="001B413E" w:rsidP="001B413E">
      <w:pPr>
        <w:ind w:left="720"/>
        <w:jc w:val="both"/>
        <w:rPr>
          <w:lang w:val="de-DE"/>
        </w:rPr>
      </w:pPr>
      <w:r w:rsidRPr="00C83DF5">
        <w:rPr>
          <w:rFonts w:cs="Tahoma"/>
          <w:snapToGrid w:val="0"/>
          <w:color w:val="000000"/>
          <w:szCs w:val="18"/>
          <w:lang w:val="de-DE"/>
        </w:rPr>
        <w:t>Microsoft gewährleistet, dass die Onlinedienste in Übereinstimmung mit der anwendbaren Vereinbarung zum Servicelevel funktionieren.</w:t>
      </w:r>
      <w:r w:rsidR="00E71F46" w:rsidRPr="00C83DF5">
        <w:rPr>
          <w:rFonts w:cs="Tahoma"/>
          <w:snapToGrid w:val="0"/>
          <w:color w:val="000000"/>
          <w:szCs w:val="18"/>
          <w:lang w:val="de-DE"/>
        </w:rPr>
        <w:t xml:space="preserve"> </w:t>
      </w:r>
      <w:r w:rsidRPr="00C83DF5">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rsidR="001B413E" w:rsidRPr="00C83DF5" w:rsidRDefault="001B413E" w:rsidP="001B413E">
      <w:pPr>
        <w:spacing w:before="120"/>
        <w:ind w:left="720"/>
        <w:jc w:val="both"/>
        <w:rPr>
          <w:lang w:val="de-DE"/>
        </w:rPr>
      </w:pPr>
      <w:r w:rsidRPr="00C83DF5">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E71F46" w:rsidRPr="00C83DF5">
        <w:rPr>
          <w:rFonts w:cs="Tahoma"/>
          <w:snapToGrid w:val="0"/>
          <w:color w:val="000000"/>
          <w:szCs w:val="18"/>
          <w:lang w:val="de-DE"/>
        </w:rPr>
        <w:t xml:space="preserve"> </w:t>
      </w:r>
      <w:r w:rsidRPr="00C83DF5">
        <w:rPr>
          <w:rFonts w:cs="Tahoma"/>
          <w:snapToGrid w:val="0"/>
          <w:color w:val="000000"/>
          <w:szCs w:val="18"/>
          <w:lang w:val="de-DE"/>
        </w:rPr>
        <w:t>Dies sind die einzigen Ansprüche des Kunden bei Verletzung der beschränkten Gewährleistung, es sei denn, das anwendbare Recht schreibt andere Ansprüche vor.</w:t>
      </w:r>
    </w:p>
    <w:p w:rsidR="001B413E" w:rsidRPr="00C83DF5" w:rsidRDefault="001B413E" w:rsidP="001B413E">
      <w:pPr>
        <w:spacing w:before="120"/>
        <w:ind w:left="720"/>
        <w:jc w:val="both"/>
        <w:rPr>
          <w:lang w:val="de-DE"/>
        </w:rPr>
      </w:pPr>
      <w:r w:rsidRPr="00C83DF5">
        <w:rPr>
          <w:rFonts w:cs="Tahoma"/>
          <w:snapToGrid w:val="0"/>
          <w:color w:val="000000"/>
          <w:szCs w:val="18"/>
          <w:lang w:val="de-DE"/>
        </w:rPr>
        <w:t>Diese beschränkte Gewährleistung unterliegt den folgenden Einschränkungen:</w:t>
      </w:r>
    </w:p>
    <w:p w:rsidR="001B413E" w:rsidRPr="00C83DF5" w:rsidRDefault="001B413E" w:rsidP="001B413E">
      <w:pPr>
        <w:numPr>
          <w:ilvl w:val="0"/>
          <w:numId w:val="124"/>
        </w:numPr>
        <w:spacing w:before="120"/>
        <w:ind w:left="1080"/>
        <w:contextualSpacing/>
        <w:jc w:val="both"/>
        <w:rPr>
          <w:lang w:val="de-DE"/>
        </w:rPr>
      </w:pPr>
      <w:r w:rsidRPr="00C83DF5">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rsidR="001B413E" w:rsidRPr="00C83DF5" w:rsidRDefault="001B413E" w:rsidP="001B413E">
      <w:pPr>
        <w:numPr>
          <w:ilvl w:val="0"/>
          <w:numId w:val="124"/>
        </w:numPr>
        <w:spacing w:before="120"/>
        <w:ind w:left="1080"/>
        <w:contextualSpacing/>
        <w:jc w:val="both"/>
        <w:rPr>
          <w:lang w:val="de-DE"/>
        </w:rPr>
      </w:pPr>
      <w:r w:rsidRPr="00C83DF5">
        <w:rPr>
          <w:rFonts w:cs="Tahoma"/>
          <w:snapToGrid w:val="0"/>
          <w:color w:val="000000"/>
          <w:szCs w:val="18"/>
          <w:lang w:val="de-DE"/>
        </w:rPr>
        <w:t>die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rsidR="001B413E" w:rsidRPr="00C83DF5" w:rsidRDefault="001B413E" w:rsidP="001B413E">
      <w:pPr>
        <w:numPr>
          <w:ilvl w:val="0"/>
          <w:numId w:val="124"/>
        </w:numPr>
        <w:spacing w:before="120"/>
        <w:ind w:left="1080"/>
        <w:contextualSpacing/>
        <w:jc w:val="both"/>
        <w:rPr>
          <w:lang w:val="de-DE"/>
        </w:rPr>
      </w:pPr>
      <w:r w:rsidRPr="00C83DF5">
        <w:rPr>
          <w:rFonts w:cs="Tahoma"/>
          <w:snapToGrid w:val="0"/>
          <w:color w:val="000000"/>
          <w:szCs w:val="18"/>
          <w:lang w:val="de-DE"/>
        </w:rPr>
        <w:t>die beschränkte Gewährleistung gilt nicht für kostenlose, Test-, Pre-Release- oder Beta-Versionen der Onlinedienste, und</w:t>
      </w:r>
    </w:p>
    <w:p w:rsidR="001B413E" w:rsidRPr="00C83DF5" w:rsidRDefault="001B413E" w:rsidP="001B413E">
      <w:pPr>
        <w:numPr>
          <w:ilvl w:val="0"/>
          <w:numId w:val="124"/>
        </w:numPr>
        <w:spacing w:before="120"/>
        <w:ind w:left="1080"/>
        <w:contextualSpacing/>
        <w:jc w:val="both"/>
        <w:rPr>
          <w:lang w:val="de-DE"/>
        </w:rPr>
      </w:pPr>
      <w:r w:rsidRPr="00C83DF5">
        <w:rPr>
          <w:rFonts w:cs="Tahoma"/>
          <w:snapToGrid w:val="0"/>
          <w:color w:val="000000"/>
          <w:szCs w:val="18"/>
          <w:lang w:val="de-DE"/>
        </w:rPr>
        <w:t>die beschränkte Gewährleistung gilt nicht für Probleme, die durch Nichteinhaltung der Mindestsystemanforderungen verursacht werden.</w:t>
      </w:r>
    </w:p>
    <w:p w:rsidR="00A03334" w:rsidRDefault="00A03334" w:rsidP="001B413E">
      <w:pPr>
        <w:spacing w:before="120"/>
        <w:ind w:left="720"/>
        <w:jc w:val="both"/>
        <w:rPr>
          <w:rFonts w:cs="Tahoma"/>
          <w:b/>
          <w:bCs/>
          <w:snapToGrid w:val="0"/>
          <w:color w:val="000000"/>
          <w:szCs w:val="18"/>
          <w:lang w:val="de-DE"/>
        </w:rPr>
      </w:pPr>
    </w:p>
    <w:p w:rsidR="00A03334" w:rsidRDefault="00A03334" w:rsidP="001B413E">
      <w:pPr>
        <w:spacing w:before="120"/>
        <w:ind w:left="720"/>
        <w:jc w:val="both"/>
        <w:rPr>
          <w:rFonts w:cs="Tahoma"/>
          <w:b/>
          <w:bCs/>
          <w:snapToGrid w:val="0"/>
          <w:color w:val="000000"/>
          <w:szCs w:val="18"/>
          <w:lang w:val="de-DE"/>
        </w:rPr>
      </w:pPr>
    </w:p>
    <w:p w:rsidR="00A03334" w:rsidRDefault="00A03334" w:rsidP="001B413E">
      <w:pPr>
        <w:spacing w:before="120"/>
        <w:ind w:left="720"/>
        <w:jc w:val="both"/>
        <w:rPr>
          <w:rFonts w:cs="Tahoma"/>
          <w:b/>
          <w:bCs/>
          <w:snapToGrid w:val="0"/>
          <w:color w:val="000000"/>
          <w:szCs w:val="18"/>
          <w:lang w:val="de-DE"/>
        </w:rPr>
      </w:pPr>
    </w:p>
    <w:p w:rsidR="00A03334" w:rsidRDefault="00A03334" w:rsidP="001B413E">
      <w:pPr>
        <w:spacing w:before="120"/>
        <w:ind w:left="720"/>
        <w:jc w:val="both"/>
        <w:rPr>
          <w:rFonts w:cs="Tahoma"/>
          <w:b/>
          <w:bCs/>
          <w:snapToGrid w:val="0"/>
          <w:color w:val="000000"/>
          <w:szCs w:val="18"/>
          <w:lang w:val="de-DE"/>
        </w:rPr>
      </w:pPr>
    </w:p>
    <w:p w:rsidR="001B413E" w:rsidRPr="00C83DF5" w:rsidRDefault="001B413E" w:rsidP="001B413E">
      <w:pPr>
        <w:spacing w:before="120"/>
        <w:ind w:left="720"/>
        <w:jc w:val="both"/>
        <w:rPr>
          <w:lang w:val="de-DE"/>
        </w:rPr>
      </w:pPr>
      <w:r w:rsidRPr="00C83DF5">
        <w:rPr>
          <w:rFonts w:cs="Tahoma"/>
          <w:b/>
          <w:bCs/>
          <w:snapToGrid w:val="0"/>
          <w:color w:val="000000"/>
          <w:szCs w:val="18"/>
          <w:lang w:val="de-DE"/>
        </w:rPr>
        <w:lastRenderedPageBreak/>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E71F46" w:rsidRPr="00C83DF5">
        <w:rPr>
          <w:rFonts w:cs="Tahoma"/>
          <w:b/>
          <w:bCs/>
          <w:snapToGrid w:val="0"/>
          <w:color w:val="000000"/>
          <w:szCs w:val="18"/>
          <w:lang w:val="de-DE"/>
        </w:rPr>
        <w:t xml:space="preserve"> </w:t>
      </w:r>
      <w:r w:rsidRPr="00C83DF5">
        <w:rPr>
          <w:rFonts w:cs="Tahoma"/>
          <w:b/>
          <w:bCs/>
          <w:snapToGrid w:val="0"/>
          <w:color w:val="000000"/>
          <w:szCs w:val="18"/>
          <w:lang w:val="de-DE"/>
        </w:rPr>
        <w:t>DIESE AUSSCHLÜSSE GELTEN, WENN SIE NICHT GEMÄSS ANWENDBAREM RECHT UNZULÄSSIG SIND.</w:t>
      </w:r>
    </w:p>
    <w:p w:rsidR="001B413E" w:rsidRPr="00C83DF5" w:rsidRDefault="001B413E" w:rsidP="001B413E">
      <w:pPr>
        <w:keepNext/>
        <w:spacing w:before="120" w:after="60"/>
        <w:ind w:left="720"/>
        <w:outlineLvl w:val="0"/>
      </w:pPr>
      <w:r w:rsidRPr="00C83DF5">
        <w:rPr>
          <w:rFonts w:cs="Tahoma"/>
          <w:b/>
          <w:bCs/>
          <w:iCs/>
          <w:snapToGrid w:val="0"/>
          <w:szCs w:val="18"/>
        </w:rPr>
        <w:t>Datenschutz und Sicherheit.</w:t>
      </w:r>
    </w:p>
    <w:p w:rsidR="001B413E" w:rsidRPr="00C83DF5" w:rsidRDefault="001B413E" w:rsidP="001B413E">
      <w:pPr>
        <w:numPr>
          <w:ilvl w:val="1"/>
          <w:numId w:val="129"/>
        </w:numPr>
        <w:spacing w:before="120"/>
        <w:ind w:left="1080"/>
        <w:contextualSpacing/>
        <w:jc w:val="both"/>
        <w:rPr>
          <w:lang w:val="de-DE"/>
        </w:rPr>
      </w:pPr>
      <w:r w:rsidRPr="00C83DF5">
        <w:rPr>
          <w:rFonts w:cs="Tahoma"/>
          <w:snapToGrid w:val="0"/>
          <w:color w:val="000000"/>
          <w:szCs w:val="18"/>
          <w:lang w:val="de-DE"/>
        </w:rPr>
        <w:t>Microsoft und der Kunde werden jeweils sämtliche anwendbaren Gesetze und Regelungen einhalten (einschließlich der geltenden Gesetze zur Benachrichtigung bei Sicherheitsverletzungen).</w:t>
      </w:r>
      <w:r w:rsidR="00E71F46" w:rsidRPr="00C83DF5">
        <w:rPr>
          <w:rFonts w:cs="Tahoma"/>
          <w:snapToGrid w:val="0"/>
          <w:color w:val="000000"/>
          <w:szCs w:val="18"/>
          <w:lang w:val="de-DE"/>
        </w:rPr>
        <w:t xml:space="preserve"> </w:t>
      </w:r>
      <w:r w:rsidRPr="00C83DF5">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E71F46" w:rsidRPr="00C83DF5">
        <w:rPr>
          <w:rFonts w:cs="Tahoma"/>
          <w:snapToGrid w:val="0"/>
          <w:color w:val="000000"/>
          <w:szCs w:val="18"/>
          <w:lang w:val="de-DE"/>
        </w:rPr>
        <w:t xml:space="preserve"> </w:t>
      </w:r>
      <w:r w:rsidRPr="00C83DF5">
        <w:rPr>
          <w:rFonts w:cs="Tahoma"/>
          <w:snapToGrid w:val="0"/>
          <w:color w:val="000000"/>
          <w:szCs w:val="18"/>
          <w:lang w:val="de-DE"/>
        </w:rPr>
        <w:t>Der Kunde stimmt der Verarbeitung von persönlichen Informationen durch Microsoft und ihre Vertreter zur Förderung des Gegenstandes des Vertrages, einschließlich dieser Ergänzenden Bestimmungen, zu.</w:t>
      </w:r>
    </w:p>
    <w:p w:rsidR="001B413E" w:rsidRPr="00C83DF5" w:rsidRDefault="001B413E" w:rsidP="001B413E">
      <w:pPr>
        <w:numPr>
          <w:ilvl w:val="1"/>
          <w:numId w:val="129"/>
        </w:numPr>
        <w:spacing w:before="120"/>
        <w:ind w:left="1080"/>
        <w:contextualSpacing/>
        <w:jc w:val="both"/>
        <w:rPr>
          <w:lang w:val="de-DE"/>
        </w:rPr>
      </w:pPr>
      <w:r w:rsidRPr="00C83DF5">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w:t>
      </w:r>
      <w:r w:rsidR="00E71F46" w:rsidRPr="00C83DF5">
        <w:rPr>
          <w:rFonts w:cs="Tahoma"/>
          <w:snapToGrid w:val="0"/>
          <w:color w:val="000000"/>
          <w:szCs w:val="18"/>
          <w:lang w:val="de-DE"/>
        </w:rPr>
        <w:t xml:space="preserve"> </w:t>
      </w:r>
      <w:r w:rsidRPr="00C83DF5">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rsidR="001B413E" w:rsidRPr="00C83DF5" w:rsidRDefault="001B413E" w:rsidP="001B413E">
      <w:pPr>
        <w:numPr>
          <w:ilvl w:val="1"/>
          <w:numId w:val="129"/>
        </w:numPr>
        <w:spacing w:before="120"/>
        <w:ind w:left="1080"/>
        <w:contextualSpacing/>
        <w:jc w:val="both"/>
        <w:rPr>
          <w:lang w:val="de-DE"/>
        </w:rPr>
      </w:pPr>
      <w:r w:rsidRPr="00C83DF5">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36" w:history="1">
        <w:r w:rsidRPr="00C83DF5">
          <w:rPr>
            <w:rFonts w:cs="Tahoma"/>
            <w:snapToGrid w:val="0"/>
            <w:color w:val="0000FF"/>
            <w:szCs w:val="18"/>
            <w:u w:val="single"/>
            <w:lang w:val="de-DE"/>
          </w:rPr>
          <w:t>https://www.microsoft.com/licensing/servicecenter</w:t>
        </w:r>
      </w:hyperlink>
      <w:r w:rsidRPr="00C83DF5">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E71F46" w:rsidRPr="00C83DF5">
        <w:rPr>
          <w:rFonts w:cs="Tahoma"/>
          <w:snapToGrid w:val="0"/>
          <w:color w:val="000000"/>
          <w:szCs w:val="18"/>
          <w:lang w:val="de-DE"/>
        </w:rPr>
        <w:t xml:space="preserve"> </w:t>
      </w:r>
      <w:r w:rsidRPr="00C83DF5">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E71F46" w:rsidRPr="00C83DF5">
        <w:rPr>
          <w:rFonts w:cs="Tahoma"/>
          <w:snapToGrid w:val="0"/>
          <w:color w:val="000000"/>
          <w:szCs w:val="18"/>
          <w:lang w:val="de-DE"/>
        </w:rPr>
        <w:t xml:space="preserve"> </w:t>
      </w:r>
      <w:r w:rsidRPr="00C83DF5">
        <w:rPr>
          <w:rFonts w:cs="Tahoma"/>
          <w:snapToGrid w:val="0"/>
          <w:color w:val="000000"/>
          <w:szCs w:val="18"/>
          <w:lang w:val="de-DE"/>
        </w:rPr>
        <w:t>Durch Verwendung der Onlinedienste stimmt der Kunde den zuvor genannten Bestimmungen zu.</w:t>
      </w:r>
      <w:r w:rsidR="00E71F46" w:rsidRPr="00C83DF5">
        <w:rPr>
          <w:rFonts w:cs="Tahoma"/>
          <w:snapToGrid w:val="0"/>
          <w:color w:val="000000"/>
          <w:szCs w:val="18"/>
          <w:lang w:val="de-DE"/>
        </w:rPr>
        <w:t xml:space="preserve"> </w:t>
      </w:r>
      <w:r w:rsidRPr="00C83DF5">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E71F46" w:rsidRPr="00C83DF5">
        <w:rPr>
          <w:rFonts w:cs="Tahoma"/>
          <w:snapToGrid w:val="0"/>
          <w:color w:val="000000"/>
          <w:szCs w:val="18"/>
          <w:lang w:val="de-DE"/>
        </w:rPr>
        <w:t xml:space="preserve"> </w:t>
      </w:r>
    </w:p>
    <w:p w:rsidR="001B413E" w:rsidRPr="00C83DF5" w:rsidRDefault="001B413E" w:rsidP="001B413E">
      <w:pPr>
        <w:keepNext/>
        <w:spacing w:before="120" w:after="60"/>
        <w:ind w:left="720"/>
        <w:outlineLvl w:val="0"/>
        <w:rPr>
          <w:lang w:val="de-DE"/>
        </w:rPr>
      </w:pPr>
      <w:r w:rsidRPr="00C83DF5">
        <w:rPr>
          <w:rFonts w:cs="Tahoma"/>
          <w:b/>
          <w:bCs/>
          <w:iCs/>
          <w:snapToGrid w:val="0"/>
          <w:szCs w:val="18"/>
          <w:lang w:val="de-DE"/>
        </w:rPr>
        <w:t>Schutzvereinbarung des Kunden.</w:t>
      </w:r>
    </w:p>
    <w:p w:rsidR="001B413E" w:rsidRPr="00C83DF5" w:rsidRDefault="001B413E" w:rsidP="001B413E">
      <w:pPr>
        <w:ind w:left="720"/>
        <w:jc w:val="both"/>
        <w:rPr>
          <w:lang w:val="de-DE"/>
        </w:rPr>
      </w:pPr>
      <w:r w:rsidRPr="00C83DF5">
        <w:rPr>
          <w:rFonts w:cs="Tahoma"/>
          <w:snapToGrid w:val="0"/>
          <w:color w:val="000000"/>
          <w:szCs w:val="18"/>
          <w:lang w:val="de-DE"/>
        </w:rPr>
        <w:t>Der Kunde verteidigt Microsoft gegen jegliche Ansprüche, die von nicht verbundenen Dritten geltend gemacht werden und die:</w:t>
      </w:r>
    </w:p>
    <w:p w:rsidR="001B413E" w:rsidRPr="00C83DF5" w:rsidRDefault="001B413E" w:rsidP="001B413E">
      <w:pPr>
        <w:numPr>
          <w:ilvl w:val="0"/>
          <w:numId w:val="130"/>
        </w:numPr>
        <w:spacing w:before="120"/>
        <w:ind w:left="1260" w:hanging="540"/>
        <w:contextualSpacing/>
        <w:jc w:val="both"/>
        <w:rPr>
          <w:lang w:val="de-DE"/>
        </w:rPr>
      </w:pPr>
      <w:r w:rsidRPr="00C83DF5">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1B413E" w:rsidRPr="00C83DF5" w:rsidRDefault="001B413E" w:rsidP="001B413E">
      <w:pPr>
        <w:numPr>
          <w:ilvl w:val="0"/>
          <w:numId w:val="130"/>
        </w:numPr>
        <w:spacing w:before="120"/>
        <w:ind w:left="1260" w:hanging="540"/>
        <w:contextualSpacing/>
        <w:jc w:val="both"/>
        <w:rPr>
          <w:lang w:val="de-DE"/>
        </w:rPr>
      </w:pPr>
      <w:r w:rsidRPr="00C83DF5">
        <w:rPr>
          <w:rFonts w:cs="Tahoma"/>
          <w:snapToGrid w:val="0"/>
          <w:color w:val="000000"/>
          <w:szCs w:val="18"/>
          <w:lang w:val="de-DE"/>
        </w:rPr>
        <w:t>durch die Verletzung der Bestimmungen Acceptable Use Policy entstehen, die in den Produktbenutzungsrechten beschrieben ist.</w:t>
      </w:r>
    </w:p>
    <w:p w:rsidR="001B413E" w:rsidRPr="00C83DF5" w:rsidRDefault="001B413E" w:rsidP="001B413E">
      <w:pPr>
        <w:spacing w:before="120"/>
        <w:ind w:left="720"/>
        <w:jc w:val="both"/>
        <w:rPr>
          <w:lang w:val="de-DE"/>
        </w:rPr>
      </w:pPr>
      <w:r w:rsidRPr="00C83DF5">
        <w:rPr>
          <w:rFonts w:cs="Tahoma"/>
          <w:snapToGrid w:val="0"/>
          <w:color w:val="000000"/>
          <w:szCs w:val="18"/>
          <w:lang w:val="de-DE"/>
        </w:rPr>
        <w:t>Der Kunde muss außerdem die Summe eines hieraus resultierenden rechtskräftigen Urteils gegen Microsoft bezahlen (oder eines Vergleichs, dem der Kunde zustimmt).</w:t>
      </w:r>
      <w:r w:rsidR="00E71F46" w:rsidRPr="00C83DF5">
        <w:rPr>
          <w:rFonts w:cs="Tahoma"/>
          <w:snapToGrid w:val="0"/>
          <w:color w:val="000000"/>
          <w:szCs w:val="18"/>
          <w:lang w:val="de-DE"/>
        </w:rPr>
        <w:t xml:space="preserve"> </w:t>
      </w:r>
      <w:r w:rsidRPr="00C83DF5">
        <w:rPr>
          <w:rFonts w:cs="Tahoma"/>
          <w:snapToGrid w:val="0"/>
          <w:color w:val="000000"/>
          <w:szCs w:val="18"/>
          <w:lang w:val="de-DE"/>
        </w:rPr>
        <w:t>Diese Ziffer bestimmt den ausschließlichen Abhilfeanspruch von Microsoft in Bezug auf diese Ansprüche.</w:t>
      </w:r>
    </w:p>
    <w:p w:rsidR="001B413E" w:rsidRPr="00C83DF5" w:rsidRDefault="001B413E" w:rsidP="001B413E">
      <w:pPr>
        <w:spacing w:before="120"/>
        <w:ind w:left="720"/>
        <w:jc w:val="both"/>
        <w:rPr>
          <w:lang w:val="de-DE"/>
        </w:rPr>
      </w:pPr>
      <w:r w:rsidRPr="00C83DF5">
        <w:rPr>
          <w:rFonts w:cs="Tahoma"/>
          <w:snapToGrid w:val="0"/>
          <w:color w:val="000000"/>
          <w:szCs w:val="18"/>
          <w:lang w:val="de-DE"/>
        </w:rPr>
        <w:t>Microsoft muss den Kunden unverzüglich schriftlich über einen Anspruch gemäß dieser Ziffer in Kenntnis setzen.</w:t>
      </w:r>
      <w:r w:rsidR="00E71F46" w:rsidRPr="00C83DF5">
        <w:rPr>
          <w:rFonts w:cs="Tahoma"/>
          <w:snapToGrid w:val="0"/>
          <w:color w:val="000000"/>
          <w:szCs w:val="18"/>
          <w:lang w:val="de-DE"/>
        </w:rPr>
        <w:t xml:space="preserve"> </w:t>
      </w:r>
      <w:r w:rsidRPr="00C83DF5">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rsidR="00A03334" w:rsidRDefault="00A03334" w:rsidP="00A03334">
      <w:pPr>
        <w:spacing w:before="120" w:after="60"/>
        <w:ind w:left="720"/>
        <w:outlineLvl w:val="0"/>
        <w:rPr>
          <w:rFonts w:cs="Tahoma"/>
          <w:b/>
          <w:bCs/>
          <w:iCs/>
          <w:snapToGrid w:val="0"/>
          <w:szCs w:val="18"/>
          <w:lang w:val="de-DE"/>
        </w:rPr>
      </w:pPr>
    </w:p>
    <w:p w:rsidR="00A03334" w:rsidRDefault="00A03334" w:rsidP="00A03334">
      <w:pPr>
        <w:spacing w:before="120" w:after="60"/>
        <w:ind w:left="720"/>
        <w:outlineLvl w:val="0"/>
        <w:rPr>
          <w:rFonts w:cs="Tahoma"/>
          <w:b/>
          <w:bCs/>
          <w:iCs/>
          <w:snapToGrid w:val="0"/>
          <w:szCs w:val="18"/>
          <w:lang w:val="de-DE"/>
        </w:rPr>
      </w:pPr>
    </w:p>
    <w:p w:rsidR="00A03334" w:rsidRDefault="00A03334" w:rsidP="00A03334">
      <w:pPr>
        <w:spacing w:before="120" w:after="60"/>
        <w:ind w:left="720"/>
        <w:outlineLvl w:val="0"/>
        <w:rPr>
          <w:rFonts w:cs="Tahoma"/>
          <w:b/>
          <w:bCs/>
          <w:iCs/>
          <w:snapToGrid w:val="0"/>
          <w:szCs w:val="18"/>
          <w:lang w:val="de-DE"/>
        </w:rPr>
      </w:pPr>
    </w:p>
    <w:p w:rsidR="00A03334" w:rsidRDefault="00A03334" w:rsidP="00A03334">
      <w:pPr>
        <w:spacing w:before="120" w:after="60"/>
        <w:ind w:left="720"/>
        <w:outlineLvl w:val="0"/>
        <w:rPr>
          <w:rFonts w:cs="Tahoma"/>
          <w:b/>
          <w:bCs/>
          <w:iCs/>
          <w:snapToGrid w:val="0"/>
          <w:szCs w:val="18"/>
          <w:lang w:val="de-DE"/>
        </w:rPr>
      </w:pPr>
    </w:p>
    <w:p w:rsidR="001B413E" w:rsidRPr="00C83DF5" w:rsidRDefault="001B413E" w:rsidP="001B413E">
      <w:pPr>
        <w:keepNext/>
        <w:spacing w:before="120" w:after="60"/>
        <w:ind w:left="720"/>
        <w:outlineLvl w:val="0"/>
        <w:rPr>
          <w:lang w:val="de-DE"/>
        </w:rPr>
      </w:pPr>
      <w:r w:rsidRPr="00C83DF5">
        <w:rPr>
          <w:rFonts w:cs="Tahoma"/>
          <w:b/>
          <w:bCs/>
          <w:iCs/>
          <w:snapToGrid w:val="0"/>
          <w:szCs w:val="18"/>
          <w:lang w:val="de-DE"/>
        </w:rPr>
        <w:lastRenderedPageBreak/>
        <w:t>Haftungsbeschränkung.</w:t>
      </w:r>
    </w:p>
    <w:p w:rsidR="001B413E" w:rsidRPr="00C83DF5" w:rsidRDefault="001B413E" w:rsidP="001B413E">
      <w:pPr>
        <w:ind w:left="720"/>
        <w:jc w:val="both"/>
      </w:pPr>
      <w:r w:rsidRPr="00C83DF5">
        <w:rPr>
          <w:rFonts w:cs="Tahoma"/>
          <w:snapToGrid w:val="0"/>
          <w:color w:val="000000"/>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E71F46" w:rsidRPr="00C83DF5">
        <w:rPr>
          <w:rFonts w:cs="Tahoma"/>
          <w:snapToGrid w:val="0"/>
          <w:color w:val="000000"/>
          <w:szCs w:val="18"/>
          <w:lang w:val="de-DE"/>
        </w:rPr>
        <w:t xml:space="preserve"> </w:t>
      </w:r>
      <w:r w:rsidRPr="00C83DF5">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E71F46" w:rsidRPr="00C83DF5">
        <w:rPr>
          <w:rFonts w:cs="Tahoma"/>
          <w:snapToGrid w:val="0"/>
          <w:color w:val="000000"/>
          <w:szCs w:val="18"/>
          <w:lang w:val="de-DE"/>
        </w:rPr>
        <w:t xml:space="preserve"> </w:t>
      </w:r>
      <w:r w:rsidRPr="00C83DF5">
        <w:rPr>
          <w:rFonts w:cs="Tahoma"/>
          <w:snapToGrid w:val="0"/>
          <w:color w:val="000000"/>
          <w:szCs w:val="18"/>
        </w:rPr>
        <w:t>Diese finanziellen Beschränkungen finden jedoch keine Anwendung auf:</w:t>
      </w:r>
    </w:p>
    <w:p w:rsidR="001B413E" w:rsidRPr="00C83DF5" w:rsidRDefault="001B413E" w:rsidP="001B413E">
      <w:pPr>
        <w:numPr>
          <w:ilvl w:val="0"/>
          <w:numId w:val="125"/>
        </w:numPr>
        <w:spacing w:before="120"/>
        <w:ind w:left="1170" w:hanging="450"/>
        <w:contextualSpacing/>
        <w:jc w:val="both"/>
        <w:rPr>
          <w:lang w:val="de-DE"/>
        </w:rPr>
      </w:pPr>
      <w:r w:rsidRPr="00C83DF5">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1B413E" w:rsidRPr="00C83DF5" w:rsidRDefault="001B413E" w:rsidP="001B413E">
      <w:pPr>
        <w:numPr>
          <w:ilvl w:val="0"/>
          <w:numId w:val="125"/>
        </w:numPr>
        <w:spacing w:before="120"/>
        <w:ind w:left="1170" w:hanging="450"/>
        <w:contextualSpacing/>
        <w:jc w:val="both"/>
        <w:rPr>
          <w:lang w:val="de-DE"/>
        </w:rPr>
      </w:pPr>
      <w:r w:rsidRPr="00C83DF5">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1B413E" w:rsidRPr="00C83DF5" w:rsidRDefault="001B413E" w:rsidP="001B413E">
      <w:pPr>
        <w:numPr>
          <w:ilvl w:val="0"/>
          <w:numId w:val="125"/>
        </w:numPr>
        <w:spacing w:before="120"/>
        <w:ind w:left="1170" w:hanging="450"/>
        <w:contextualSpacing/>
        <w:jc w:val="both"/>
        <w:rPr>
          <w:lang w:val="de-DE"/>
        </w:rPr>
      </w:pPr>
      <w:r w:rsidRPr="00C83DF5">
        <w:rPr>
          <w:rFonts w:cs="Tahoma"/>
          <w:snapToGrid w:val="0"/>
          <w:color w:val="000000"/>
          <w:szCs w:val="18"/>
          <w:lang w:val="de-DE"/>
        </w:rPr>
        <w:t>Verletzung der gewerblichen Schutzrechte/Urheberrechte einer Partei durch die andere Partei.</w:t>
      </w:r>
    </w:p>
    <w:p w:rsidR="001B413E" w:rsidRPr="00C83DF5" w:rsidRDefault="001B413E" w:rsidP="001B413E">
      <w:pPr>
        <w:spacing w:before="120"/>
        <w:ind w:left="720"/>
        <w:jc w:val="both"/>
        <w:rPr>
          <w:lang w:val="de-DE"/>
        </w:rPr>
      </w:pPr>
      <w:r w:rsidRPr="00C83DF5">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E71F46" w:rsidRPr="00C83DF5">
        <w:rPr>
          <w:rFonts w:cs="Tahoma"/>
          <w:b/>
          <w:bCs/>
          <w:snapToGrid w:val="0"/>
          <w:color w:val="000000"/>
          <w:szCs w:val="18"/>
          <w:lang w:val="de-DE"/>
        </w:rPr>
        <w:t xml:space="preserve"> </w:t>
      </w:r>
      <w:r w:rsidRPr="00C83DF5">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1B413E" w:rsidRPr="00C83DF5" w:rsidRDefault="001B413E" w:rsidP="001B413E">
      <w:pPr>
        <w:keepNext/>
        <w:spacing w:before="120" w:after="60"/>
        <w:ind w:left="720"/>
        <w:outlineLvl w:val="0"/>
        <w:rPr>
          <w:lang w:val="de-DE"/>
        </w:rPr>
      </w:pPr>
      <w:r w:rsidRPr="00C83DF5">
        <w:rPr>
          <w:rFonts w:cs="Tahoma"/>
          <w:b/>
          <w:bCs/>
          <w:iCs/>
          <w:snapToGrid w:val="0"/>
          <w:szCs w:val="18"/>
          <w:lang w:val="de-DE"/>
        </w:rPr>
        <w:t>Vertragspartner.</w:t>
      </w:r>
    </w:p>
    <w:p w:rsidR="008A1637" w:rsidRPr="00C83DF5" w:rsidRDefault="001B413E" w:rsidP="00452CE4">
      <w:pPr>
        <w:ind w:left="720"/>
        <w:rPr>
          <w:lang w:val="de-DE"/>
        </w:rPr>
      </w:pPr>
      <w:r w:rsidRPr="00C83DF5">
        <w:rPr>
          <w:rFonts w:cs="Tahoma"/>
          <w:snapToGrid w:val="0"/>
          <w:szCs w:val="18"/>
          <w:lang w:val="de-DE"/>
        </w:rPr>
        <w:t>Microsoft ist berechtigt, Vertragspartner zur Unterstützung von Onlinediensten einzusetzen.</w:t>
      </w:r>
      <w:r w:rsidR="00E71F46" w:rsidRPr="00C83DF5">
        <w:rPr>
          <w:rFonts w:cs="Tahoma"/>
          <w:snapToGrid w:val="0"/>
          <w:szCs w:val="18"/>
          <w:lang w:val="de-DE"/>
        </w:rPr>
        <w:t xml:space="preserve"> </w:t>
      </w:r>
      <w:r w:rsidRPr="00C83DF5">
        <w:rPr>
          <w:rFonts w:cs="Tahoma"/>
          <w:snapToGrid w:val="0"/>
          <w:szCs w:val="18"/>
          <w:lang w:val="de-DE"/>
        </w:rPr>
        <w:t>Microsoft ist für</w:t>
      </w:r>
      <w:r w:rsidR="00452CE4">
        <w:rPr>
          <w:rFonts w:cs="Tahoma"/>
          <w:snapToGrid w:val="0"/>
          <w:szCs w:val="18"/>
          <w:lang w:val="de-DE"/>
        </w:rPr>
        <w:t> </w:t>
      </w:r>
      <w:r w:rsidRPr="00C83DF5">
        <w:rPr>
          <w:rFonts w:cs="Tahoma"/>
          <w:snapToGrid w:val="0"/>
          <w:szCs w:val="18"/>
          <w:lang w:val="de-DE"/>
        </w:rPr>
        <w:t>deren Leistung gemäß den Bestimmungen des Volumenlizenzvertrags des Kunden verantwortlich.</w:t>
      </w:r>
    </w:p>
    <w:p w:rsidR="00023FE7" w:rsidRPr="00C83DF5" w:rsidRDefault="008A1637" w:rsidP="00B0065F">
      <w:pPr>
        <w:pStyle w:val="Heading1"/>
        <w:rPr>
          <w:lang w:val="de-DE"/>
        </w:rPr>
      </w:pPr>
      <w:r w:rsidRPr="00C83DF5">
        <w:rPr>
          <w:lang w:val="de-DE"/>
        </w:rPr>
        <w:br w:type="page"/>
      </w:r>
      <w:bookmarkStart w:id="935" w:name="_Toc336338255"/>
      <w:bookmarkStart w:id="936" w:name="_Toc370983365"/>
      <w:r w:rsidRPr="00C83DF5">
        <w:rPr>
          <w:lang w:val="de-DE"/>
        </w:rPr>
        <w:lastRenderedPageBreak/>
        <w:t>ProduktHINWEISE</w:t>
      </w:r>
      <w:bookmarkEnd w:id="935"/>
      <w:bookmarkEnd w:id="936"/>
    </w:p>
    <w:p w:rsidR="00023FE7" w:rsidRPr="008B3D04" w:rsidRDefault="00023FE7" w:rsidP="00BF6692">
      <w:pPr>
        <w:pStyle w:val="Heading2"/>
        <w:ind w:hanging="540"/>
        <w:rPr>
          <w:rFonts w:ascii="Tahoma" w:hAnsi="Tahoma" w:cs="Tahoma"/>
          <w:sz w:val="28"/>
          <w:szCs w:val="28"/>
          <w:lang w:val="de-DE"/>
        </w:rPr>
      </w:pPr>
    </w:p>
    <w:p w:rsidR="00023FE7" w:rsidRPr="00C83DF5" w:rsidRDefault="00023FE7">
      <w:pPr>
        <w:pStyle w:val="Heading2"/>
        <w:ind w:left="0"/>
        <w:rPr>
          <w:lang w:val="de-DE"/>
        </w:rPr>
      </w:pPr>
      <w:bookmarkStart w:id="937" w:name="_Toc336338256"/>
      <w:bookmarkStart w:id="938" w:name="_Toc370983366"/>
      <w:r w:rsidRPr="00C83DF5">
        <w:rPr>
          <w:rFonts w:ascii="Tahoma" w:hAnsi="Tahoma" w:cs="Tahoma"/>
          <w:sz w:val="28"/>
          <w:lang w:val="de-DE"/>
        </w:rPr>
        <w:t>Anwendungs-Pool</w:t>
      </w:r>
      <w:bookmarkEnd w:id="937"/>
      <w:bookmarkEnd w:id="938"/>
    </w:p>
    <w:p w:rsidR="00023FE7" w:rsidRPr="00C83DF5" w:rsidRDefault="00023FE7" w:rsidP="00D94745">
      <w:pPr>
        <w:rPr>
          <w:lang w:val="de-DE"/>
        </w:rPr>
      </w:pPr>
      <w:bookmarkStart w:id="939" w:name="_1_Data_Analyzer"/>
      <w:bookmarkStart w:id="940" w:name="Aps_1BingMapsDesktopandContentPack"/>
      <w:bookmarkEnd w:id="939"/>
    </w:p>
    <w:p w:rsidR="004A2FC2" w:rsidRPr="00C83DF5" w:rsidRDefault="004A2FC2" w:rsidP="004A2FC2">
      <w:pPr>
        <w:rPr>
          <w:lang w:val="de-DE"/>
        </w:rPr>
      </w:pPr>
      <w:bookmarkStart w:id="941" w:name="Aps_ExpStudioproducts"/>
      <w:bookmarkStart w:id="942" w:name="Aps_ExpStudio2"/>
      <w:bookmarkStart w:id="943" w:name="Aps_1ExpStudio3"/>
      <w:bookmarkEnd w:id="940"/>
    </w:p>
    <w:p w:rsidR="00176313" w:rsidRPr="00C83DF5" w:rsidRDefault="00B54C21" w:rsidP="004A2FC2">
      <w:pPr>
        <w:pStyle w:val="Heading3"/>
        <w:ind w:left="180" w:hanging="180"/>
        <w:rPr>
          <w:lang w:val="de-DE"/>
        </w:rPr>
      </w:pPr>
      <w:bookmarkStart w:id="944" w:name="_12_Expression_Encoder"/>
      <w:bookmarkStart w:id="945" w:name="_1_Expression_Encoder"/>
      <w:bookmarkStart w:id="946" w:name="_Toc336338258"/>
      <w:bookmarkStart w:id="947" w:name="_Toc370983367"/>
      <w:bookmarkEnd w:id="944"/>
      <w:bookmarkEnd w:id="945"/>
      <w:r w:rsidRPr="00C83DF5">
        <w:rPr>
          <w:rFonts w:ascii="Tahoma" w:hAnsi="Tahoma"/>
          <w:caps/>
          <w:color w:val="F66400"/>
          <w:sz w:val="22"/>
          <w:vertAlign w:val="superscript"/>
          <w:lang w:val="de-DE"/>
        </w:rPr>
        <w:t>1</w:t>
      </w:r>
      <w:r w:rsidRPr="00C83DF5">
        <w:rPr>
          <w:rFonts w:ascii="Tahoma" w:hAnsi="Tahoma"/>
          <w:color w:val="F66400"/>
          <w:sz w:val="22"/>
          <w:lang w:val="de-DE"/>
        </w:rPr>
        <w:t xml:space="preserve"> Expression Encoder Pro 4</w:t>
      </w:r>
      <w:bookmarkEnd w:id="941"/>
      <w:bookmarkEnd w:id="946"/>
      <w:bookmarkEnd w:id="947"/>
    </w:p>
    <w:p w:rsidR="00176313" w:rsidRPr="00C83DF5" w:rsidRDefault="00176313" w:rsidP="004A2FC2">
      <w:pPr>
        <w:rPr>
          <w:lang w:val="de-DE"/>
        </w:rPr>
      </w:pPr>
    </w:p>
    <w:p w:rsidR="00176313" w:rsidRPr="00C83DF5" w:rsidRDefault="00176313" w:rsidP="00864B8A">
      <w:pPr>
        <w:spacing w:after="60"/>
        <w:ind w:left="720"/>
        <w:rPr>
          <w:lang w:val="de-DE"/>
        </w:rPr>
      </w:pPr>
      <w:r w:rsidRPr="00C83DF5">
        <w:rPr>
          <w:rFonts w:cs="Tahoma"/>
          <w:b/>
          <w:szCs w:val="20"/>
          <w:lang w:val="de-DE"/>
        </w:rPr>
        <w:t>Expression Encoder Pro 4</w:t>
      </w:r>
    </w:p>
    <w:p w:rsidR="00176313" w:rsidRPr="00C83DF5" w:rsidRDefault="00176313" w:rsidP="00BF6692">
      <w:pPr>
        <w:ind w:left="720"/>
        <w:rPr>
          <w:lang w:val="de-DE"/>
        </w:rPr>
      </w:pPr>
      <w:r w:rsidRPr="00C83DF5">
        <w:rPr>
          <w:rFonts w:cs="Tahoma"/>
          <w:color w:val="000000"/>
          <w:szCs w:val="18"/>
          <w:lang w:val="de-DE"/>
        </w:rPr>
        <w:t>Bei der Produktlinie Expression wurden Änderungen an den Markennamen vorgenommen.</w:t>
      </w:r>
      <w:r w:rsidR="00E71F46" w:rsidRPr="00C83DF5">
        <w:rPr>
          <w:rFonts w:cs="Tahoma"/>
          <w:color w:val="000000"/>
          <w:szCs w:val="18"/>
          <w:lang w:val="de-DE"/>
        </w:rPr>
        <w:t xml:space="preserve"> </w:t>
      </w:r>
      <w:r w:rsidRPr="00C83DF5">
        <w:rPr>
          <w:rFonts w:cs="Tahoma"/>
          <w:color w:val="000000"/>
          <w:szCs w:val="18"/>
          <w:lang w:val="de-DE"/>
        </w:rPr>
        <w:t>Es wurde nur</w:t>
      </w:r>
      <w:r w:rsidR="00BF6692">
        <w:rPr>
          <w:rFonts w:cs="Tahoma"/>
          <w:color w:val="000000"/>
          <w:szCs w:val="18"/>
          <w:lang w:val="de-DE"/>
        </w:rPr>
        <w:t> </w:t>
      </w:r>
      <w:r w:rsidRPr="00C83DF5">
        <w:rPr>
          <w:rFonts w:cs="Tahoma"/>
          <w:color w:val="000000"/>
          <w:szCs w:val="18"/>
          <w:lang w:val="de-DE"/>
        </w:rPr>
        <w:t>der</w:t>
      </w:r>
      <w:r w:rsidR="00BF6692">
        <w:rPr>
          <w:rFonts w:cs="Tahoma"/>
          <w:color w:val="000000"/>
          <w:szCs w:val="18"/>
          <w:lang w:val="de-DE"/>
        </w:rPr>
        <w:t> </w:t>
      </w:r>
      <w:r w:rsidRPr="00C83DF5">
        <w:rPr>
          <w:rFonts w:cs="Tahoma"/>
          <w:color w:val="000000"/>
          <w:szCs w:val="18"/>
          <w:lang w:val="de-DE"/>
        </w:rPr>
        <w:t>Produktmarkenname geändert; die Software der Version 3 und die Software der Version 4 sind identisch.</w:t>
      </w:r>
      <w:r w:rsidR="00E71F46" w:rsidRPr="00C83DF5">
        <w:rPr>
          <w:rFonts w:cs="Tahoma"/>
          <w:color w:val="000000"/>
          <w:szCs w:val="18"/>
          <w:lang w:val="de-DE"/>
        </w:rPr>
        <w:t xml:space="preserve"> </w:t>
      </w:r>
      <w:r w:rsidRPr="00C83DF5">
        <w:rPr>
          <w:rFonts w:cs="Tahoma"/>
          <w:color w:val="000000"/>
          <w:szCs w:val="18"/>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w:t>
      </w:r>
      <w:r w:rsidR="00E71F46" w:rsidRPr="00C83DF5">
        <w:rPr>
          <w:rFonts w:cs="Tahoma"/>
          <w:color w:val="000000"/>
          <w:szCs w:val="18"/>
          <w:lang w:val="de-DE"/>
        </w:rPr>
        <w:t xml:space="preserve"> </w:t>
      </w:r>
      <w:r w:rsidRPr="00C83DF5">
        <w:rPr>
          <w:rFonts w:cs="Tahoma"/>
          <w:color w:val="000000"/>
          <w:szCs w:val="18"/>
          <w:lang w:val="de-DE"/>
        </w:rPr>
        <w:t>Durch die Änderung der Marke werden die Gewährleistung oder Supportverpflichtungen von Microsoft in Verbindung mit Software Assurance für die Produkte nicht verlängert.</w:t>
      </w:r>
    </w:p>
    <w:p w:rsidR="00973A93" w:rsidRPr="008B3D04" w:rsidRDefault="00973A93">
      <w:pPr>
        <w:rPr>
          <w:rFonts w:cs="Tahoma"/>
          <w:b/>
          <w:szCs w:val="20"/>
          <w:lang w:val="de-DE"/>
        </w:rPr>
      </w:pPr>
    </w:p>
    <w:p w:rsidR="004A2FC2" w:rsidRPr="008B3D04" w:rsidRDefault="004A2FC2" w:rsidP="004A2FC2">
      <w:pPr>
        <w:rPr>
          <w:rFonts w:cs="Tahoma"/>
          <w:color w:val="000000"/>
          <w:szCs w:val="18"/>
          <w:lang w:val="de-DE"/>
        </w:rPr>
      </w:pPr>
      <w:bookmarkStart w:id="948" w:name="_Toc254806117"/>
      <w:bookmarkStart w:id="949" w:name="Aps_MSDNOPSystems"/>
      <w:bookmarkStart w:id="950" w:name="Aps_3MSDNOPSystems"/>
      <w:bookmarkStart w:id="951" w:name="Aps_5OffCommunicator07"/>
      <w:bookmarkEnd w:id="942"/>
      <w:bookmarkEnd w:id="943"/>
    </w:p>
    <w:p w:rsidR="00E316C2" w:rsidRPr="00C83DF5" w:rsidRDefault="00B54C21" w:rsidP="00E316C2">
      <w:pPr>
        <w:pStyle w:val="Heading3"/>
        <w:rPr>
          <w:lang w:val="de-DE"/>
        </w:rPr>
      </w:pPr>
      <w:bookmarkStart w:id="952" w:name="_23_Lync_for"/>
      <w:bookmarkStart w:id="953" w:name="_2_Lync_for"/>
      <w:bookmarkStart w:id="954" w:name="_2_Lync_für"/>
      <w:bookmarkStart w:id="955" w:name="_Toc336338259"/>
      <w:bookmarkStart w:id="956" w:name="Aps_3Lync2010"/>
      <w:bookmarkStart w:id="957" w:name="_Toc370983368"/>
      <w:bookmarkEnd w:id="952"/>
      <w:bookmarkEnd w:id="953"/>
      <w:bookmarkEnd w:id="954"/>
      <w:r w:rsidRPr="00C83DF5">
        <w:rPr>
          <w:rFonts w:ascii="Tahoma" w:hAnsi="Tahoma"/>
          <w:caps/>
          <w:color w:val="F66400"/>
          <w:sz w:val="22"/>
          <w:vertAlign w:val="superscript"/>
          <w:lang w:val="de-DE"/>
        </w:rPr>
        <w:t>2</w:t>
      </w:r>
      <w:r w:rsidRPr="00C83DF5">
        <w:rPr>
          <w:rFonts w:ascii="Tahoma" w:hAnsi="Tahoma"/>
          <w:color w:val="F66400"/>
          <w:sz w:val="22"/>
          <w:lang w:val="de-DE"/>
        </w:rPr>
        <w:t xml:space="preserve"> </w:t>
      </w:r>
      <w:bookmarkStart w:id="958" w:name="Aps_4LyncforMac2011"/>
      <w:r w:rsidRPr="00C83DF5">
        <w:rPr>
          <w:rFonts w:ascii="Tahoma" w:hAnsi="Tahoma"/>
          <w:color w:val="F66400"/>
          <w:sz w:val="22"/>
          <w:lang w:val="de-DE"/>
        </w:rPr>
        <w:t xml:space="preserve">Lync </w:t>
      </w:r>
      <w:bookmarkEnd w:id="955"/>
      <w:r w:rsidRPr="00C83DF5">
        <w:rPr>
          <w:rFonts w:ascii="Tahoma" w:hAnsi="Tahoma"/>
          <w:color w:val="F66400"/>
          <w:sz w:val="22"/>
          <w:lang w:val="de-DE"/>
        </w:rPr>
        <w:t>für Mac 2011</w:t>
      </w:r>
      <w:bookmarkEnd w:id="957"/>
      <w:bookmarkEnd w:id="958"/>
    </w:p>
    <w:p w:rsidR="00AE5A9F" w:rsidRPr="008B3D04" w:rsidRDefault="00AE5A9F" w:rsidP="00AE5A9F">
      <w:pPr>
        <w:rPr>
          <w:lang w:val="de-DE"/>
        </w:rPr>
      </w:pPr>
    </w:p>
    <w:bookmarkEnd w:id="956"/>
    <w:p w:rsidR="004A2FC2" w:rsidRPr="00C83DF5" w:rsidRDefault="00E316C2" w:rsidP="00864B8A">
      <w:pPr>
        <w:spacing w:after="60"/>
        <w:ind w:left="720"/>
        <w:rPr>
          <w:lang w:val="de-DE"/>
        </w:rPr>
      </w:pPr>
      <w:r w:rsidRPr="00C83DF5">
        <w:rPr>
          <w:rFonts w:cs="Tahoma"/>
          <w:b/>
          <w:szCs w:val="20"/>
          <w:lang w:val="de-DE"/>
        </w:rPr>
        <w:t xml:space="preserve">Software Assurance-Migrationspfad für Communicator für Mac 2011 </w:t>
      </w:r>
    </w:p>
    <w:p w:rsidR="00B9674D" w:rsidRPr="00C83DF5" w:rsidRDefault="00E316C2" w:rsidP="004A2FC2">
      <w:pPr>
        <w:adjustRightInd w:val="0"/>
        <w:ind w:left="720"/>
        <w:textAlignment w:val="baseline"/>
        <w:rPr>
          <w:lang w:val="de-DE"/>
        </w:rPr>
      </w:pPr>
      <w:r w:rsidRPr="00C83DF5">
        <w:rPr>
          <w:rFonts w:cs="Tahoma"/>
          <w:lang w:val="de-DE"/>
        </w:rPr>
        <w:t>Die Folgeversion von Communicator für Mac 2011 ist Lync für Mac 2011.</w:t>
      </w:r>
    </w:p>
    <w:p w:rsidR="004A2FC2" w:rsidRPr="008B3D04" w:rsidRDefault="004A2FC2" w:rsidP="004A2FC2">
      <w:pPr>
        <w:adjustRightInd w:val="0"/>
        <w:textAlignment w:val="baseline"/>
        <w:rPr>
          <w:rFonts w:cs="Tahoma"/>
          <w:lang w:val="de-DE"/>
        </w:rPr>
      </w:pPr>
    </w:p>
    <w:p w:rsidR="004A2FC2" w:rsidRPr="008B3D04" w:rsidRDefault="004A2FC2" w:rsidP="004A2FC2">
      <w:pPr>
        <w:adjustRightInd w:val="0"/>
        <w:textAlignment w:val="baseline"/>
        <w:rPr>
          <w:rFonts w:cs="Tahoma"/>
          <w:lang w:val="de-DE"/>
        </w:rPr>
      </w:pPr>
    </w:p>
    <w:p w:rsidR="00DC2291" w:rsidRPr="00C83DF5" w:rsidRDefault="00B54C21" w:rsidP="00DC2291">
      <w:pPr>
        <w:pStyle w:val="Heading3"/>
        <w:rPr>
          <w:lang w:val="de-DE"/>
        </w:rPr>
      </w:pPr>
      <w:bookmarkStart w:id="959" w:name="_34_MSDN_Operating"/>
      <w:bookmarkStart w:id="960" w:name="_3_MSDN_Operating"/>
      <w:bookmarkStart w:id="961" w:name="_3_MSDN-Betriebssysteme"/>
      <w:bookmarkStart w:id="962" w:name="_Toc336338261"/>
      <w:bookmarkStart w:id="963" w:name="_Toc370983369"/>
      <w:bookmarkEnd w:id="959"/>
      <w:bookmarkEnd w:id="960"/>
      <w:bookmarkEnd w:id="961"/>
      <w:r w:rsidRPr="00C83DF5">
        <w:rPr>
          <w:rFonts w:ascii="Tahoma" w:hAnsi="Tahoma"/>
          <w:caps/>
          <w:color w:val="F66400"/>
          <w:sz w:val="22"/>
          <w:vertAlign w:val="superscript"/>
          <w:lang w:val="de-DE"/>
        </w:rPr>
        <w:t>3</w:t>
      </w:r>
      <w:r w:rsidRPr="00C83DF5">
        <w:rPr>
          <w:rFonts w:ascii="Tahoma" w:hAnsi="Tahoma"/>
          <w:color w:val="F66400"/>
          <w:sz w:val="22"/>
          <w:lang w:val="de-DE"/>
        </w:rPr>
        <w:t xml:space="preserve"> MSDN-Betriebssysteme</w:t>
      </w:r>
      <w:bookmarkEnd w:id="948"/>
      <w:bookmarkEnd w:id="962"/>
      <w:bookmarkEnd w:id="963"/>
    </w:p>
    <w:bookmarkEnd w:id="949"/>
    <w:bookmarkEnd w:id="950"/>
    <w:p w:rsidR="00D16EA8" w:rsidRPr="008B3D04" w:rsidRDefault="00D16EA8" w:rsidP="00D16EA8">
      <w:pPr>
        <w:pStyle w:val="FootnoteBulletLevel1"/>
        <w:tabs>
          <w:tab w:val="clear" w:pos="900"/>
        </w:tabs>
        <w:spacing w:before="0" w:after="0"/>
        <w:ind w:left="720" w:firstLine="0"/>
        <w:rPr>
          <w:rFonts w:ascii="Tahoma" w:hAnsi="Tahoma" w:cs="Tahoma"/>
          <w:sz w:val="18"/>
          <w:u w:val="single"/>
          <w:lang w:val="de-DE"/>
        </w:rPr>
      </w:pPr>
    </w:p>
    <w:p w:rsidR="00D16EA8" w:rsidRPr="00C83DF5" w:rsidRDefault="00DC2291" w:rsidP="00864B8A">
      <w:pPr>
        <w:spacing w:after="60"/>
        <w:ind w:left="720"/>
        <w:rPr>
          <w:lang w:val="de-DE"/>
        </w:rPr>
      </w:pPr>
      <w:r w:rsidRPr="00C83DF5">
        <w:rPr>
          <w:rFonts w:cs="Tahoma"/>
          <w:b/>
          <w:szCs w:val="20"/>
          <w:lang w:val="de-DE"/>
        </w:rPr>
        <w:t>Software Assurance-Berechtigung</w:t>
      </w:r>
    </w:p>
    <w:p w:rsidR="008368B4" w:rsidRPr="00C83DF5" w:rsidRDefault="00DC2291" w:rsidP="00BF6692">
      <w:pPr>
        <w:pStyle w:val="EndnoteText"/>
        <w:tabs>
          <w:tab w:val="num" w:pos="1080"/>
        </w:tabs>
        <w:ind w:left="720"/>
        <w:rPr>
          <w:lang w:val="de-DE"/>
        </w:rPr>
      </w:pPr>
      <w:r w:rsidRPr="00C83DF5">
        <w:rPr>
          <w:rFonts w:ascii="Tahoma" w:hAnsi="Tahoma" w:cs="Tahoma"/>
          <w:sz w:val="18"/>
          <w:lang w:val="de-DE"/>
        </w:rPr>
        <w:t>Kunden, deren Software Assurance für Lizenzen für die folgenden Produkte abläuft, sind berechtigt, diese als Software Assurance für MSDN-Betriebssysteme zu verlängern. Bei Verlängerung auf einer anderen MSDN-Abonnementebene ersetzen die neuen Nutzungsbestimmungen die alten, und jegliche Software, die</w:t>
      </w:r>
      <w:r w:rsidR="00BF6692">
        <w:rPr>
          <w:rFonts w:ascii="Tahoma" w:hAnsi="Tahoma" w:cs="Tahoma"/>
          <w:sz w:val="18"/>
          <w:lang w:val="de-DE"/>
        </w:rPr>
        <w:t> </w:t>
      </w:r>
      <w:r w:rsidRPr="00C83DF5">
        <w:rPr>
          <w:rFonts w:ascii="Tahoma" w:hAnsi="Tahoma" w:cs="Tahoma"/>
          <w:sz w:val="18"/>
          <w:lang w:val="de-DE"/>
        </w:rPr>
        <w:t>nicht im neuen MSDN-Abonnement enthalten ist, muss entfernt werden.</w:t>
      </w:r>
    </w:p>
    <w:p w:rsidR="00DC2291" w:rsidRPr="008B3D04" w:rsidRDefault="00DC2291" w:rsidP="00D16EA8">
      <w:pPr>
        <w:pStyle w:val="EndnoteText"/>
        <w:tabs>
          <w:tab w:val="num" w:pos="1080"/>
        </w:tabs>
        <w:ind w:left="720"/>
        <w:rPr>
          <w:rFonts w:ascii="Tahoma" w:hAnsi="Tahoma" w:cs="Tahoma"/>
          <w:sz w:val="18"/>
          <w:lang w:val="de-DE" w:eastAsia="ja-JP"/>
        </w:rPr>
      </w:pP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Ultimate mit MSDN</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Premium mit MSDN</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Professional mit MSDN</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Professional mit MSDN Embedded</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Test Professional mit MSDN</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Professional mit MSDN Professional</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Professional mit MSDN Premium</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Team System Team Suite mit MSDN Premium</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Team System Test Edition mit MSDN Premium</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Team System Development Edition mit MSDN Premium</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 xml:space="preserve">Visual Studio Team System Architecture Edition mit MSDN Premium </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Visual Studio Team System Database Edition mit MSDN Premium</w:t>
      </w:r>
    </w:p>
    <w:p w:rsidR="00DC2291" w:rsidRPr="00C83DF5" w:rsidRDefault="00DC2291" w:rsidP="00D16EA8">
      <w:pPr>
        <w:pStyle w:val="FootnoteBulletLevel2"/>
        <w:numPr>
          <w:ilvl w:val="0"/>
          <w:numId w:val="4"/>
        </w:numPr>
        <w:spacing w:before="0" w:after="60"/>
        <w:ind w:left="1440"/>
      </w:pPr>
      <w:r w:rsidRPr="00C83DF5">
        <w:rPr>
          <w:rFonts w:ascii="Tahoma" w:hAnsi="Tahoma" w:cs="Tahoma"/>
          <w:sz w:val="18"/>
        </w:rPr>
        <w:t>MSDN-Betriebssysteme</w:t>
      </w:r>
    </w:p>
    <w:p w:rsidR="00DC2291" w:rsidRPr="00C83DF5" w:rsidRDefault="00DC2291" w:rsidP="00D16EA8">
      <w:pPr>
        <w:pStyle w:val="FootnoteBulletLevel2"/>
        <w:numPr>
          <w:ilvl w:val="0"/>
          <w:numId w:val="4"/>
        </w:numPr>
        <w:spacing w:before="0" w:after="60"/>
        <w:ind w:left="1440"/>
        <w:rPr>
          <w:lang w:val="de-DE"/>
        </w:rPr>
      </w:pPr>
      <w:r w:rsidRPr="00C83DF5">
        <w:rPr>
          <w:rFonts w:ascii="Tahoma" w:hAnsi="Tahoma" w:cs="Tahoma"/>
          <w:sz w:val="18"/>
          <w:lang w:val="de-DE"/>
        </w:rPr>
        <w:t>Aktives Einzelhandelsabonnement für eine der oben genannten Softwareversionen</w:t>
      </w:r>
    </w:p>
    <w:p w:rsidR="00413D8A" w:rsidRPr="00C83DF5" w:rsidRDefault="00413D8A">
      <w:pPr>
        <w:rPr>
          <w:lang w:val="de-DE"/>
        </w:rPr>
      </w:pPr>
    </w:p>
    <w:p w:rsidR="00D16EA8" w:rsidRPr="00C83DF5" w:rsidRDefault="00F51051" w:rsidP="001760D6">
      <w:pPr>
        <w:keepNext/>
        <w:spacing w:after="60"/>
        <w:ind w:left="720"/>
        <w:rPr>
          <w:lang w:val="de-DE"/>
        </w:rPr>
      </w:pPr>
      <w:r w:rsidRPr="00C83DF5">
        <w:rPr>
          <w:rFonts w:cs="Tahoma"/>
          <w:b/>
          <w:szCs w:val="20"/>
          <w:lang w:val="de-DE"/>
        </w:rPr>
        <w:lastRenderedPageBreak/>
        <w:t>Abonnementdienste</w:t>
      </w:r>
    </w:p>
    <w:p w:rsidR="00B26237" w:rsidRPr="00C83DF5" w:rsidRDefault="002333B5" w:rsidP="00D16EA8">
      <w:pPr>
        <w:pStyle w:val="FootnoteBulletLevel2"/>
        <w:tabs>
          <w:tab w:val="clear" w:pos="1260"/>
        </w:tabs>
        <w:spacing w:before="0"/>
        <w:ind w:left="720" w:firstLine="0"/>
        <w:rPr>
          <w:lang w:val="de-DE"/>
        </w:rPr>
      </w:pPr>
      <w:r w:rsidRPr="00C83DF5">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D16EA8" w:rsidRPr="008B3D04" w:rsidRDefault="00D16EA8" w:rsidP="00D16EA8">
      <w:pPr>
        <w:pStyle w:val="FootnoteBulletLevel2"/>
        <w:tabs>
          <w:tab w:val="clear" w:pos="1260"/>
        </w:tabs>
        <w:spacing w:before="0"/>
        <w:ind w:left="0" w:firstLine="0"/>
        <w:rPr>
          <w:rFonts w:ascii="Tahoma" w:hAnsi="Tahoma" w:cs="Tahoma"/>
          <w:sz w:val="18"/>
          <w:lang w:val="de-DE"/>
        </w:rPr>
      </w:pPr>
    </w:p>
    <w:p w:rsidR="00D16EA8" w:rsidRPr="008B3D04" w:rsidRDefault="00D16EA8" w:rsidP="00D16EA8">
      <w:pPr>
        <w:pStyle w:val="FootnoteBulletLevel2"/>
        <w:tabs>
          <w:tab w:val="clear" w:pos="1260"/>
        </w:tabs>
        <w:spacing w:before="0"/>
        <w:ind w:left="0" w:firstLine="0"/>
        <w:rPr>
          <w:rFonts w:ascii="Tahoma" w:hAnsi="Tahoma" w:cs="Tahoma"/>
          <w:sz w:val="18"/>
          <w:lang w:val="de-DE"/>
        </w:rPr>
      </w:pPr>
    </w:p>
    <w:p w:rsidR="000C6DBC" w:rsidRPr="00C83DF5" w:rsidRDefault="00B54C21" w:rsidP="00B26237">
      <w:pPr>
        <w:pStyle w:val="Heading2"/>
        <w:ind w:left="0"/>
        <w:rPr>
          <w:lang w:val="de-DE"/>
        </w:rPr>
      </w:pPr>
      <w:bookmarkStart w:id="964" w:name="_6_Office_365"/>
      <w:bookmarkStart w:id="965" w:name="_45_Office_365"/>
      <w:bookmarkStart w:id="966" w:name="_4_MSDN_Platforms"/>
      <w:bookmarkStart w:id="967" w:name="_4_MSDN-Plattformen"/>
      <w:bookmarkStart w:id="968" w:name="_Toc336338262"/>
      <w:bookmarkStart w:id="969" w:name="_Toc370983370"/>
      <w:bookmarkEnd w:id="964"/>
      <w:bookmarkEnd w:id="965"/>
      <w:bookmarkEnd w:id="966"/>
      <w:bookmarkEnd w:id="967"/>
      <w:r w:rsidRPr="00C83DF5">
        <w:rPr>
          <w:rFonts w:ascii="Tahoma" w:hAnsi="Tahoma" w:cs="Tahoma"/>
          <w:caps/>
          <w:color w:val="F66400"/>
          <w:sz w:val="22"/>
          <w:szCs w:val="20"/>
          <w:vertAlign w:val="superscript"/>
          <w:lang w:val="de-DE"/>
        </w:rPr>
        <w:t>4</w:t>
      </w:r>
      <w:r w:rsidRPr="00C83DF5">
        <w:rPr>
          <w:color w:val="F66400"/>
          <w:sz w:val="22"/>
          <w:szCs w:val="20"/>
          <w:lang w:val="de-DE"/>
        </w:rPr>
        <w:t xml:space="preserve"> </w:t>
      </w:r>
      <w:r w:rsidRPr="00C83DF5">
        <w:rPr>
          <w:rFonts w:ascii="Tahoma" w:hAnsi="Tahoma" w:cs="Tahoma"/>
          <w:color w:val="FF6600"/>
          <w:sz w:val="22"/>
          <w:szCs w:val="22"/>
          <w:lang w:val="de-DE"/>
        </w:rPr>
        <w:t>MSDN-Plattformen</w:t>
      </w:r>
      <w:bookmarkEnd w:id="969"/>
    </w:p>
    <w:p w:rsidR="000C6DBC" w:rsidRPr="008B3D04" w:rsidRDefault="000C6DBC" w:rsidP="000C6DBC">
      <w:pPr>
        <w:pStyle w:val="FootnoteBulletLevel2"/>
        <w:tabs>
          <w:tab w:val="clear" w:pos="1260"/>
        </w:tabs>
        <w:spacing w:before="0"/>
        <w:ind w:left="0" w:firstLine="0"/>
        <w:rPr>
          <w:rFonts w:ascii="Tahoma" w:hAnsi="Tahoma" w:cs="Tahoma"/>
          <w:sz w:val="18"/>
          <w:lang w:val="de-DE"/>
        </w:rPr>
      </w:pPr>
    </w:p>
    <w:p w:rsidR="000C6DBC" w:rsidRPr="00C83DF5" w:rsidRDefault="000C6DBC" w:rsidP="000C6DBC">
      <w:pPr>
        <w:spacing w:after="60"/>
        <w:ind w:left="720"/>
        <w:rPr>
          <w:lang w:val="de-DE"/>
        </w:rPr>
      </w:pPr>
      <w:r w:rsidRPr="00C83DF5">
        <w:rPr>
          <w:rFonts w:cs="Tahoma"/>
          <w:b/>
          <w:szCs w:val="18"/>
          <w:lang w:val="de-DE"/>
        </w:rPr>
        <w:t>Visual Studio Team Foundation Server 2013</w:t>
      </w:r>
    </w:p>
    <w:p w:rsidR="000C6DBC" w:rsidRPr="00C83DF5" w:rsidRDefault="000C6DBC" w:rsidP="000C6DBC">
      <w:pPr>
        <w:pStyle w:val="EndnoteText"/>
        <w:ind w:left="720"/>
        <w:rPr>
          <w:lang w:val="de-DE"/>
        </w:rPr>
      </w:pPr>
      <w:r w:rsidRPr="00C83DF5">
        <w:rPr>
          <w:rFonts w:ascii="Tahoma" w:hAnsi="Tahoma" w:cs="Tahoma"/>
          <w:sz w:val="18"/>
          <w:szCs w:val="18"/>
          <w:lang w:val="de-DE"/>
        </w:rPr>
        <w:t xml:space="preserve">Der Abonnent ist zu einer Serverlizenz für Visual Studio Team Foundation Server 2013 und zu einer </w:t>
      </w:r>
      <w:r w:rsidR="00BF6692">
        <w:rPr>
          <w:rFonts w:ascii="Tahoma" w:hAnsi="Tahoma" w:cs="Tahoma"/>
          <w:sz w:val="18"/>
          <w:szCs w:val="18"/>
          <w:lang w:val="de-DE"/>
        </w:rPr>
        <w:br/>
      </w:r>
      <w:r w:rsidRPr="00C83DF5">
        <w:rPr>
          <w:rFonts w:ascii="Tahoma" w:hAnsi="Tahoma" w:cs="Tahoma"/>
          <w:sz w:val="18"/>
          <w:szCs w:val="18"/>
          <w:lang w:val="de-DE"/>
        </w:rPr>
        <w:t>Nutzer-CAL für Team Foundation Server berechtigt.</w:t>
      </w:r>
      <w:r w:rsidR="00E71F46" w:rsidRPr="00C83DF5">
        <w:rPr>
          <w:rFonts w:ascii="Tahoma" w:hAnsi="Tahoma" w:cs="Tahoma"/>
          <w:sz w:val="18"/>
          <w:szCs w:val="18"/>
          <w:lang w:val="de-DE"/>
        </w:rPr>
        <w:t xml:space="preserve"> </w:t>
      </w:r>
      <w:r w:rsidRPr="00C83DF5">
        <w:rPr>
          <w:rFonts w:ascii="Tahoma" w:hAnsi="Tahoma" w:cs="Tahoma"/>
          <w:sz w:val="18"/>
          <w:szCs w:val="18"/>
          <w:lang w:val="de-DE"/>
        </w:rPr>
        <w:t>Die Verwendung der CAL ist ausschließlich dem Abonnenten vorbehalten.</w:t>
      </w:r>
    </w:p>
    <w:p w:rsidR="000C6DBC" w:rsidRPr="008B3D04" w:rsidRDefault="000C6DBC" w:rsidP="000C6DBC">
      <w:pPr>
        <w:rPr>
          <w:rFonts w:cs="Tahoma"/>
          <w:b/>
          <w:szCs w:val="18"/>
          <w:lang w:val="de-DE"/>
        </w:rPr>
      </w:pPr>
    </w:p>
    <w:p w:rsidR="000C6DBC" w:rsidRPr="00C83DF5" w:rsidRDefault="000C6DBC" w:rsidP="000C6DBC">
      <w:pPr>
        <w:spacing w:after="60"/>
        <w:ind w:left="720"/>
        <w:rPr>
          <w:lang w:val="de-DE"/>
        </w:rPr>
      </w:pPr>
      <w:r w:rsidRPr="00C83DF5">
        <w:rPr>
          <w:rFonts w:cs="Tahoma"/>
          <w:b/>
          <w:szCs w:val="18"/>
          <w:lang w:val="de-DE"/>
        </w:rPr>
        <w:t>Abonnementdienste</w:t>
      </w:r>
    </w:p>
    <w:p w:rsidR="000C6DBC" w:rsidRPr="00C83DF5" w:rsidRDefault="000C6DBC" w:rsidP="00BF6692">
      <w:pPr>
        <w:ind w:left="720"/>
        <w:rPr>
          <w:lang w:val="de-DE"/>
        </w:rPr>
      </w:pPr>
      <w:r w:rsidRPr="00C83DF5">
        <w:rPr>
          <w:rFonts w:cs="Tahoma"/>
          <w:szCs w:val="18"/>
          <w:lang w:val="de-DE"/>
        </w:rPr>
        <w:t>MSDN-Abonnementdienste, die Downloads, Product Keys, Windows Azure-Vergünstigungen, Office</w:t>
      </w:r>
      <w:r w:rsidR="00BF6692">
        <w:rPr>
          <w:rFonts w:cs="Tahoma"/>
          <w:szCs w:val="18"/>
          <w:lang w:val="de-DE"/>
        </w:rPr>
        <w:t> </w:t>
      </w:r>
      <w:r w:rsidRPr="00C83DF5">
        <w:rPr>
          <w:rFonts w:cs="Tahoma"/>
          <w:szCs w:val="18"/>
          <w:lang w:val="de-DE"/>
        </w:rPr>
        <w:t>365</w:t>
      </w:r>
      <w:r w:rsidR="00BF6692">
        <w:rPr>
          <w:rFonts w:cs="Tahoma"/>
          <w:szCs w:val="18"/>
          <w:lang w:val="de-DE"/>
        </w:rPr>
        <w:t> </w:t>
      </w:r>
      <w:r w:rsidRPr="00C83DF5">
        <w:rPr>
          <w:rFonts w:cs="Tahoma"/>
          <w:szCs w:val="18"/>
          <w:lang w:val="de-DE"/>
        </w:rPr>
        <w:t>Developer-Vergünstigungen, E-Learning, technischen Support, Windows Store-Vergünstigungen und andere Services umfassen können, sind nur verfügbar, während das Abonnement aktiv ist.</w:t>
      </w:r>
    </w:p>
    <w:p w:rsidR="000C6DBC" w:rsidRPr="00BF6692" w:rsidRDefault="000C6DBC" w:rsidP="00BF6692">
      <w:pPr>
        <w:pStyle w:val="FootnoteBulletLevel2"/>
        <w:tabs>
          <w:tab w:val="clear" w:pos="1260"/>
        </w:tabs>
        <w:spacing w:before="0"/>
        <w:ind w:left="0" w:firstLine="0"/>
        <w:rPr>
          <w:rFonts w:ascii="Tahoma" w:hAnsi="Tahoma" w:cs="Tahoma"/>
          <w:sz w:val="18"/>
          <w:lang w:val="de-DE"/>
        </w:rPr>
      </w:pPr>
    </w:p>
    <w:p w:rsidR="000C6DBC" w:rsidRPr="00BF6692" w:rsidRDefault="000C6DBC" w:rsidP="00BF6692">
      <w:pPr>
        <w:pStyle w:val="FootnoteBulletLevel2"/>
        <w:tabs>
          <w:tab w:val="clear" w:pos="1260"/>
        </w:tabs>
        <w:spacing w:before="0"/>
        <w:ind w:left="0" w:firstLine="0"/>
        <w:rPr>
          <w:rFonts w:ascii="Tahoma" w:hAnsi="Tahoma" w:cs="Tahoma"/>
          <w:sz w:val="18"/>
          <w:lang w:val="de-DE"/>
        </w:rPr>
      </w:pPr>
    </w:p>
    <w:p w:rsidR="00B26237" w:rsidRPr="00C83DF5" w:rsidRDefault="00513265" w:rsidP="00B26237">
      <w:pPr>
        <w:pStyle w:val="Heading2"/>
        <w:ind w:left="0"/>
      </w:pPr>
      <w:bookmarkStart w:id="970" w:name="_5_Office_365_1"/>
      <w:bookmarkStart w:id="971" w:name="_Toc370983371"/>
      <w:bookmarkEnd w:id="970"/>
      <w:r w:rsidRPr="00C83DF5">
        <w:rPr>
          <w:rFonts w:ascii="Tahoma" w:hAnsi="Tahoma" w:cs="Tahoma"/>
          <w:caps/>
          <w:color w:val="FF6600"/>
          <w:sz w:val="22"/>
          <w:szCs w:val="22"/>
          <w:vertAlign w:val="superscript"/>
        </w:rPr>
        <w:t>5</w:t>
      </w:r>
      <w:r w:rsidRPr="00C83DF5">
        <w:rPr>
          <w:rFonts w:ascii="Tahoma" w:hAnsi="Tahoma" w:cs="Tahoma"/>
          <w:color w:val="FF6600"/>
        </w:rPr>
        <w:t xml:space="preserve"> </w:t>
      </w:r>
      <w:r w:rsidRPr="00C83DF5">
        <w:rPr>
          <w:rFonts w:ascii="Tahoma" w:hAnsi="Tahoma" w:cs="Tahoma"/>
          <w:color w:val="FF6600"/>
          <w:sz w:val="22"/>
          <w:szCs w:val="22"/>
        </w:rPr>
        <w:t>Office 365 Education A2-A4 (Nutzer-AL)</w:t>
      </w:r>
      <w:bookmarkEnd w:id="968"/>
      <w:bookmarkEnd w:id="971"/>
    </w:p>
    <w:p w:rsidR="00B26237" w:rsidRPr="00FF5C8F" w:rsidRDefault="00B26237" w:rsidP="00AE5A9F">
      <w:pPr>
        <w:rPr>
          <w:rFonts w:cs="Tahoma"/>
          <w:szCs w:val="20"/>
        </w:rPr>
      </w:pPr>
    </w:p>
    <w:p w:rsidR="00B26237" w:rsidRPr="00C83DF5" w:rsidRDefault="00B26237" w:rsidP="00B26237">
      <w:pPr>
        <w:ind w:left="720"/>
        <w:rPr>
          <w:lang w:val="de-DE"/>
        </w:rPr>
      </w:pPr>
      <w:r w:rsidRPr="00C83DF5">
        <w:rPr>
          <w:rFonts w:eastAsia="Calibri" w:cs="Tahoma"/>
          <w:color w:val="000000"/>
          <w:szCs w:val="18"/>
          <w:lang w:val="de-DE"/>
        </w:rPr>
        <w:t>Office 365 Education A2, A3 und A4 besteht aus speziell für Forschung und Lehre erstellten Versionen derselben Onlinedienste, die Office 365 Enterprise E1, E3 oder E4 umfassen, mit Ausnahme von Yammer Enterprise.</w:t>
      </w:r>
      <w:r w:rsidR="00E71F46" w:rsidRPr="00C83DF5">
        <w:rPr>
          <w:rFonts w:eastAsia="Calibri" w:cs="Tahoma"/>
          <w:color w:val="000000"/>
          <w:szCs w:val="18"/>
          <w:lang w:val="de-DE"/>
        </w:rPr>
        <w:t xml:space="preserve"> </w:t>
      </w:r>
      <w:r w:rsidRPr="00C83DF5">
        <w:rPr>
          <w:rFonts w:eastAsia="Calibri" w:cs="Tahoma"/>
          <w:color w:val="000000"/>
          <w:szCs w:val="18"/>
          <w:lang w:val="de-DE"/>
        </w:rPr>
        <w:t>Nutzungsrechte für Education A2-A4 und ihre Komponenten entsprechen ihren kommerziellen Gegenstücken.</w:t>
      </w:r>
      <w:r w:rsidR="00E71F46" w:rsidRPr="00C83DF5">
        <w:rPr>
          <w:rFonts w:eastAsia="Calibri" w:cs="Tahoma"/>
          <w:color w:val="000000"/>
          <w:szCs w:val="18"/>
          <w:lang w:val="de-DE"/>
        </w:rPr>
        <w:t xml:space="preserve"> </w:t>
      </w:r>
      <w:r w:rsidRPr="00C83DF5">
        <w:rPr>
          <w:rFonts w:eastAsia="Calibri" w:cs="Tahoma"/>
          <w:color w:val="000000"/>
          <w:szCs w:val="18"/>
          <w:lang w:val="de-DE"/>
        </w:rPr>
        <w:t>Nutzern mit Nutzer-ALs für Office 365 Education A2 ist es jedoch nicht gestattet, auf lokale Server zuzugreifen, und Yammer Enterprise ist für A2 - A4 nicht verfügbar.</w:t>
      </w:r>
    </w:p>
    <w:p w:rsidR="00B26237" w:rsidRPr="008B3D04" w:rsidRDefault="00B26237" w:rsidP="00B26237">
      <w:pPr>
        <w:ind w:left="720"/>
        <w:rPr>
          <w:rFonts w:eastAsia="Calibri" w:cs="Tahoma"/>
          <w:color w:val="000000"/>
          <w:szCs w:val="18"/>
          <w:lang w:val="de-DE"/>
        </w:rPr>
      </w:pPr>
    </w:p>
    <w:p w:rsidR="00B26237" w:rsidRPr="00C83DF5" w:rsidRDefault="00B26237" w:rsidP="00B26237">
      <w:pPr>
        <w:ind w:left="720"/>
        <w:rPr>
          <w:lang w:val="de-DE"/>
        </w:rPr>
      </w:pPr>
      <w:r w:rsidRPr="00C83DF5">
        <w:rPr>
          <w:rFonts w:eastAsia="Calibri" w:cs="Tahoma"/>
          <w:color w:val="000000"/>
          <w:szCs w:val="18"/>
          <w:lang w:val="de-DE"/>
        </w:rPr>
        <w:t>Unter dem Campus- und School-Vertrag müssen Abonnementlizenzen für Office 365-Pläne pro Nutzer für die gesamte Einrichtung oder nur Teile davon erworben werden. Wenn während der Laufzeit zusätzliche Nutzer-Abonnementlizenzen für den Zugriff auf O365 Plan benötigt werden, muss die Einrichtung eine Bestellung für diese Lizenzen abgeben.</w:t>
      </w:r>
      <w:r w:rsidR="00E71F46" w:rsidRPr="00C83DF5">
        <w:rPr>
          <w:rFonts w:eastAsia="Calibri" w:cs="Tahoma"/>
          <w:color w:val="000000"/>
          <w:szCs w:val="18"/>
          <w:lang w:val="de-DE"/>
        </w:rPr>
        <w:t xml:space="preserve"> </w:t>
      </w:r>
      <w:r w:rsidRPr="00C83DF5">
        <w:rPr>
          <w:rFonts w:eastAsia="Calibri" w:cs="Tahoma"/>
          <w:color w:val="000000"/>
          <w:szCs w:val="18"/>
          <w:lang w:val="de-DE"/>
        </w:rPr>
        <w:t>Die Einrichtung kann jeden O365 Plan nutzen, um die Mindestanforderungen des Programms zu erfüllen. Bei der Lizenzierung des O365 Add-On muss das entsprechende qualifizierende Produkt unter demselben Beitritt lizenziert werden.</w:t>
      </w:r>
      <w:r w:rsidR="00E71F46" w:rsidRPr="00C83DF5">
        <w:rPr>
          <w:rFonts w:eastAsia="Calibri" w:cs="Tahoma"/>
          <w:color w:val="000000"/>
          <w:szCs w:val="18"/>
          <w:lang w:val="de-DE"/>
        </w:rPr>
        <w:t xml:space="preserve"> </w:t>
      </w:r>
      <w:r w:rsidRPr="00C83DF5">
        <w:rPr>
          <w:color w:val="000000"/>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rsidR="00B26237" w:rsidRPr="008B3D04" w:rsidRDefault="00B26237" w:rsidP="00B26237">
      <w:pPr>
        <w:ind w:left="720"/>
        <w:rPr>
          <w:rFonts w:eastAsia="Calibri" w:cs="Tahoma"/>
          <w:color w:val="000000"/>
          <w:szCs w:val="18"/>
          <w:lang w:val="de-DE"/>
        </w:rPr>
      </w:pPr>
    </w:p>
    <w:p w:rsidR="00996781" w:rsidRPr="00C83DF5" w:rsidRDefault="00996781" w:rsidP="00FF5C8F">
      <w:pPr>
        <w:ind w:left="720"/>
        <w:rPr>
          <w:lang w:val="de-DE"/>
        </w:rPr>
      </w:pPr>
      <w:r w:rsidRPr="00C83DF5">
        <w:rPr>
          <w:iCs/>
          <w:lang w:val="de-DE"/>
        </w:rPr>
        <w:t>Als zeitlich beschränktes Angebot erhalten Kunden, die für Office 365 Education A2, A3 oder A4 lizenziert sind, mit jeder Nutzerabonnementlizenz für Office 365 Education A2, A3 und A4 eine lizenzierte Kopie von Lync 2013 (oder Lync für Mac 2011) kostenlos. Die Software darf nur mit Office 365 Education A2, A3, A4</w:t>
      </w:r>
      <w:r w:rsidR="00FF5C8F">
        <w:rPr>
          <w:iCs/>
          <w:lang w:val="de-DE"/>
        </w:rPr>
        <w:t> </w:t>
      </w:r>
      <w:r w:rsidRPr="00C83DF5">
        <w:rPr>
          <w:iCs/>
          <w:lang w:val="de-DE"/>
        </w:rPr>
        <w:t>(enthält Lync Online) genutzt werden, und alle Rechte zur Nutzung der Software enden bei Ablauf der</w:t>
      </w:r>
      <w:r w:rsidR="00FF5C8F">
        <w:rPr>
          <w:iCs/>
          <w:lang w:val="de-DE"/>
        </w:rPr>
        <w:t> </w:t>
      </w:r>
      <w:r w:rsidRPr="00C83DF5">
        <w:rPr>
          <w:iCs/>
          <w:lang w:val="de-DE"/>
        </w:rPr>
        <w:t>zugrunde liegende Abonnementlizenz oder bei Migration auf die nächste Hauptversion von Office 365 Education A2, A3, A4 und Lync Online, je nachdem, welches Ereignis zuerst eintritt.</w:t>
      </w:r>
    </w:p>
    <w:p w:rsidR="00996781" w:rsidRPr="00FF5C8F" w:rsidRDefault="00996781" w:rsidP="00B26237">
      <w:pPr>
        <w:ind w:left="720"/>
        <w:rPr>
          <w:rFonts w:eastAsia="Calibri" w:cs="Tahoma"/>
          <w:color w:val="000000"/>
          <w:szCs w:val="18"/>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EB5DA1" w:rsidRDefault="00EB5DA1" w:rsidP="00864B8A">
      <w:pPr>
        <w:spacing w:after="60"/>
        <w:ind w:left="720"/>
        <w:rPr>
          <w:rFonts w:cs="Tahoma"/>
          <w:b/>
          <w:szCs w:val="20"/>
          <w:lang w:val="de-DE"/>
        </w:rPr>
      </w:pPr>
    </w:p>
    <w:p w:rsidR="00B26237" w:rsidRPr="00C83DF5" w:rsidRDefault="000A0D35" w:rsidP="00864B8A">
      <w:pPr>
        <w:spacing w:after="60"/>
        <w:ind w:left="720"/>
        <w:rPr>
          <w:lang w:val="de-DE"/>
        </w:rPr>
      </w:pPr>
      <w:r w:rsidRPr="00C83DF5">
        <w:rPr>
          <w:rFonts w:cs="Tahoma"/>
          <w:b/>
          <w:szCs w:val="20"/>
          <w:lang w:val="de-DE"/>
        </w:rPr>
        <w:lastRenderedPageBreak/>
        <w:t>Add-On-Nutzer-ALs</w:t>
      </w:r>
    </w:p>
    <w:p w:rsidR="00B26237" w:rsidRPr="00C83DF5" w:rsidRDefault="00B26237" w:rsidP="00B26237">
      <w:pPr>
        <w:ind w:left="720"/>
        <w:rPr>
          <w:lang w:val="de-DE"/>
        </w:rPr>
      </w:pPr>
      <w:r w:rsidRPr="00C83DF5">
        <w:rPr>
          <w:rFonts w:eastAsia="Calibri" w:cs="Tahoma"/>
          <w:color w:val="000000"/>
          <w:szCs w:val="18"/>
          <w:lang w:val="de-DE"/>
        </w:rPr>
        <w:t>Einrichtungen, bei denen qualifizierende Produkte abgedeckt sind, können die entsprechende Nutzer-Abonnementlizenz für O365 Add-On Plan erwerben, wie in der Tabelle unten festgelegt.</w:t>
      </w:r>
      <w:r w:rsidR="00E71F46" w:rsidRPr="00C83DF5">
        <w:rPr>
          <w:rFonts w:eastAsia="Calibri" w:cs="Tahoma"/>
          <w:color w:val="000000"/>
          <w:szCs w:val="18"/>
          <w:lang w:val="de-DE"/>
        </w:rPr>
        <w:t xml:space="preserve"> </w:t>
      </w:r>
      <w:r w:rsidRPr="00C83DF5">
        <w:rPr>
          <w:rFonts w:eastAsia="Calibri" w:cs="Tahoma"/>
          <w:color w:val="000000"/>
          <w:szCs w:val="18"/>
          <w:lang w:val="de-DE"/>
        </w:rPr>
        <w:t>Einrichtungen mit</w:t>
      </w:r>
      <w:r w:rsidR="00DF3F89">
        <w:rPr>
          <w:rFonts w:eastAsia="Calibri" w:cs="Tahoma"/>
          <w:color w:val="000000"/>
          <w:szCs w:val="18"/>
          <w:lang w:val="de-DE"/>
        </w:rPr>
        <w:t xml:space="preserve"> </w:t>
      </w:r>
      <w:r w:rsidRPr="00C83DF5">
        <w:rPr>
          <w:rFonts w:eastAsia="Calibri" w:cs="Tahoma"/>
          <w:color w:val="000000"/>
          <w:szCs w:val="18"/>
          <w:lang w:val="de-DE"/>
        </w:rPr>
        <w:t>einem Campus- und School-Vertrag: Einrichtungen können so viele Nutzer-Abonnementlizenzen für O365 Add-On Plan für ihre Nutzer erwerben, wie sie berechtigte PCs besitzen, solange die Abdeckung für</w:t>
      </w:r>
      <w:r w:rsidR="00DF3F89">
        <w:rPr>
          <w:rFonts w:eastAsia="Calibri" w:cs="Tahoma"/>
          <w:color w:val="000000"/>
          <w:szCs w:val="18"/>
          <w:lang w:val="de-DE"/>
        </w:rPr>
        <w:t xml:space="preserve"> </w:t>
      </w:r>
      <w:r w:rsidRPr="00C83DF5">
        <w:rPr>
          <w:rFonts w:eastAsia="Calibri" w:cs="Tahoma"/>
          <w:color w:val="000000"/>
          <w:szCs w:val="18"/>
          <w:lang w:val="de-DE"/>
        </w:rPr>
        <w:t>die qualifizierenden Produkte beibehalten wird.</w:t>
      </w:r>
      <w:r w:rsidR="00E71F46" w:rsidRPr="00C83DF5">
        <w:rPr>
          <w:rFonts w:eastAsia="Calibri" w:cs="Tahoma"/>
          <w:color w:val="000000"/>
          <w:szCs w:val="18"/>
          <w:lang w:val="de-DE"/>
        </w:rPr>
        <w:t xml:space="preserve"> </w:t>
      </w:r>
    </w:p>
    <w:p w:rsidR="00B26237" w:rsidRPr="00C83DF5" w:rsidRDefault="00B26237" w:rsidP="00B26237">
      <w:pPr>
        <w:rPr>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C83DF5" w:rsidTr="00B42A20">
        <w:tc>
          <w:tcPr>
            <w:tcW w:w="4320" w:type="dxa"/>
            <w:shd w:val="clear" w:color="auto" w:fill="FABF8F"/>
          </w:tcPr>
          <w:p w:rsidR="00B26237" w:rsidRPr="00C83DF5" w:rsidRDefault="00B26237" w:rsidP="00B42A20">
            <w:pPr>
              <w:rPr>
                <w:rFonts w:eastAsia="Calibri" w:cs="Tahoma"/>
                <w:b/>
                <w:color w:val="000000"/>
                <w:szCs w:val="18"/>
              </w:rPr>
            </w:pPr>
            <w:r w:rsidRPr="00C83DF5">
              <w:rPr>
                <w:rFonts w:eastAsia="Calibri" w:cs="Tahoma"/>
                <w:b/>
                <w:color w:val="000000"/>
                <w:szCs w:val="18"/>
              </w:rPr>
              <w:t>Kriterien für qualifizierende Lizenzen</w:t>
            </w:r>
          </w:p>
        </w:tc>
        <w:tc>
          <w:tcPr>
            <w:tcW w:w="4320" w:type="dxa"/>
            <w:shd w:val="clear" w:color="auto" w:fill="FABF8F"/>
          </w:tcPr>
          <w:p w:rsidR="00B26237" w:rsidRPr="00C83DF5" w:rsidRDefault="000A0D35" w:rsidP="000A0D35">
            <w:pPr>
              <w:rPr>
                <w:rFonts w:eastAsia="Calibri" w:cs="Tahoma"/>
                <w:b/>
                <w:color w:val="000000"/>
                <w:szCs w:val="18"/>
              </w:rPr>
            </w:pPr>
            <w:r w:rsidRPr="00C83DF5">
              <w:rPr>
                <w:rFonts w:eastAsia="Calibri" w:cs="Tahoma"/>
                <w:b/>
                <w:color w:val="000000"/>
                <w:szCs w:val="18"/>
              </w:rPr>
              <w:t xml:space="preserve">Add-On-Nutzer-AL </w:t>
            </w:r>
          </w:p>
        </w:tc>
      </w:tr>
      <w:tr w:rsidR="00B26237" w:rsidRPr="00C83DF5" w:rsidTr="00B42A20">
        <w:tc>
          <w:tcPr>
            <w:tcW w:w="4320" w:type="dxa"/>
            <w:shd w:val="clear" w:color="auto" w:fill="auto"/>
          </w:tcPr>
          <w:p w:rsidR="00B26237" w:rsidRPr="00C83DF5" w:rsidRDefault="00B26237" w:rsidP="00B42A20">
            <w:pPr>
              <w:rPr>
                <w:rFonts w:eastAsia="Calibri" w:cs="Tahoma"/>
                <w:color w:val="000000"/>
                <w:szCs w:val="18"/>
                <w:lang w:val="fr-FR"/>
              </w:rPr>
            </w:pPr>
            <w:r w:rsidRPr="00C83DF5">
              <w:rPr>
                <w:rFonts w:eastAsia="Calibri" w:cs="Tahoma"/>
                <w:color w:val="000000"/>
                <w:szCs w:val="18"/>
                <w:lang w:val="fr-FR"/>
              </w:rPr>
              <w:t>Core CAL Suite</w:t>
            </w:r>
            <w:r w:rsidRPr="00C83DF5">
              <w:rPr>
                <w:rFonts w:eastAsia="Calibri" w:cs="Tahoma"/>
                <w:color w:val="000000"/>
                <w:szCs w:val="18"/>
                <w:vertAlign w:val="superscript"/>
                <w:lang w:val="fr-FR"/>
              </w:rPr>
              <w:t>1</w:t>
            </w:r>
            <w:r w:rsidRPr="00C83DF5">
              <w:rPr>
                <w:rFonts w:eastAsia="Calibri" w:cs="Tahoma"/>
                <w:color w:val="000000"/>
                <w:szCs w:val="18"/>
                <w:lang w:val="fr-FR"/>
              </w:rPr>
              <w:t xml:space="preserve"> oder Enterprise CAL Suite</w:t>
            </w:r>
            <w:r w:rsidRPr="00C83DF5">
              <w:rPr>
                <w:rFonts w:eastAsia="Calibri" w:cs="Tahoma"/>
                <w:color w:val="000000"/>
                <w:szCs w:val="18"/>
                <w:vertAlign w:val="superscript"/>
                <w:lang w:val="fr-FR"/>
              </w:rPr>
              <w:t>1</w:t>
            </w:r>
          </w:p>
        </w:tc>
        <w:tc>
          <w:tcPr>
            <w:tcW w:w="4320" w:type="dxa"/>
            <w:shd w:val="clear" w:color="auto" w:fill="auto"/>
          </w:tcPr>
          <w:p w:rsidR="00B26237" w:rsidRPr="00C83DF5" w:rsidRDefault="00B26237" w:rsidP="009B3FA2">
            <w:pPr>
              <w:rPr>
                <w:rFonts w:eastAsia="Calibri" w:cs="Tahoma"/>
                <w:color w:val="000000"/>
                <w:szCs w:val="18"/>
              </w:rPr>
            </w:pPr>
            <w:r w:rsidRPr="00C83DF5">
              <w:rPr>
                <w:rFonts w:eastAsia="Calibri" w:cs="Tahoma"/>
                <w:color w:val="000000"/>
                <w:szCs w:val="18"/>
              </w:rPr>
              <w:t>Nutzer-AL für Office 365 Education A3 Add-On für Core CAL oder Enterprise CAL</w:t>
            </w:r>
          </w:p>
        </w:tc>
      </w:tr>
      <w:tr w:rsidR="00B26237" w:rsidRPr="00C83DF5" w:rsidTr="00B42A20">
        <w:tc>
          <w:tcPr>
            <w:tcW w:w="4320" w:type="dxa"/>
            <w:shd w:val="clear" w:color="auto" w:fill="auto"/>
          </w:tcPr>
          <w:p w:rsidR="00B26237" w:rsidRPr="00C83DF5" w:rsidRDefault="00B26237" w:rsidP="00B42A20">
            <w:pPr>
              <w:rPr>
                <w:rFonts w:eastAsia="Calibri" w:cs="Tahoma"/>
                <w:color w:val="000000"/>
                <w:szCs w:val="18"/>
              </w:rPr>
            </w:pPr>
            <w:r w:rsidRPr="00C83DF5">
              <w:rPr>
                <w:rFonts w:eastAsia="Calibri" w:cs="Tahoma"/>
                <w:color w:val="000000"/>
                <w:szCs w:val="18"/>
              </w:rPr>
              <w:t>Office Pro Plus</w:t>
            </w:r>
            <w:r w:rsidRPr="00C83DF5">
              <w:rPr>
                <w:rFonts w:eastAsia="Calibri" w:cs="Tahoma"/>
                <w:color w:val="000000"/>
                <w:szCs w:val="18"/>
                <w:vertAlign w:val="superscript"/>
              </w:rPr>
              <w:t>1</w:t>
            </w:r>
          </w:p>
        </w:tc>
        <w:tc>
          <w:tcPr>
            <w:tcW w:w="4320" w:type="dxa"/>
            <w:shd w:val="clear" w:color="auto" w:fill="auto"/>
          </w:tcPr>
          <w:p w:rsidR="00B26237" w:rsidRPr="00C83DF5" w:rsidRDefault="00B26237" w:rsidP="009B3FA2">
            <w:pPr>
              <w:rPr>
                <w:rFonts w:eastAsia="Calibri" w:cs="Tahoma"/>
                <w:color w:val="000000"/>
                <w:szCs w:val="18"/>
              </w:rPr>
            </w:pPr>
            <w:r w:rsidRPr="00C83DF5">
              <w:rPr>
                <w:rFonts w:eastAsia="Calibri" w:cs="Tahoma"/>
                <w:color w:val="000000"/>
                <w:szCs w:val="18"/>
              </w:rPr>
              <w:t>Nutzer-AL für Office 365 Education A3 Add-On für Office Pro Plus</w:t>
            </w:r>
          </w:p>
        </w:tc>
      </w:tr>
      <w:tr w:rsidR="00B26237" w:rsidRPr="00C83DF5" w:rsidTr="00B42A20">
        <w:tc>
          <w:tcPr>
            <w:tcW w:w="4320" w:type="dxa"/>
            <w:shd w:val="clear" w:color="auto" w:fill="auto"/>
          </w:tcPr>
          <w:p w:rsidR="00B26237" w:rsidRPr="00C83DF5" w:rsidRDefault="00B26237" w:rsidP="00EB5DA1">
            <w:pPr>
              <w:rPr>
                <w:rFonts w:eastAsia="Calibri" w:cs="Tahoma"/>
                <w:color w:val="000000"/>
                <w:szCs w:val="18"/>
                <w:lang w:val="fr-FR"/>
              </w:rPr>
            </w:pPr>
            <w:r w:rsidRPr="00C83DF5">
              <w:rPr>
                <w:rFonts w:eastAsia="Calibri" w:cs="Tahoma"/>
                <w:color w:val="000000"/>
                <w:szCs w:val="18"/>
                <w:lang w:val="fr-FR"/>
              </w:rPr>
              <w:t>Core CAL Suite</w:t>
            </w:r>
            <w:r w:rsidRPr="00C83DF5">
              <w:rPr>
                <w:rFonts w:eastAsia="Calibri" w:cs="Tahoma"/>
                <w:color w:val="000000"/>
                <w:szCs w:val="18"/>
                <w:vertAlign w:val="superscript"/>
                <w:lang w:val="fr-FR"/>
              </w:rPr>
              <w:t>1</w:t>
            </w:r>
            <w:r w:rsidRPr="00C83DF5">
              <w:rPr>
                <w:rFonts w:eastAsia="Calibri" w:cs="Tahoma"/>
                <w:color w:val="000000"/>
                <w:szCs w:val="18"/>
                <w:lang w:val="fr-FR"/>
              </w:rPr>
              <w:t xml:space="preserve"> oder Enterprise CAL Suite</w:t>
            </w:r>
            <w:r w:rsidRPr="00C83DF5">
              <w:rPr>
                <w:rFonts w:eastAsia="Calibri" w:cs="Tahoma"/>
                <w:color w:val="000000"/>
                <w:szCs w:val="18"/>
                <w:vertAlign w:val="superscript"/>
                <w:lang w:val="fr-FR"/>
              </w:rPr>
              <w:t>1</w:t>
            </w:r>
            <w:r w:rsidRPr="00C83DF5">
              <w:rPr>
                <w:rFonts w:eastAsia="Calibri" w:cs="Tahoma"/>
                <w:color w:val="000000"/>
                <w:szCs w:val="18"/>
                <w:lang w:val="fr-FR"/>
              </w:rPr>
              <w:t xml:space="preserve"> + Office</w:t>
            </w:r>
            <w:r w:rsidR="00EB5DA1">
              <w:rPr>
                <w:rFonts w:eastAsia="Calibri" w:cs="Tahoma"/>
                <w:color w:val="000000"/>
                <w:szCs w:val="18"/>
                <w:lang w:val="fr-FR"/>
              </w:rPr>
              <w:t> </w:t>
            </w:r>
            <w:r w:rsidRPr="00C83DF5">
              <w:rPr>
                <w:rFonts w:eastAsia="Calibri" w:cs="Tahoma"/>
                <w:color w:val="000000"/>
                <w:szCs w:val="18"/>
                <w:lang w:val="fr-FR"/>
              </w:rPr>
              <w:t>Pro Plus</w:t>
            </w:r>
            <w:r w:rsidRPr="00C83DF5">
              <w:rPr>
                <w:rFonts w:eastAsia="Calibri" w:cs="Tahoma"/>
                <w:color w:val="000000"/>
                <w:szCs w:val="18"/>
                <w:vertAlign w:val="superscript"/>
                <w:lang w:val="fr-FR"/>
              </w:rPr>
              <w:t>1</w:t>
            </w:r>
          </w:p>
        </w:tc>
        <w:tc>
          <w:tcPr>
            <w:tcW w:w="4320" w:type="dxa"/>
            <w:shd w:val="clear" w:color="auto" w:fill="auto"/>
          </w:tcPr>
          <w:p w:rsidR="00B26237" w:rsidRPr="00C83DF5" w:rsidRDefault="00B26237" w:rsidP="009B3FA2">
            <w:pPr>
              <w:rPr>
                <w:rFonts w:eastAsia="Calibri" w:cs="Tahoma"/>
                <w:color w:val="000000"/>
                <w:szCs w:val="18"/>
              </w:rPr>
            </w:pPr>
            <w:r w:rsidRPr="00C83DF5">
              <w:rPr>
                <w:rFonts w:eastAsia="Calibri" w:cs="Tahoma"/>
                <w:color w:val="000000"/>
                <w:szCs w:val="18"/>
              </w:rPr>
              <w:t>Nutzer-AL für Office 365 Education A3 Add-On für Core CAL oder Enterprise CAL + Office Pro Plus</w:t>
            </w:r>
          </w:p>
        </w:tc>
      </w:tr>
      <w:tr w:rsidR="00B26237" w:rsidRPr="00C83DF5" w:rsidTr="00B42A20">
        <w:tc>
          <w:tcPr>
            <w:tcW w:w="4320" w:type="dxa"/>
            <w:shd w:val="clear" w:color="auto" w:fill="auto"/>
          </w:tcPr>
          <w:p w:rsidR="00B26237" w:rsidRPr="00C83DF5" w:rsidRDefault="00B26237" w:rsidP="00B42A20">
            <w:pPr>
              <w:rPr>
                <w:rFonts w:eastAsia="Calibri" w:cs="Tahoma"/>
                <w:color w:val="000000"/>
                <w:szCs w:val="18"/>
                <w:lang w:val="fr-FR"/>
              </w:rPr>
            </w:pPr>
            <w:r w:rsidRPr="00C83DF5">
              <w:rPr>
                <w:rFonts w:eastAsia="Calibri" w:cs="Tahoma"/>
                <w:color w:val="000000"/>
                <w:szCs w:val="18"/>
                <w:lang w:val="fr-FR"/>
              </w:rPr>
              <w:t>Core CAL Suite</w:t>
            </w:r>
            <w:r w:rsidRPr="00C83DF5">
              <w:rPr>
                <w:rFonts w:eastAsia="Calibri" w:cs="Tahoma"/>
                <w:color w:val="000000"/>
                <w:szCs w:val="18"/>
                <w:vertAlign w:val="superscript"/>
                <w:lang w:val="fr-FR"/>
              </w:rPr>
              <w:t>1</w:t>
            </w:r>
            <w:r w:rsidRPr="00C83DF5">
              <w:rPr>
                <w:rFonts w:eastAsia="Calibri" w:cs="Tahoma"/>
                <w:color w:val="000000"/>
                <w:szCs w:val="18"/>
                <w:lang w:val="fr-FR"/>
              </w:rPr>
              <w:t xml:space="preserve"> oder Enterprise CAL Suite</w:t>
            </w:r>
            <w:r w:rsidRPr="00C83DF5">
              <w:rPr>
                <w:rFonts w:eastAsia="Calibri" w:cs="Tahoma"/>
                <w:color w:val="000000"/>
                <w:szCs w:val="18"/>
                <w:vertAlign w:val="superscript"/>
                <w:lang w:val="fr-FR"/>
              </w:rPr>
              <w:t>1</w:t>
            </w:r>
          </w:p>
        </w:tc>
        <w:tc>
          <w:tcPr>
            <w:tcW w:w="4320" w:type="dxa"/>
            <w:shd w:val="clear" w:color="auto" w:fill="auto"/>
          </w:tcPr>
          <w:p w:rsidR="00B26237" w:rsidRPr="00C83DF5" w:rsidRDefault="00B26237" w:rsidP="009B3FA2">
            <w:pPr>
              <w:rPr>
                <w:rFonts w:eastAsia="Calibri" w:cs="Tahoma"/>
                <w:color w:val="000000"/>
                <w:szCs w:val="18"/>
              </w:rPr>
            </w:pPr>
            <w:r w:rsidRPr="00C83DF5">
              <w:rPr>
                <w:rFonts w:eastAsia="Calibri" w:cs="Tahoma"/>
                <w:color w:val="000000"/>
                <w:szCs w:val="18"/>
              </w:rPr>
              <w:t>Nutzer-AL für Office 365 Education A4 Add-On für Core CAL oder Enterprise CAL</w:t>
            </w:r>
          </w:p>
        </w:tc>
      </w:tr>
      <w:tr w:rsidR="00B26237" w:rsidRPr="00C83DF5" w:rsidTr="00B42A20">
        <w:tc>
          <w:tcPr>
            <w:tcW w:w="4320" w:type="dxa"/>
            <w:shd w:val="clear" w:color="auto" w:fill="auto"/>
          </w:tcPr>
          <w:p w:rsidR="00B26237" w:rsidRPr="00C83DF5" w:rsidRDefault="00B26237" w:rsidP="00B42A20">
            <w:pPr>
              <w:rPr>
                <w:rFonts w:eastAsia="Calibri" w:cs="Tahoma"/>
                <w:color w:val="000000"/>
                <w:szCs w:val="18"/>
              </w:rPr>
            </w:pPr>
            <w:r w:rsidRPr="00C83DF5">
              <w:rPr>
                <w:rFonts w:eastAsia="Calibri" w:cs="Tahoma"/>
                <w:color w:val="000000"/>
                <w:szCs w:val="18"/>
              </w:rPr>
              <w:t>Office Pro Plus</w:t>
            </w:r>
            <w:r w:rsidRPr="00C83DF5">
              <w:rPr>
                <w:rFonts w:eastAsia="Calibri" w:cs="Tahoma"/>
                <w:color w:val="000000"/>
                <w:szCs w:val="18"/>
                <w:vertAlign w:val="superscript"/>
              </w:rPr>
              <w:t>1</w:t>
            </w:r>
          </w:p>
        </w:tc>
        <w:tc>
          <w:tcPr>
            <w:tcW w:w="4320" w:type="dxa"/>
            <w:shd w:val="clear" w:color="auto" w:fill="auto"/>
          </w:tcPr>
          <w:p w:rsidR="00B26237" w:rsidRPr="00C83DF5" w:rsidRDefault="00B26237" w:rsidP="009B3FA2">
            <w:pPr>
              <w:rPr>
                <w:rFonts w:eastAsia="Calibri" w:cs="Tahoma"/>
                <w:color w:val="000000"/>
                <w:szCs w:val="18"/>
              </w:rPr>
            </w:pPr>
            <w:r w:rsidRPr="00C83DF5">
              <w:rPr>
                <w:rFonts w:eastAsia="Calibri" w:cs="Tahoma"/>
                <w:color w:val="000000"/>
                <w:szCs w:val="18"/>
              </w:rPr>
              <w:t>Nutzer-AL für Office 365 Education A4 Add-On für Office Pro Plus</w:t>
            </w:r>
          </w:p>
        </w:tc>
      </w:tr>
      <w:tr w:rsidR="00B26237" w:rsidRPr="00C83DF5" w:rsidTr="00B42A20">
        <w:tc>
          <w:tcPr>
            <w:tcW w:w="4320" w:type="dxa"/>
            <w:shd w:val="clear" w:color="auto" w:fill="auto"/>
          </w:tcPr>
          <w:p w:rsidR="00B26237" w:rsidRPr="00C83DF5" w:rsidRDefault="00B26237" w:rsidP="00EB5DA1">
            <w:pPr>
              <w:rPr>
                <w:rFonts w:eastAsia="Calibri" w:cs="Tahoma"/>
                <w:color w:val="000000"/>
                <w:szCs w:val="18"/>
                <w:lang w:val="fr-FR"/>
              </w:rPr>
            </w:pPr>
            <w:r w:rsidRPr="00C83DF5">
              <w:rPr>
                <w:rFonts w:eastAsia="Calibri" w:cs="Tahoma"/>
                <w:color w:val="000000"/>
                <w:szCs w:val="18"/>
                <w:lang w:val="fr-FR"/>
              </w:rPr>
              <w:t>Core CAL Suite oder Enterprise CAL Suite</w:t>
            </w:r>
            <w:r w:rsidRPr="00C83DF5">
              <w:rPr>
                <w:rFonts w:eastAsia="Calibri" w:cs="Tahoma"/>
                <w:color w:val="000000"/>
                <w:szCs w:val="18"/>
                <w:vertAlign w:val="superscript"/>
                <w:lang w:val="fr-FR"/>
              </w:rPr>
              <w:t>1</w:t>
            </w:r>
            <w:r w:rsidRPr="00C83DF5">
              <w:rPr>
                <w:rFonts w:eastAsia="Calibri" w:cs="Tahoma"/>
                <w:color w:val="000000"/>
                <w:szCs w:val="18"/>
                <w:lang w:val="fr-FR"/>
              </w:rPr>
              <w:t xml:space="preserve"> + Office</w:t>
            </w:r>
            <w:r w:rsidR="00EB5DA1">
              <w:rPr>
                <w:rFonts w:eastAsia="Calibri" w:cs="Tahoma"/>
                <w:color w:val="000000"/>
                <w:szCs w:val="18"/>
                <w:lang w:val="fr-FR"/>
              </w:rPr>
              <w:t> </w:t>
            </w:r>
            <w:r w:rsidRPr="00C83DF5">
              <w:rPr>
                <w:rFonts w:eastAsia="Calibri" w:cs="Tahoma"/>
                <w:color w:val="000000"/>
                <w:szCs w:val="18"/>
                <w:lang w:val="fr-FR"/>
              </w:rPr>
              <w:t>Pro Plus</w:t>
            </w:r>
            <w:r w:rsidRPr="00C83DF5">
              <w:rPr>
                <w:rFonts w:eastAsia="Calibri" w:cs="Tahoma"/>
                <w:color w:val="000000"/>
                <w:szCs w:val="18"/>
                <w:vertAlign w:val="superscript"/>
                <w:lang w:val="fr-FR"/>
              </w:rPr>
              <w:t>1</w:t>
            </w:r>
          </w:p>
        </w:tc>
        <w:tc>
          <w:tcPr>
            <w:tcW w:w="4320" w:type="dxa"/>
            <w:shd w:val="clear" w:color="auto" w:fill="auto"/>
          </w:tcPr>
          <w:p w:rsidR="00B26237" w:rsidRPr="00C83DF5" w:rsidRDefault="00B26237" w:rsidP="009B3FA2">
            <w:pPr>
              <w:rPr>
                <w:rFonts w:eastAsia="Calibri" w:cs="Tahoma"/>
                <w:color w:val="000000"/>
                <w:szCs w:val="18"/>
              </w:rPr>
            </w:pPr>
            <w:r w:rsidRPr="00C83DF5">
              <w:rPr>
                <w:rFonts w:eastAsia="Calibri" w:cs="Tahoma"/>
                <w:color w:val="000000"/>
                <w:szCs w:val="18"/>
              </w:rPr>
              <w:t>Nutzer-AL für Office 365 Education A4 Add-On für Core CAL oder Enterprise CAL + Office Pro Plus</w:t>
            </w:r>
          </w:p>
        </w:tc>
      </w:tr>
    </w:tbl>
    <w:p w:rsidR="00B26237" w:rsidRPr="00C83DF5" w:rsidRDefault="00B26237" w:rsidP="00B26237">
      <w:pPr>
        <w:ind w:left="900"/>
        <w:rPr>
          <w:lang w:val="de-DE"/>
        </w:rPr>
      </w:pPr>
      <w:r w:rsidRPr="00C83DF5">
        <w:rPr>
          <w:rFonts w:eastAsia="Calibri" w:cs="Tahoma"/>
          <w:i/>
          <w:color w:val="000000"/>
          <w:sz w:val="16"/>
          <w:szCs w:val="18"/>
          <w:vertAlign w:val="superscript"/>
          <w:lang w:val="de-DE"/>
        </w:rPr>
        <w:t>1</w:t>
      </w:r>
      <w:r w:rsidRPr="00C83DF5">
        <w:rPr>
          <w:rFonts w:eastAsia="Calibri" w:cs="Tahoma"/>
          <w:i/>
          <w:color w:val="000000"/>
          <w:sz w:val="16"/>
          <w:szCs w:val="18"/>
          <w:lang w:val="de-DE"/>
        </w:rPr>
        <w:t>Mit aktiver Software Assurance</w:t>
      </w:r>
    </w:p>
    <w:p w:rsidR="00B26237" w:rsidRPr="008B3D04" w:rsidRDefault="00B26237" w:rsidP="00B26237">
      <w:pPr>
        <w:ind w:left="720"/>
        <w:rPr>
          <w:rFonts w:eastAsia="Calibri" w:cs="Tahoma"/>
          <w:color w:val="000000"/>
          <w:szCs w:val="18"/>
          <w:lang w:val="de-DE"/>
        </w:rPr>
      </w:pPr>
    </w:p>
    <w:p w:rsidR="00B26237" w:rsidRPr="00C83DF5" w:rsidRDefault="00B26237" w:rsidP="00B26237">
      <w:pPr>
        <w:ind w:left="720"/>
        <w:rPr>
          <w:lang w:val="de-DE"/>
        </w:rPr>
      </w:pPr>
      <w:r w:rsidRPr="00C83DF5">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 2013-Software in frei zugänglichen Räumlichkeiten oder Bibliotheken innerhalb der Organisation der Einrichtung zu installieren.</w:t>
      </w:r>
      <w:r w:rsidR="00E71F46" w:rsidRPr="00C83DF5">
        <w:rPr>
          <w:rFonts w:eastAsia="Calibri" w:cs="Tahoma"/>
          <w:iCs/>
          <w:color w:val="000000"/>
          <w:szCs w:val="18"/>
          <w:lang w:val="de-DE"/>
        </w:rPr>
        <w:t xml:space="preserve"> </w:t>
      </w:r>
      <w:r w:rsidRPr="00C83DF5">
        <w:rPr>
          <w:rFonts w:eastAsia="Calibri" w:cs="Tahoma"/>
          <w:iCs/>
          <w:color w:val="000000"/>
          <w:szCs w:val="18"/>
          <w:lang w:val="de-DE"/>
        </w:rPr>
        <w:t>Die Nutzung der Software unterliegt ansonsten den Lizenzbestimmungen für Office Professional Plus 2013.</w:t>
      </w:r>
      <w:r w:rsidR="00E71F46" w:rsidRPr="00C83DF5">
        <w:rPr>
          <w:rFonts w:eastAsia="Calibri" w:cs="Tahoma"/>
          <w:iCs/>
          <w:color w:val="000000"/>
          <w:szCs w:val="18"/>
          <w:lang w:val="de-DE"/>
        </w:rPr>
        <w:t xml:space="preserve"> </w:t>
      </w:r>
    </w:p>
    <w:p w:rsidR="00B26237" w:rsidRPr="008B3D04" w:rsidRDefault="00B26237" w:rsidP="00B26237">
      <w:pPr>
        <w:ind w:left="720"/>
        <w:rPr>
          <w:rFonts w:eastAsia="Calibri" w:cs="Tahoma"/>
          <w:color w:val="000000"/>
          <w:szCs w:val="18"/>
          <w:lang w:val="de-DE"/>
        </w:rPr>
      </w:pPr>
    </w:p>
    <w:p w:rsidR="00B26237" w:rsidRPr="00C83DF5" w:rsidRDefault="00B26237" w:rsidP="00810479">
      <w:pPr>
        <w:pStyle w:val="FootnoteBulletLevel2"/>
        <w:tabs>
          <w:tab w:val="clear" w:pos="1260"/>
        </w:tabs>
        <w:spacing w:before="0"/>
        <w:ind w:left="720" w:firstLine="0"/>
        <w:rPr>
          <w:lang w:val="de-DE"/>
        </w:rPr>
      </w:pPr>
      <w:r w:rsidRPr="00C83DF5">
        <w:rPr>
          <w:rFonts w:ascii="Tahoma" w:eastAsia="Calibri" w:hAnsi="Tahoma" w:cs="Tahoma"/>
          <w:color w:val="000000"/>
          <w:sz w:val="18"/>
          <w:szCs w:val="18"/>
          <w:lang w:val="de-DE"/>
        </w:rPr>
        <w:t>Für Lync Online Plan 1A und Plan 2A muss Microsoft Lync 2013 (oder Lync für Mac 2011) separat erworben und installiert werden, damit alle Features von Lync Online Plan 1A und Plan 2A zur Verfügung stehen. Als zeitlich beschränktes Angebot erhalten Kunden, die für Lync Online lizenziert sind, mit jeder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E71F46" w:rsidRPr="00C83DF5">
        <w:rPr>
          <w:rFonts w:ascii="Tahoma" w:eastAsia="Calibri" w:hAnsi="Tahoma" w:cs="Tahoma"/>
          <w:color w:val="000000"/>
          <w:sz w:val="18"/>
          <w:szCs w:val="18"/>
          <w:lang w:val="de-DE"/>
        </w:rPr>
        <w:t xml:space="preserve"> </w:t>
      </w:r>
      <w:r w:rsidRPr="00C83DF5">
        <w:rPr>
          <w:rFonts w:ascii="Tahoma" w:eastAsia="Calibri" w:hAnsi="Tahoma" w:cs="Tahoma"/>
          <w:color w:val="000000"/>
          <w:sz w:val="18"/>
          <w:szCs w:val="18"/>
          <w:lang w:val="de-DE"/>
        </w:rPr>
        <w:t>Kunden sind berechtigt, den kostenlosen Lync Basic 2013-Client für ihre Windows-basierten Endbenutzer zu nutzen.</w:t>
      </w:r>
    </w:p>
    <w:p w:rsidR="00B26237" w:rsidRPr="008B3D04" w:rsidRDefault="00B26237" w:rsidP="00E03856">
      <w:pPr>
        <w:pStyle w:val="FootnoteBulletLevel2"/>
        <w:tabs>
          <w:tab w:val="clear" w:pos="1260"/>
        </w:tabs>
        <w:spacing w:before="0"/>
        <w:ind w:left="0" w:firstLine="0"/>
        <w:rPr>
          <w:rFonts w:ascii="Tahoma" w:hAnsi="Tahoma" w:cs="Tahoma"/>
          <w:sz w:val="18"/>
          <w:lang w:val="de-DE"/>
        </w:rPr>
      </w:pPr>
    </w:p>
    <w:p w:rsidR="00B26237" w:rsidRPr="008B3D04" w:rsidRDefault="00B26237" w:rsidP="00D16EA8">
      <w:pPr>
        <w:pStyle w:val="FootnoteBulletLevel2"/>
        <w:tabs>
          <w:tab w:val="clear" w:pos="1260"/>
        </w:tabs>
        <w:spacing w:before="0"/>
        <w:ind w:left="0" w:firstLine="0"/>
        <w:rPr>
          <w:rFonts w:ascii="Tahoma" w:hAnsi="Tahoma" w:cs="Tahoma"/>
          <w:sz w:val="18"/>
          <w:lang w:val="de-DE"/>
        </w:rPr>
      </w:pPr>
    </w:p>
    <w:p w:rsidR="00996781" w:rsidRPr="00C83DF5" w:rsidRDefault="00A13C98" w:rsidP="00B26237">
      <w:pPr>
        <w:pStyle w:val="Heading2"/>
        <w:ind w:left="0"/>
        <w:rPr>
          <w:lang w:val="de-DE"/>
        </w:rPr>
      </w:pPr>
      <w:bookmarkStart w:id="972" w:name="_7_Office_365"/>
      <w:bookmarkStart w:id="973" w:name="_65_Office_365"/>
      <w:bookmarkStart w:id="974" w:name="_5_Office_365"/>
      <w:bookmarkStart w:id="975" w:name="_Toc336338263"/>
      <w:bookmarkStart w:id="976" w:name="_Toc370983372"/>
      <w:bookmarkEnd w:id="972"/>
      <w:bookmarkEnd w:id="973"/>
      <w:bookmarkEnd w:id="974"/>
      <w:r w:rsidRPr="00C83DF5">
        <w:rPr>
          <w:rFonts w:ascii="Tahoma" w:hAnsi="Tahoma" w:cs="Tahoma"/>
          <w:caps/>
          <w:color w:val="FF6600"/>
          <w:sz w:val="22"/>
          <w:szCs w:val="22"/>
          <w:vertAlign w:val="superscript"/>
          <w:lang w:val="de-DE"/>
        </w:rPr>
        <w:t>6</w:t>
      </w:r>
      <w:r w:rsidRPr="00C83DF5">
        <w:rPr>
          <w:rFonts w:ascii="Tahoma" w:hAnsi="Tahoma" w:cs="Tahoma"/>
          <w:color w:val="FF6600"/>
          <w:lang w:val="de-DE"/>
        </w:rPr>
        <w:t xml:space="preserve"> </w:t>
      </w:r>
      <w:r w:rsidRPr="00C83DF5">
        <w:rPr>
          <w:rFonts w:ascii="Tahoma" w:hAnsi="Tahoma" w:cs="Tahoma"/>
          <w:color w:val="FF6600"/>
          <w:sz w:val="22"/>
          <w:szCs w:val="22"/>
          <w:lang w:val="de-DE"/>
        </w:rPr>
        <w:t>Office 365 Midsize Business</w:t>
      </w:r>
      <w:bookmarkEnd w:id="976"/>
    </w:p>
    <w:p w:rsidR="00996781" w:rsidRPr="008B3D04" w:rsidRDefault="00996781" w:rsidP="00996781">
      <w:pPr>
        <w:ind w:left="720"/>
        <w:rPr>
          <w:color w:val="000000"/>
          <w:lang w:val="de-DE"/>
        </w:rPr>
      </w:pPr>
    </w:p>
    <w:p w:rsidR="00996781" w:rsidRPr="00C83DF5" w:rsidRDefault="00996781" w:rsidP="00996781">
      <w:pPr>
        <w:ind w:left="720"/>
        <w:rPr>
          <w:lang w:val="de-DE"/>
        </w:rPr>
      </w:pPr>
      <w:r w:rsidRPr="00C83DF5">
        <w:rPr>
          <w:color w:val="000000"/>
          <w:lang w:val="de-DE"/>
        </w:rPr>
        <w:t>Office 365 Midsized Business richtet sich an Kunden mit einer Organisationsgröße von 10 bis 250 Arbeitsplätzen.</w:t>
      </w:r>
      <w:r w:rsidR="00E71F46" w:rsidRPr="00C83DF5">
        <w:rPr>
          <w:color w:val="000000"/>
          <w:lang w:val="de-DE"/>
        </w:rPr>
        <w:t xml:space="preserve"> </w:t>
      </w:r>
      <w:r w:rsidRPr="00C83DF5">
        <w:rPr>
          <w:color w:val="000000"/>
          <w:lang w:val="de-DE"/>
        </w:rPr>
        <w:t>Die Lösung wird nur als Open-Lizenz-, Open Value- und Open Value Subscription-Programm verkauft.</w:t>
      </w:r>
      <w:r w:rsidR="00E71F46" w:rsidRPr="00C83DF5">
        <w:rPr>
          <w:color w:val="000000"/>
          <w:lang w:val="de-DE"/>
        </w:rPr>
        <w:t xml:space="preserve"> </w:t>
      </w:r>
      <w:r w:rsidRPr="00C83DF5">
        <w:rPr>
          <w:color w:val="000000"/>
          <w:lang w:val="de-DE"/>
        </w:rPr>
        <w:t xml:space="preserve">Nach dem Erwerb von Office 365 Midsized Business erhalten Sie einen Produktschlüssel zur Aktivierung des Dienstes. </w:t>
      </w:r>
    </w:p>
    <w:p w:rsidR="00996781" w:rsidRPr="008B3D04" w:rsidRDefault="00996781" w:rsidP="00996781">
      <w:pPr>
        <w:ind w:left="720"/>
        <w:rPr>
          <w:color w:val="000000"/>
          <w:lang w:val="de-DE"/>
        </w:rPr>
      </w:pPr>
    </w:p>
    <w:p w:rsidR="00996781" w:rsidRPr="00C83DF5" w:rsidRDefault="00996781" w:rsidP="00996781">
      <w:pPr>
        <w:ind w:left="720"/>
        <w:rPr>
          <w:lang w:val="de-DE"/>
        </w:rPr>
      </w:pPr>
      <w:r w:rsidRPr="00C83DF5">
        <w:rPr>
          <w:color w:val="000000"/>
          <w:lang w:val="de-DE"/>
        </w:rPr>
        <w:t>Office 365 Midsized Business wird nach Zahlung sofort und für ein Jahr verkauft.</w:t>
      </w:r>
      <w:r w:rsidR="00E71F46" w:rsidRPr="00C83DF5">
        <w:rPr>
          <w:color w:val="000000"/>
          <w:lang w:val="de-DE"/>
        </w:rPr>
        <w:t xml:space="preserve"> </w:t>
      </w:r>
      <w:r w:rsidRPr="00C83DF5">
        <w:rPr>
          <w:color w:val="000000"/>
          <w:lang w:val="de-DE"/>
        </w:rPr>
        <w:t>Das Anfangs- und das Enddatum des Diensteabonnements ist von der Laufzeit des Volumenlizenzvertrages unabhängig.</w:t>
      </w:r>
      <w:r w:rsidR="00E71F46" w:rsidRPr="00C83DF5">
        <w:rPr>
          <w:color w:val="000000"/>
          <w:lang w:val="de-DE"/>
        </w:rPr>
        <w:t xml:space="preserve"> </w:t>
      </w:r>
      <w:r w:rsidRPr="00C83DF5">
        <w:rPr>
          <w:color w:val="000000"/>
          <w:lang w:val="de-DE"/>
        </w:rPr>
        <w:t>Der Abonnementzeitraum beginnt mit der Aktivierung des Produktschlüssels und nicht zum Zeitpunkt der Bestellung.</w:t>
      </w:r>
      <w:r w:rsidR="00E71F46" w:rsidRPr="00C83DF5">
        <w:rPr>
          <w:color w:val="000000"/>
          <w:lang w:val="de-DE"/>
        </w:rPr>
        <w:t xml:space="preserve"> </w:t>
      </w:r>
      <w:r w:rsidRPr="00C83DF5">
        <w:rPr>
          <w:color w:val="000000"/>
          <w:lang w:val="de-DE"/>
        </w:rPr>
        <w:t xml:space="preserve">Nach der Aktivierung des Office 365-Produktschlüssels wird Microsoft von seinen Partnern eingereichte Rückgabeanträge abweisen. </w:t>
      </w:r>
    </w:p>
    <w:p w:rsidR="00996781" w:rsidRPr="008B3D04" w:rsidRDefault="00996781" w:rsidP="00996781">
      <w:pPr>
        <w:ind w:left="720"/>
        <w:rPr>
          <w:color w:val="000000"/>
          <w:lang w:val="de-DE"/>
        </w:rPr>
      </w:pPr>
    </w:p>
    <w:p w:rsidR="00996781" w:rsidRPr="00C83DF5" w:rsidRDefault="00996781" w:rsidP="00996781">
      <w:pPr>
        <w:ind w:left="720"/>
        <w:rPr>
          <w:lang w:val="de-DE"/>
        </w:rPr>
      </w:pPr>
      <w:r w:rsidRPr="00C83DF5">
        <w:rPr>
          <w:color w:val="000000"/>
          <w:lang w:val="de-DE"/>
        </w:rPr>
        <w:t>Endkunden mit einem aktiven Open Value-/Open Value Subscription-Vertrag mit einer organisationsweiten Verpflichtung für Office Pro Plus und/oder einer Client-Zugriffslizenz-Suite können Office 365 Midsized Business zu einem reduzierten Preis erwerben.</w:t>
      </w:r>
      <w:r w:rsidR="00E71F46" w:rsidRPr="00C83DF5">
        <w:rPr>
          <w:color w:val="000000"/>
          <w:lang w:val="de-DE"/>
        </w:rPr>
        <w:t xml:space="preserve"> </w:t>
      </w:r>
      <w:r w:rsidRPr="00C83DF5">
        <w:rPr>
          <w:color w:val="000000"/>
          <w:lang w:val="de-DE"/>
        </w:rPr>
        <w:t xml:space="preserve">Dieses Angebot wird als „Office 365 Open Value-Angebot“ bezeichnet. Weitere Einzelheiten erhalten Kunden von ihrem Handelspartner. </w:t>
      </w:r>
    </w:p>
    <w:p w:rsidR="00996781" w:rsidRPr="008B3D04" w:rsidRDefault="00996781" w:rsidP="00996781">
      <w:pPr>
        <w:ind w:left="720"/>
        <w:rPr>
          <w:color w:val="000000"/>
          <w:lang w:val="de-DE"/>
        </w:rPr>
      </w:pPr>
    </w:p>
    <w:p w:rsidR="00996781" w:rsidRPr="00C83DF5" w:rsidRDefault="00996781" w:rsidP="00996781">
      <w:pPr>
        <w:ind w:left="720"/>
        <w:rPr>
          <w:lang w:val="de-DE"/>
        </w:rPr>
      </w:pPr>
      <w:r w:rsidRPr="00C83DF5">
        <w:rPr>
          <w:color w:val="000000"/>
          <w:lang w:val="de-DE"/>
        </w:rPr>
        <w:t>Die aktuellen Produktbenutzungsrechte sind bei einem Widerspruch zwischen den Lizenzbestimmungen für Office 365 Midsized Business und diesem Hinweis maßgeblich.</w:t>
      </w:r>
    </w:p>
    <w:p w:rsidR="000A0D35" w:rsidRPr="00C83DF5" w:rsidRDefault="000A0D35" w:rsidP="003F1A34">
      <w:pPr>
        <w:pStyle w:val="Heading2"/>
        <w:ind w:left="0"/>
        <w:rPr>
          <w:lang w:val="de-DE"/>
        </w:rPr>
      </w:pPr>
      <w:bookmarkStart w:id="977" w:name="_7_Add-on_User"/>
      <w:bookmarkStart w:id="978" w:name="_7_Add-On-Nutzer-Abonnementlizenzen_"/>
      <w:bookmarkStart w:id="979" w:name="_Toc370983373"/>
      <w:bookmarkEnd w:id="977"/>
      <w:bookmarkEnd w:id="978"/>
      <w:r w:rsidRPr="00C83DF5">
        <w:rPr>
          <w:rFonts w:ascii="Tahoma" w:hAnsi="Tahoma" w:cs="Tahoma"/>
          <w:caps/>
          <w:color w:val="FF6600"/>
          <w:sz w:val="22"/>
          <w:szCs w:val="22"/>
          <w:vertAlign w:val="superscript"/>
          <w:lang w:val="de-DE"/>
        </w:rPr>
        <w:lastRenderedPageBreak/>
        <w:t>7</w:t>
      </w:r>
      <w:r w:rsidRPr="00106236">
        <w:rPr>
          <w:rFonts w:ascii="Tahoma" w:hAnsi="Tahoma" w:cs="Tahoma"/>
          <w:caps/>
          <w:color w:val="FF6600"/>
          <w:sz w:val="22"/>
          <w:szCs w:val="22"/>
          <w:lang w:val="de-DE"/>
        </w:rPr>
        <w:t xml:space="preserve"> </w:t>
      </w:r>
      <w:r w:rsidRPr="00C83DF5">
        <w:rPr>
          <w:rFonts w:ascii="Tahoma" w:hAnsi="Tahoma" w:cs="Tahoma"/>
          <w:color w:val="FF6600"/>
          <w:sz w:val="22"/>
          <w:szCs w:val="22"/>
          <w:lang w:val="de-DE"/>
        </w:rPr>
        <w:t>Add-On-Nutzer-Abonnementlizenzen für Office 365 und Enterprise Workloads</w:t>
      </w:r>
      <w:bookmarkEnd w:id="979"/>
    </w:p>
    <w:p w:rsidR="000A0D35" w:rsidRPr="008B3D04" w:rsidRDefault="000A0D35" w:rsidP="000A0D35">
      <w:pPr>
        <w:spacing w:after="60"/>
        <w:ind w:left="720"/>
        <w:rPr>
          <w:rFonts w:cs="Tahoma"/>
          <w:szCs w:val="24"/>
          <w:lang w:val="de-DE"/>
        </w:rPr>
      </w:pPr>
    </w:p>
    <w:p w:rsidR="000A0D35" w:rsidRPr="00C83DF5" w:rsidRDefault="000A0D35" w:rsidP="000A0D35">
      <w:pPr>
        <w:spacing w:after="60"/>
        <w:ind w:left="720"/>
        <w:rPr>
          <w:lang w:val="de-DE"/>
        </w:rPr>
      </w:pPr>
      <w:r w:rsidRPr="00C83DF5">
        <w:rPr>
          <w:lang w:val="de-DE"/>
        </w:rPr>
        <w:t xml:space="preserve">Eine Add-On-Nutzer-Abonnementlizenz (Add-On-Nutzer-AL) ist eine Nutzer-Abonnementlizenz (AL), die zusätzlich zu (und in Verbindung mit) einer Qualifizierenden Lizenz (oder einem Set von Qualifizierenden Lizenzen) erworben wird und Zugriff zu Onlinediensten sowie Nutzungsrechte bietet, die denen einer Nutzer-AL für Entsprechende Onlinedienste entsprechen. </w:t>
      </w:r>
    </w:p>
    <w:p w:rsidR="000A0D35" w:rsidRPr="00C83DF5" w:rsidRDefault="000A0D35" w:rsidP="000A0D35">
      <w:pPr>
        <w:spacing w:after="60"/>
        <w:ind w:left="720"/>
        <w:rPr>
          <w:lang w:val="de-DE"/>
        </w:rPr>
      </w:pPr>
      <w:r w:rsidRPr="00C83DF5">
        <w:rPr>
          <w:lang w:val="de-DE"/>
        </w:rPr>
        <w:t>In der folgenden Tabelle wird/werden die Qualifizierenden Lizenz(en) und Nutzer-AL für Entsprechende Onlinedienste für alle verfügbaren Add-On-Nutzer-AL aufgeführt.</w:t>
      </w:r>
    </w:p>
    <w:p w:rsidR="000A0D35" w:rsidRPr="008B3D04" w:rsidRDefault="000A0D35" w:rsidP="00D824E9">
      <w:pPr>
        <w:rPr>
          <w:rFonts w:cs="Tahoma"/>
          <w:szCs w:val="24"/>
          <w:lang w:val="de-DE"/>
        </w:rPr>
      </w:pPr>
    </w:p>
    <w:tbl>
      <w:tblPr>
        <w:tblStyle w:val="TableGrid"/>
        <w:tblW w:w="875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3291"/>
        <w:gridCol w:w="3880"/>
      </w:tblGrid>
      <w:tr w:rsidR="000A0D35" w:rsidRPr="004D388E" w:rsidTr="007F61F5">
        <w:tc>
          <w:tcPr>
            <w:tcW w:w="1586" w:type="dxa"/>
            <w:shd w:val="clear" w:color="auto" w:fill="FABF8F"/>
          </w:tcPr>
          <w:p w:rsidR="000A0D35" w:rsidRPr="00C83DF5" w:rsidRDefault="000A0D35" w:rsidP="00DB3ECB">
            <w:pPr>
              <w:jc w:val="center"/>
              <w:rPr>
                <w:rFonts w:cs="Tahoma"/>
                <w:b/>
                <w:szCs w:val="24"/>
              </w:rPr>
            </w:pPr>
            <w:r w:rsidRPr="00C83DF5">
              <w:rPr>
                <w:rFonts w:cs="Tahoma"/>
                <w:b/>
                <w:szCs w:val="24"/>
              </w:rPr>
              <w:t>Qualifizierende Lizenz(en)</w:t>
            </w:r>
          </w:p>
        </w:tc>
        <w:tc>
          <w:tcPr>
            <w:tcW w:w="3291" w:type="dxa"/>
            <w:shd w:val="clear" w:color="auto" w:fill="FABF8F"/>
            <w:vAlign w:val="center"/>
          </w:tcPr>
          <w:p w:rsidR="000A0D35" w:rsidRPr="00C83DF5" w:rsidRDefault="000A0D35" w:rsidP="00DB3ECB">
            <w:pPr>
              <w:jc w:val="center"/>
              <w:rPr>
                <w:rFonts w:cs="Tahoma"/>
                <w:b/>
                <w:szCs w:val="24"/>
                <w:vertAlign w:val="superscript"/>
              </w:rPr>
            </w:pPr>
            <w:r w:rsidRPr="00C83DF5">
              <w:rPr>
                <w:rFonts w:cs="Tahoma"/>
                <w:b/>
                <w:szCs w:val="24"/>
              </w:rPr>
              <w:t>Add-On-Nutzer-AL</w:t>
            </w:r>
            <w:r w:rsidRPr="00C83DF5">
              <w:rPr>
                <w:rFonts w:cs="Tahoma"/>
                <w:b/>
                <w:szCs w:val="24"/>
                <w:vertAlign w:val="superscript"/>
              </w:rPr>
              <w:t>1</w:t>
            </w:r>
          </w:p>
        </w:tc>
        <w:tc>
          <w:tcPr>
            <w:tcW w:w="3880" w:type="dxa"/>
            <w:shd w:val="clear" w:color="auto" w:fill="FABF8F"/>
            <w:vAlign w:val="center"/>
          </w:tcPr>
          <w:p w:rsidR="000A0D35" w:rsidRPr="00C83DF5" w:rsidRDefault="000A0D35" w:rsidP="00DB3ECB">
            <w:pPr>
              <w:jc w:val="center"/>
              <w:rPr>
                <w:rFonts w:cs="Tahoma"/>
                <w:b/>
                <w:szCs w:val="24"/>
                <w:lang w:val="de-DE"/>
              </w:rPr>
            </w:pPr>
            <w:r w:rsidRPr="00C83DF5">
              <w:rPr>
                <w:rFonts w:cs="Tahoma"/>
                <w:b/>
                <w:szCs w:val="24"/>
                <w:lang w:val="de-DE"/>
              </w:rPr>
              <w:t>Nutzer-AL(s) für Entsprechende Onlinedienste</w:t>
            </w:r>
            <w:r w:rsidRPr="00C83DF5">
              <w:rPr>
                <w:rFonts w:cs="Tahoma"/>
                <w:b/>
                <w:szCs w:val="24"/>
                <w:vertAlign w:val="superscript"/>
                <w:lang w:val="de-DE"/>
              </w:rPr>
              <w:t>1</w:t>
            </w:r>
          </w:p>
        </w:tc>
      </w:tr>
      <w:tr w:rsidR="000A0D35" w:rsidRPr="00C83DF5" w:rsidTr="007F61F5">
        <w:tc>
          <w:tcPr>
            <w:tcW w:w="1586" w:type="dxa"/>
            <w:vMerge w:val="restart"/>
            <w:vAlign w:val="center"/>
          </w:tcPr>
          <w:p w:rsidR="000A0D35" w:rsidRPr="00C83DF5" w:rsidRDefault="000A0D35" w:rsidP="00DB3ECB">
            <w:pPr>
              <w:jc w:val="center"/>
              <w:rPr>
                <w:rFonts w:cs="Tahoma"/>
                <w:szCs w:val="18"/>
              </w:rPr>
            </w:pPr>
            <w:r w:rsidRPr="00C83DF5">
              <w:rPr>
                <w:rFonts w:cs="Tahoma"/>
                <w:szCs w:val="18"/>
              </w:rPr>
              <w:t>Core CAL</w:t>
            </w:r>
          </w:p>
        </w:tc>
        <w:tc>
          <w:tcPr>
            <w:tcW w:w="3291" w:type="dxa"/>
            <w:vAlign w:val="center"/>
          </w:tcPr>
          <w:p w:rsidR="000A0D35" w:rsidRPr="00C83DF5" w:rsidRDefault="000A0D35" w:rsidP="00DB3ECB">
            <w:pPr>
              <w:rPr>
                <w:rFonts w:cs="Tahoma"/>
                <w:szCs w:val="18"/>
              </w:rPr>
            </w:pPr>
            <w:r w:rsidRPr="00C83DF5">
              <w:rPr>
                <w:rFonts w:cs="Tahoma"/>
                <w:szCs w:val="18"/>
              </w:rPr>
              <w:t xml:space="preserve">Add-On für Office 365 E1/G1 </w:t>
            </w:r>
          </w:p>
        </w:tc>
        <w:tc>
          <w:tcPr>
            <w:tcW w:w="3880" w:type="dxa"/>
            <w:vAlign w:val="center"/>
          </w:tcPr>
          <w:p w:rsidR="000A0D35" w:rsidRPr="00C83DF5" w:rsidRDefault="000A0D35" w:rsidP="00DB3ECB">
            <w:pPr>
              <w:rPr>
                <w:rFonts w:cs="Tahoma"/>
                <w:szCs w:val="18"/>
              </w:rPr>
            </w:pPr>
            <w:r w:rsidRPr="00C83DF5">
              <w:rPr>
                <w:rFonts w:cs="Tahoma"/>
                <w:szCs w:val="18"/>
              </w:rPr>
              <w:t>Office 365 E1/G1</w:t>
            </w:r>
          </w:p>
        </w:tc>
      </w:tr>
      <w:tr w:rsidR="000A0D35" w:rsidRPr="00C83DF5" w:rsidTr="007F61F5">
        <w:tc>
          <w:tcPr>
            <w:tcW w:w="1586" w:type="dxa"/>
            <w:vMerge/>
            <w:vAlign w:val="center"/>
          </w:tcPr>
          <w:p w:rsidR="000A0D35" w:rsidRPr="00C83DF5" w:rsidRDefault="000A0D35" w:rsidP="00DB3ECB">
            <w:pPr>
              <w:jc w:val="center"/>
              <w:rPr>
                <w:rFonts w:cs="Tahoma"/>
                <w:szCs w:val="18"/>
              </w:rPr>
            </w:pPr>
          </w:p>
        </w:tc>
        <w:tc>
          <w:tcPr>
            <w:tcW w:w="3291" w:type="dxa"/>
            <w:vAlign w:val="center"/>
          </w:tcPr>
          <w:p w:rsidR="000A0D35" w:rsidRPr="00C83DF5" w:rsidRDefault="000A0D35" w:rsidP="00730B6F">
            <w:pPr>
              <w:rPr>
                <w:rFonts w:cs="Tahoma"/>
                <w:szCs w:val="18"/>
              </w:rPr>
            </w:pPr>
            <w:r w:rsidRPr="00C83DF5">
              <w:rPr>
                <w:rFonts w:cs="Tahoma"/>
                <w:szCs w:val="18"/>
              </w:rPr>
              <w:t>Add-On für Office 365 E3/G3 ohne</w:t>
            </w:r>
            <w:r w:rsidR="00730B6F">
              <w:rPr>
                <w:rFonts w:cs="Tahoma"/>
                <w:szCs w:val="18"/>
              </w:rPr>
              <w:t> </w:t>
            </w:r>
            <w:r w:rsidRPr="00C83DF5">
              <w:rPr>
                <w:rFonts w:cs="Tahoma"/>
                <w:szCs w:val="18"/>
              </w:rPr>
              <w:t xml:space="preserve">ProPlus </w:t>
            </w:r>
          </w:p>
        </w:tc>
        <w:tc>
          <w:tcPr>
            <w:tcW w:w="3880" w:type="dxa"/>
            <w:vAlign w:val="center"/>
          </w:tcPr>
          <w:p w:rsidR="000A0D35" w:rsidRPr="00C83DF5" w:rsidRDefault="000A0D35" w:rsidP="00947901">
            <w:pPr>
              <w:rPr>
                <w:rFonts w:cs="Tahoma"/>
                <w:szCs w:val="18"/>
              </w:rPr>
            </w:pPr>
            <w:r w:rsidRPr="00C83DF5">
              <w:rPr>
                <w:rFonts w:cs="Tahoma"/>
                <w:szCs w:val="18"/>
              </w:rPr>
              <w:t>Office 365 E3/G3 ohne ProPlus</w:t>
            </w:r>
          </w:p>
        </w:tc>
      </w:tr>
      <w:tr w:rsidR="000A0D35" w:rsidRPr="00C83DF5" w:rsidTr="007F61F5">
        <w:tc>
          <w:tcPr>
            <w:tcW w:w="1586" w:type="dxa"/>
            <w:vMerge/>
            <w:vAlign w:val="center"/>
          </w:tcPr>
          <w:p w:rsidR="000A0D35" w:rsidRPr="00C83DF5" w:rsidRDefault="000A0D35" w:rsidP="00DB3ECB">
            <w:pPr>
              <w:jc w:val="center"/>
              <w:rPr>
                <w:rFonts w:cs="Tahoma"/>
                <w:szCs w:val="18"/>
              </w:rPr>
            </w:pPr>
          </w:p>
        </w:tc>
        <w:tc>
          <w:tcPr>
            <w:tcW w:w="3291" w:type="dxa"/>
            <w:vAlign w:val="center"/>
          </w:tcPr>
          <w:p w:rsidR="000A0D35" w:rsidRPr="00C83DF5" w:rsidRDefault="000A0D35" w:rsidP="00730B6F">
            <w:pPr>
              <w:rPr>
                <w:rFonts w:cs="Tahoma"/>
                <w:szCs w:val="18"/>
              </w:rPr>
            </w:pPr>
            <w:r w:rsidRPr="00C83DF5">
              <w:rPr>
                <w:rFonts w:cs="Tahoma"/>
                <w:szCs w:val="18"/>
              </w:rPr>
              <w:t>Add-On für Office 365 E4/G4 ohne</w:t>
            </w:r>
            <w:r w:rsidR="00730B6F">
              <w:rPr>
                <w:rFonts w:cs="Tahoma"/>
                <w:szCs w:val="18"/>
              </w:rPr>
              <w:t> </w:t>
            </w:r>
            <w:r w:rsidRPr="00C83DF5">
              <w:rPr>
                <w:rFonts w:cs="Tahoma"/>
                <w:szCs w:val="18"/>
              </w:rPr>
              <w:t>ProPlus</w:t>
            </w:r>
          </w:p>
        </w:tc>
        <w:tc>
          <w:tcPr>
            <w:tcW w:w="3880" w:type="dxa"/>
            <w:vAlign w:val="center"/>
          </w:tcPr>
          <w:p w:rsidR="000A0D35" w:rsidRPr="00C83DF5" w:rsidRDefault="000A0D35" w:rsidP="00DB3ECB">
            <w:pPr>
              <w:rPr>
                <w:rFonts w:cs="Tahoma"/>
                <w:szCs w:val="18"/>
              </w:rPr>
            </w:pPr>
            <w:r w:rsidRPr="00C83DF5">
              <w:rPr>
                <w:rFonts w:cs="Tahoma"/>
                <w:szCs w:val="18"/>
              </w:rPr>
              <w:t xml:space="preserve">Office 365 E4/G4 ohne ProPlus </w:t>
            </w:r>
          </w:p>
        </w:tc>
      </w:tr>
      <w:tr w:rsidR="000A0D35" w:rsidRPr="00C83DF5" w:rsidTr="007F61F5">
        <w:tc>
          <w:tcPr>
            <w:tcW w:w="1586" w:type="dxa"/>
            <w:vMerge/>
            <w:vAlign w:val="center"/>
          </w:tcPr>
          <w:p w:rsidR="000A0D35" w:rsidRPr="00C83DF5" w:rsidRDefault="000A0D35" w:rsidP="00DB3ECB">
            <w:pPr>
              <w:jc w:val="center"/>
              <w:rPr>
                <w:rFonts w:cs="Tahoma"/>
                <w:szCs w:val="18"/>
              </w:rPr>
            </w:pPr>
          </w:p>
        </w:tc>
        <w:tc>
          <w:tcPr>
            <w:tcW w:w="3291" w:type="dxa"/>
            <w:vAlign w:val="center"/>
          </w:tcPr>
          <w:p w:rsidR="000A0D35" w:rsidRPr="00C83DF5" w:rsidRDefault="000A0D35" w:rsidP="00DB3ECB">
            <w:pPr>
              <w:rPr>
                <w:rFonts w:cs="Tahoma"/>
                <w:szCs w:val="18"/>
              </w:rPr>
            </w:pPr>
            <w:r w:rsidRPr="00C83DF5">
              <w:rPr>
                <w:rFonts w:cs="Tahoma"/>
                <w:szCs w:val="18"/>
              </w:rPr>
              <w:t>Add-On für Exchange Online Plan 1</w:t>
            </w:r>
          </w:p>
        </w:tc>
        <w:tc>
          <w:tcPr>
            <w:tcW w:w="3880" w:type="dxa"/>
            <w:vAlign w:val="center"/>
          </w:tcPr>
          <w:p w:rsidR="000A0D35" w:rsidRPr="00C83DF5" w:rsidRDefault="000A0D35" w:rsidP="00DB3ECB">
            <w:pPr>
              <w:rPr>
                <w:rFonts w:cs="Tahoma"/>
                <w:szCs w:val="18"/>
              </w:rPr>
            </w:pPr>
            <w:r w:rsidRPr="00C83DF5">
              <w:rPr>
                <w:rFonts w:cs="Tahoma"/>
                <w:szCs w:val="18"/>
              </w:rPr>
              <w:t>Exchange Online Plan 1</w:t>
            </w:r>
          </w:p>
        </w:tc>
      </w:tr>
      <w:tr w:rsidR="000A0D35" w:rsidRPr="00C83DF5" w:rsidTr="007F61F5">
        <w:tc>
          <w:tcPr>
            <w:tcW w:w="1586" w:type="dxa"/>
            <w:vMerge/>
            <w:vAlign w:val="center"/>
          </w:tcPr>
          <w:p w:rsidR="000A0D35" w:rsidRPr="00C83DF5" w:rsidRDefault="000A0D35" w:rsidP="00DB3ECB">
            <w:pPr>
              <w:jc w:val="center"/>
              <w:rPr>
                <w:rFonts w:cs="Tahoma"/>
                <w:szCs w:val="18"/>
              </w:rPr>
            </w:pPr>
          </w:p>
        </w:tc>
        <w:tc>
          <w:tcPr>
            <w:tcW w:w="3291" w:type="dxa"/>
            <w:vAlign w:val="center"/>
          </w:tcPr>
          <w:p w:rsidR="000A0D35" w:rsidRPr="00C83DF5" w:rsidRDefault="000A0D35" w:rsidP="00DB3ECB">
            <w:pPr>
              <w:rPr>
                <w:rFonts w:cs="Tahoma"/>
                <w:szCs w:val="18"/>
              </w:rPr>
            </w:pPr>
          </w:p>
        </w:tc>
        <w:tc>
          <w:tcPr>
            <w:tcW w:w="3880" w:type="dxa"/>
            <w:vAlign w:val="center"/>
          </w:tcPr>
          <w:p w:rsidR="000A0D35" w:rsidRPr="00C83DF5" w:rsidRDefault="000A0D35" w:rsidP="00DB3ECB">
            <w:pPr>
              <w:rPr>
                <w:rFonts w:cs="Tahoma"/>
                <w:szCs w:val="18"/>
              </w:rPr>
            </w:pPr>
          </w:p>
        </w:tc>
      </w:tr>
      <w:tr w:rsidR="000A0D35" w:rsidRPr="00C83DF5" w:rsidTr="007F61F5">
        <w:tc>
          <w:tcPr>
            <w:tcW w:w="1586" w:type="dxa"/>
            <w:vMerge/>
            <w:vAlign w:val="center"/>
          </w:tcPr>
          <w:p w:rsidR="000A0D35" w:rsidRPr="00C83DF5" w:rsidRDefault="000A0D35" w:rsidP="00DB3ECB">
            <w:pPr>
              <w:jc w:val="center"/>
              <w:rPr>
                <w:rFonts w:cs="Tahoma"/>
                <w:szCs w:val="18"/>
              </w:rPr>
            </w:pPr>
          </w:p>
        </w:tc>
        <w:tc>
          <w:tcPr>
            <w:tcW w:w="3291" w:type="dxa"/>
            <w:vAlign w:val="center"/>
          </w:tcPr>
          <w:p w:rsidR="000A0D35" w:rsidRPr="00C83DF5" w:rsidRDefault="000A0D35" w:rsidP="00DB3ECB">
            <w:pPr>
              <w:rPr>
                <w:rFonts w:cs="Tahoma"/>
                <w:szCs w:val="18"/>
              </w:rPr>
            </w:pPr>
            <w:r w:rsidRPr="00C83DF5">
              <w:rPr>
                <w:rFonts w:cs="Tahoma"/>
                <w:szCs w:val="18"/>
              </w:rPr>
              <w:t>Add-On für Lync Online Plan 1</w:t>
            </w:r>
          </w:p>
        </w:tc>
        <w:tc>
          <w:tcPr>
            <w:tcW w:w="3880" w:type="dxa"/>
            <w:vAlign w:val="center"/>
          </w:tcPr>
          <w:p w:rsidR="000A0D35" w:rsidRPr="00C83DF5" w:rsidRDefault="000A0D35" w:rsidP="00DB3ECB">
            <w:pPr>
              <w:rPr>
                <w:rFonts w:cs="Tahoma"/>
                <w:szCs w:val="18"/>
              </w:rPr>
            </w:pPr>
            <w:r w:rsidRPr="00C83DF5">
              <w:rPr>
                <w:rFonts w:cs="Tahoma"/>
                <w:szCs w:val="18"/>
              </w:rPr>
              <w:t>Lync Online Plan 1</w:t>
            </w:r>
          </w:p>
        </w:tc>
      </w:tr>
      <w:tr w:rsidR="000A0D35" w:rsidRPr="00C83DF5" w:rsidTr="007F61F5">
        <w:tc>
          <w:tcPr>
            <w:tcW w:w="1586" w:type="dxa"/>
            <w:vMerge/>
            <w:vAlign w:val="center"/>
          </w:tcPr>
          <w:p w:rsidR="000A0D35" w:rsidRPr="00C83DF5" w:rsidRDefault="000A0D35" w:rsidP="00DB3ECB">
            <w:pPr>
              <w:jc w:val="center"/>
              <w:rPr>
                <w:rFonts w:cs="Tahoma"/>
                <w:szCs w:val="18"/>
              </w:rPr>
            </w:pPr>
          </w:p>
        </w:tc>
        <w:tc>
          <w:tcPr>
            <w:tcW w:w="3291" w:type="dxa"/>
            <w:vAlign w:val="center"/>
          </w:tcPr>
          <w:p w:rsidR="000A0D35" w:rsidRPr="00C83DF5" w:rsidRDefault="000A0D35" w:rsidP="00DB3ECB">
            <w:pPr>
              <w:rPr>
                <w:rFonts w:cs="Tahoma"/>
                <w:szCs w:val="18"/>
              </w:rPr>
            </w:pPr>
            <w:r w:rsidRPr="00C83DF5">
              <w:rPr>
                <w:rFonts w:cs="Tahoma"/>
                <w:szCs w:val="18"/>
              </w:rPr>
              <w:t>Add-On für SharePoint™ Online Plan 1 mit Yammer</w:t>
            </w:r>
          </w:p>
        </w:tc>
        <w:tc>
          <w:tcPr>
            <w:tcW w:w="3880" w:type="dxa"/>
            <w:vAlign w:val="center"/>
          </w:tcPr>
          <w:p w:rsidR="000A0D35" w:rsidRPr="00C83DF5" w:rsidRDefault="000A0D35" w:rsidP="00541ED5">
            <w:pPr>
              <w:rPr>
                <w:rFonts w:cs="Tahoma"/>
                <w:szCs w:val="18"/>
              </w:rPr>
            </w:pPr>
            <w:r w:rsidRPr="00C83DF5">
              <w:rPr>
                <w:rFonts w:cs="Tahoma"/>
                <w:szCs w:val="18"/>
              </w:rPr>
              <w:t>SharePoint Online Plan 1 und Yammer Enterprise</w:t>
            </w:r>
          </w:p>
        </w:tc>
      </w:tr>
      <w:tr w:rsidR="000A0D35" w:rsidRPr="00C83DF5" w:rsidTr="007F61F5">
        <w:tc>
          <w:tcPr>
            <w:tcW w:w="1586" w:type="dxa"/>
            <w:vMerge w:val="restart"/>
            <w:vAlign w:val="center"/>
          </w:tcPr>
          <w:p w:rsidR="000A0D35" w:rsidRPr="00C83DF5" w:rsidRDefault="000A0D35" w:rsidP="00DB3ECB">
            <w:pPr>
              <w:jc w:val="center"/>
              <w:rPr>
                <w:lang w:val="fr-FR"/>
              </w:rPr>
            </w:pPr>
            <w:r w:rsidRPr="00C83DF5">
              <w:rPr>
                <w:rFonts w:cs="Tahoma"/>
                <w:szCs w:val="18"/>
                <w:lang w:val="fr-FR"/>
              </w:rPr>
              <w:t xml:space="preserve">Core CAL Suite + </w:t>
            </w:r>
          </w:p>
          <w:p w:rsidR="000A0D35" w:rsidRPr="00C83DF5" w:rsidRDefault="000A0D35" w:rsidP="00DB3ECB">
            <w:pPr>
              <w:jc w:val="center"/>
              <w:rPr>
                <w:rFonts w:cs="Tahoma"/>
                <w:szCs w:val="18"/>
                <w:lang w:val="fr-FR"/>
              </w:rPr>
            </w:pPr>
            <w:r w:rsidRPr="00C83DF5">
              <w:rPr>
                <w:rFonts w:cs="Tahoma"/>
                <w:szCs w:val="18"/>
                <w:lang w:val="fr-FR"/>
              </w:rPr>
              <w:t>Office Professional Plus</w:t>
            </w:r>
          </w:p>
        </w:tc>
        <w:tc>
          <w:tcPr>
            <w:tcW w:w="3291" w:type="dxa"/>
            <w:vAlign w:val="center"/>
          </w:tcPr>
          <w:p w:rsidR="000A0D35" w:rsidRPr="00C83DF5" w:rsidRDefault="000A0D35" w:rsidP="00DB3ECB">
            <w:pPr>
              <w:rPr>
                <w:rFonts w:cs="Tahoma"/>
                <w:szCs w:val="18"/>
              </w:rPr>
            </w:pPr>
            <w:r w:rsidRPr="00C83DF5">
              <w:rPr>
                <w:rFonts w:cs="Tahoma"/>
                <w:szCs w:val="18"/>
              </w:rPr>
              <w:t xml:space="preserve">Add-On für Office 365 E1/G1 </w:t>
            </w:r>
          </w:p>
        </w:tc>
        <w:tc>
          <w:tcPr>
            <w:tcW w:w="3880" w:type="dxa"/>
            <w:vAlign w:val="center"/>
          </w:tcPr>
          <w:p w:rsidR="000A0D35" w:rsidRPr="00C83DF5" w:rsidRDefault="000A0D35" w:rsidP="00DB3ECB">
            <w:pPr>
              <w:rPr>
                <w:rFonts w:cs="Tahoma"/>
                <w:szCs w:val="18"/>
              </w:rPr>
            </w:pPr>
            <w:r w:rsidRPr="00C83DF5">
              <w:rPr>
                <w:rFonts w:cs="Tahoma"/>
                <w:szCs w:val="18"/>
              </w:rPr>
              <w:t>Office 365 E1/G1</w:t>
            </w:r>
          </w:p>
        </w:tc>
      </w:tr>
      <w:tr w:rsidR="000A0D35" w:rsidRPr="00C83DF5" w:rsidTr="007F61F5">
        <w:tc>
          <w:tcPr>
            <w:tcW w:w="1586" w:type="dxa"/>
            <w:vMerge/>
          </w:tcPr>
          <w:p w:rsidR="000A0D35" w:rsidRPr="00C83DF5" w:rsidRDefault="000A0D35" w:rsidP="00DB3ECB">
            <w:pPr>
              <w:rPr>
                <w:rFonts w:cs="Tahoma"/>
                <w:szCs w:val="18"/>
              </w:rPr>
            </w:pPr>
          </w:p>
        </w:tc>
        <w:tc>
          <w:tcPr>
            <w:tcW w:w="3291" w:type="dxa"/>
            <w:vAlign w:val="center"/>
          </w:tcPr>
          <w:p w:rsidR="000A0D35" w:rsidRPr="00C83DF5" w:rsidRDefault="000A0D35" w:rsidP="008D6A37">
            <w:pPr>
              <w:rPr>
                <w:rFonts w:cs="Tahoma"/>
                <w:szCs w:val="18"/>
              </w:rPr>
            </w:pPr>
            <w:r w:rsidRPr="00C83DF5">
              <w:rPr>
                <w:rFonts w:cs="Tahoma"/>
                <w:szCs w:val="18"/>
              </w:rPr>
              <w:t>Add-On für Office 365 E3/G3 ohne</w:t>
            </w:r>
            <w:r w:rsidR="008D6A37">
              <w:rPr>
                <w:rFonts w:cs="Tahoma"/>
                <w:szCs w:val="18"/>
              </w:rPr>
              <w:t> </w:t>
            </w:r>
            <w:r w:rsidRPr="00C83DF5">
              <w:rPr>
                <w:rFonts w:cs="Tahoma"/>
                <w:szCs w:val="18"/>
              </w:rPr>
              <w:t>ProPlus</w:t>
            </w:r>
          </w:p>
        </w:tc>
        <w:tc>
          <w:tcPr>
            <w:tcW w:w="3880" w:type="dxa"/>
            <w:vAlign w:val="center"/>
          </w:tcPr>
          <w:p w:rsidR="000A0D35" w:rsidRPr="00C83DF5" w:rsidRDefault="000A0D35" w:rsidP="00947901">
            <w:pPr>
              <w:rPr>
                <w:rFonts w:cs="Tahoma"/>
                <w:szCs w:val="18"/>
              </w:rPr>
            </w:pPr>
            <w:r w:rsidRPr="00C83DF5">
              <w:rPr>
                <w:rFonts w:cs="Tahoma"/>
                <w:szCs w:val="18"/>
              </w:rPr>
              <w:t>Office 365 E3/G3 ohne ProPlus</w:t>
            </w:r>
            <w:r w:rsidRPr="00C83DF5">
              <w:rPr>
                <w:rFonts w:cs="Tahoma"/>
                <w:szCs w:val="18"/>
                <w:vertAlign w:val="superscript"/>
              </w:rPr>
              <w:t>2</w:t>
            </w:r>
          </w:p>
        </w:tc>
      </w:tr>
      <w:tr w:rsidR="000A0D35" w:rsidRPr="00C83DF5" w:rsidTr="007F61F5">
        <w:tc>
          <w:tcPr>
            <w:tcW w:w="1586" w:type="dxa"/>
            <w:vMerge/>
          </w:tcPr>
          <w:p w:rsidR="000A0D35" w:rsidRPr="00C83DF5" w:rsidRDefault="000A0D35" w:rsidP="00DB3ECB">
            <w:pPr>
              <w:rPr>
                <w:rFonts w:cs="Tahoma"/>
                <w:szCs w:val="18"/>
              </w:rPr>
            </w:pPr>
          </w:p>
        </w:tc>
        <w:tc>
          <w:tcPr>
            <w:tcW w:w="3291" w:type="dxa"/>
            <w:vAlign w:val="center"/>
          </w:tcPr>
          <w:p w:rsidR="000A0D35" w:rsidRPr="00C83DF5" w:rsidRDefault="000A0D35" w:rsidP="00DB3ECB">
            <w:pPr>
              <w:rPr>
                <w:rFonts w:cs="Tahoma"/>
                <w:szCs w:val="18"/>
              </w:rPr>
            </w:pPr>
            <w:r w:rsidRPr="00C83DF5">
              <w:rPr>
                <w:rFonts w:cs="Tahoma"/>
                <w:szCs w:val="18"/>
              </w:rPr>
              <w:t>Add-On für Office 365 E3/G3</w:t>
            </w:r>
          </w:p>
        </w:tc>
        <w:tc>
          <w:tcPr>
            <w:tcW w:w="3880" w:type="dxa"/>
            <w:vAlign w:val="center"/>
          </w:tcPr>
          <w:p w:rsidR="000A0D35" w:rsidRPr="00C83DF5" w:rsidRDefault="000A0D35" w:rsidP="00DB3ECB">
            <w:pPr>
              <w:rPr>
                <w:rFonts w:cs="Tahoma"/>
                <w:szCs w:val="18"/>
              </w:rPr>
            </w:pPr>
            <w:r w:rsidRPr="00C83DF5">
              <w:rPr>
                <w:rFonts w:cs="Tahoma"/>
                <w:szCs w:val="18"/>
              </w:rPr>
              <w:t>Office 365 E3/G3</w:t>
            </w:r>
          </w:p>
        </w:tc>
      </w:tr>
      <w:tr w:rsidR="000A0D35" w:rsidRPr="00C83DF5" w:rsidTr="007F61F5">
        <w:tc>
          <w:tcPr>
            <w:tcW w:w="1586" w:type="dxa"/>
            <w:vMerge/>
          </w:tcPr>
          <w:p w:rsidR="000A0D35" w:rsidRPr="00C83DF5" w:rsidRDefault="000A0D35" w:rsidP="00DB3ECB">
            <w:pPr>
              <w:rPr>
                <w:rFonts w:cs="Tahoma"/>
                <w:szCs w:val="18"/>
              </w:rPr>
            </w:pPr>
          </w:p>
        </w:tc>
        <w:tc>
          <w:tcPr>
            <w:tcW w:w="3291" w:type="dxa"/>
            <w:vAlign w:val="center"/>
          </w:tcPr>
          <w:p w:rsidR="000A0D35" w:rsidRPr="00C83DF5" w:rsidRDefault="000A0D35" w:rsidP="008D6A37">
            <w:pPr>
              <w:rPr>
                <w:rFonts w:cs="Tahoma"/>
                <w:szCs w:val="18"/>
              </w:rPr>
            </w:pPr>
            <w:r w:rsidRPr="00C83DF5">
              <w:rPr>
                <w:rFonts w:cs="Tahoma"/>
                <w:szCs w:val="18"/>
              </w:rPr>
              <w:t>Add-On für Office 365 E4/G4 ohne</w:t>
            </w:r>
            <w:r w:rsidR="008D6A37">
              <w:rPr>
                <w:rFonts w:cs="Tahoma"/>
                <w:szCs w:val="18"/>
              </w:rPr>
              <w:t> </w:t>
            </w:r>
            <w:r w:rsidRPr="00C83DF5">
              <w:rPr>
                <w:rFonts w:cs="Tahoma"/>
                <w:szCs w:val="18"/>
              </w:rPr>
              <w:t>ProPlus</w:t>
            </w:r>
          </w:p>
        </w:tc>
        <w:tc>
          <w:tcPr>
            <w:tcW w:w="3880" w:type="dxa"/>
            <w:vAlign w:val="center"/>
          </w:tcPr>
          <w:p w:rsidR="000A0D35" w:rsidRPr="00C83DF5" w:rsidRDefault="000A0D35" w:rsidP="00DB3ECB">
            <w:pPr>
              <w:rPr>
                <w:rFonts w:cs="Tahoma"/>
                <w:szCs w:val="18"/>
              </w:rPr>
            </w:pPr>
            <w:r w:rsidRPr="00C83DF5">
              <w:rPr>
                <w:rFonts w:cs="Tahoma"/>
                <w:szCs w:val="18"/>
              </w:rPr>
              <w:t>Office 365 E4/G4 ohne ProPlus</w:t>
            </w:r>
            <w:r w:rsidRPr="00C83DF5">
              <w:rPr>
                <w:rFonts w:cs="Tahoma"/>
                <w:szCs w:val="18"/>
                <w:vertAlign w:val="superscript"/>
              </w:rPr>
              <w:t>2</w:t>
            </w:r>
          </w:p>
        </w:tc>
      </w:tr>
      <w:tr w:rsidR="000A0D35" w:rsidRPr="00C83DF5" w:rsidTr="007F61F5">
        <w:tc>
          <w:tcPr>
            <w:tcW w:w="1586" w:type="dxa"/>
            <w:vMerge/>
          </w:tcPr>
          <w:p w:rsidR="000A0D35" w:rsidRPr="00C83DF5" w:rsidRDefault="000A0D35" w:rsidP="00DB3ECB">
            <w:pPr>
              <w:rPr>
                <w:rFonts w:cs="Tahoma"/>
                <w:szCs w:val="18"/>
              </w:rPr>
            </w:pPr>
          </w:p>
        </w:tc>
        <w:tc>
          <w:tcPr>
            <w:tcW w:w="3291" w:type="dxa"/>
            <w:vAlign w:val="center"/>
          </w:tcPr>
          <w:p w:rsidR="000A0D35" w:rsidRPr="00C83DF5" w:rsidRDefault="000A0D35" w:rsidP="00DB3ECB">
            <w:pPr>
              <w:rPr>
                <w:rFonts w:cs="Tahoma"/>
                <w:szCs w:val="18"/>
              </w:rPr>
            </w:pPr>
            <w:r w:rsidRPr="00C83DF5">
              <w:rPr>
                <w:rFonts w:cs="Tahoma"/>
                <w:szCs w:val="18"/>
              </w:rPr>
              <w:t>Add-On für Office 365 E4/G4</w:t>
            </w:r>
          </w:p>
        </w:tc>
        <w:tc>
          <w:tcPr>
            <w:tcW w:w="3880" w:type="dxa"/>
            <w:vAlign w:val="center"/>
          </w:tcPr>
          <w:p w:rsidR="000A0D35" w:rsidRPr="00C83DF5" w:rsidRDefault="000A0D35" w:rsidP="00DB3ECB">
            <w:pPr>
              <w:rPr>
                <w:rFonts w:cs="Tahoma"/>
                <w:szCs w:val="18"/>
              </w:rPr>
            </w:pPr>
            <w:r w:rsidRPr="00C83DF5">
              <w:rPr>
                <w:rFonts w:cs="Tahoma"/>
                <w:szCs w:val="18"/>
              </w:rPr>
              <w:t>Office 365 E4/G4</w:t>
            </w:r>
          </w:p>
        </w:tc>
      </w:tr>
      <w:tr w:rsidR="000A0D35" w:rsidRPr="00C83DF5" w:rsidTr="007F61F5">
        <w:tc>
          <w:tcPr>
            <w:tcW w:w="1586" w:type="dxa"/>
            <w:vMerge/>
          </w:tcPr>
          <w:p w:rsidR="000A0D35" w:rsidRPr="00C83DF5" w:rsidRDefault="000A0D35" w:rsidP="00DB3ECB">
            <w:pPr>
              <w:rPr>
                <w:rFonts w:cs="Tahoma"/>
                <w:szCs w:val="18"/>
              </w:rPr>
            </w:pPr>
          </w:p>
        </w:tc>
        <w:tc>
          <w:tcPr>
            <w:tcW w:w="3291" w:type="dxa"/>
            <w:vAlign w:val="center"/>
          </w:tcPr>
          <w:p w:rsidR="000A0D35" w:rsidRPr="00C83DF5" w:rsidRDefault="000A0D35" w:rsidP="00DB3ECB">
            <w:pPr>
              <w:rPr>
                <w:rFonts w:cs="Tahoma"/>
                <w:szCs w:val="18"/>
              </w:rPr>
            </w:pPr>
            <w:r w:rsidRPr="00C83DF5">
              <w:rPr>
                <w:rFonts w:cs="Tahoma"/>
                <w:szCs w:val="18"/>
              </w:rPr>
              <w:t>Add-On für Exchange Online Plan 1</w:t>
            </w:r>
          </w:p>
        </w:tc>
        <w:tc>
          <w:tcPr>
            <w:tcW w:w="3880" w:type="dxa"/>
            <w:vAlign w:val="center"/>
          </w:tcPr>
          <w:p w:rsidR="000A0D35" w:rsidRPr="00C83DF5" w:rsidRDefault="000A0D35" w:rsidP="00DB3ECB">
            <w:pPr>
              <w:rPr>
                <w:rFonts w:cs="Tahoma"/>
                <w:szCs w:val="18"/>
              </w:rPr>
            </w:pPr>
            <w:r w:rsidRPr="00C83DF5">
              <w:rPr>
                <w:rFonts w:cs="Tahoma"/>
                <w:szCs w:val="18"/>
              </w:rPr>
              <w:t>Exchange Online Plan 1</w:t>
            </w:r>
          </w:p>
        </w:tc>
      </w:tr>
      <w:tr w:rsidR="00A42F94" w:rsidRPr="00C83DF5" w:rsidTr="007F61F5">
        <w:tc>
          <w:tcPr>
            <w:tcW w:w="1586" w:type="dxa"/>
            <w:vMerge/>
          </w:tcPr>
          <w:p w:rsidR="00A42F94" w:rsidRPr="00C83DF5" w:rsidRDefault="00A42F94" w:rsidP="00A42F94">
            <w:pPr>
              <w:rPr>
                <w:rFonts w:cs="Tahoma"/>
                <w:szCs w:val="18"/>
              </w:rPr>
            </w:pPr>
          </w:p>
        </w:tc>
        <w:tc>
          <w:tcPr>
            <w:tcW w:w="3291" w:type="dxa"/>
            <w:vAlign w:val="center"/>
          </w:tcPr>
          <w:p w:rsidR="00A42F94" w:rsidRPr="00C83DF5" w:rsidRDefault="00A42F94" w:rsidP="00A42F94">
            <w:pPr>
              <w:rPr>
                <w:rFonts w:cs="Tahoma"/>
                <w:szCs w:val="18"/>
              </w:rPr>
            </w:pPr>
            <w:r w:rsidRPr="00C83DF5">
              <w:rPr>
                <w:rFonts w:cs="Tahoma"/>
                <w:szCs w:val="18"/>
              </w:rPr>
              <w:t>Add-On für Lync Online Plan 1</w:t>
            </w:r>
          </w:p>
        </w:tc>
        <w:tc>
          <w:tcPr>
            <w:tcW w:w="3880" w:type="dxa"/>
            <w:vAlign w:val="center"/>
          </w:tcPr>
          <w:p w:rsidR="00A42F94" w:rsidRPr="00C83DF5" w:rsidRDefault="00A42F94" w:rsidP="00A42F94">
            <w:pPr>
              <w:rPr>
                <w:rFonts w:cs="Tahoma"/>
                <w:szCs w:val="18"/>
              </w:rPr>
            </w:pPr>
            <w:r w:rsidRPr="00C83DF5">
              <w:rPr>
                <w:rFonts w:cs="Tahoma"/>
                <w:szCs w:val="18"/>
              </w:rPr>
              <w:t>Lync Online Plan 1</w:t>
            </w:r>
          </w:p>
        </w:tc>
      </w:tr>
      <w:tr w:rsidR="00A42F94" w:rsidRPr="00C83DF5" w:rsidTr="007F61F5">
        <w:tc>
          <w:tcPr>
            <w:tcW w:w="1586" w:type="dxa"/>
            <w:vMerge/>
          </w:tcPr>
          <w:p w:rsidR="00A42F94" w:rsidRPr="00C83DF5" w:rsidRDefault="00A42F94" w:rsidP="00A42F94">
            <w:pPr>
              <w:rPr>
                <w:rFonts w:cs="Tahoma"/>
                <w:szCs w:val="18"/>
              </w:rPr>
            </w:pPr>
          </w:p>
        </w:tc>
        <w:tc>
          <w:tcPr>
            <w:tcW w:w="3291" w:type="dxa"/>
            <w:vAlign w:val="center"/>
          </w:tcPr>
          <w:p w:rsidR="00A42F94" w:rsidRPr="00C83DF5" w:rsidRDefault="00A42F94" w:rsidP="00A42F94">
            <w:pPr>
              <w:rPr>
                <w:rFonts w:cs="Tahoma"/>
                <w:szCs w:val="18"/>
              </w:rPr>
            </w:pPr>
            <w:r w:rsidRPr="00C83DF5">
              <w:rPr>
                <w:rFonts w:cs="Tahoma"/>
                <w:szCs w:val="18"/>
              </w:rPr>
              <w:t>Add-On für SharePoint™ Online Plan 1 mit Yammer</w:t>
            </w:r>
          </w:p>
        </w:tc>
        <w:tc>
          <w:tcPr>
            <w:tcW w:w="3880" w:type="dxa"/>
            <w:vAlign w:val="center"/>
          </w:tcPr>
          <w:p w:rsidR="00A42F94" w:rsidRPr="00C83DF5" w:rsidRDefault="00A42F94" w:rsidP="00A42F94">
            <w:pPr>
              <w:rPr>
                <w:rFonts w:cs="Tahoma"/>
                <w:szCs w:val="18"/>
              </w:rPr>
            </w:pPr>
            <w:r w:rsidRPr="00C83DF5">
              <w:rPr>
                <w:rFonts w:cs="Tahoma"/>
                <w:szCs w:val="18"/>
              </w:rPr>
              <w:t xml:space="preserve">SharePoint Online Plan 1 und Yammer Enterprise </w:t>
            </w:r>
          </w:p>
        </w:tc>
      </w:tr>
      <w:tr w:rsidR="00343766" w:rsidRPr="00C83DF5" w:rsidTr="007F61F5">
        <w:tc>
          <w:tcPr>
            <w:tcW w:w="1586" w:type="dxa"/>
            <w:vMerge w:val="restart"/>
            <w:vAlign w:val="center"/>
          </w:tcPr>
          <w:p w:rsidR="00343766" w:rsidRPr="00C83DF5" w:rsidRDefault="00343766" w:rsidP="00DB3ECB">
            <w:pPr>
              <w:jc w:val="center"/>
              <w:rPr>
                <w:rFonts w:cs="Tahoma"/>
                <w:szCs w:val="18"/>
              </w:rPr>
            </w:pPr>
            <w:r w:rsidRPr="00C83DF5">
              <w:rPr>
                <w:rFonts w:cs="Tahoma"/>
                <w:szCs w:val="18"/>
              </w:rPr>
              <w:t>Enterprise-CAL-Suite</w:t>
            </w:r>
          </w:p>
        </w:tc>
        <w:tc>
          <w:tcPr>
            <w:tcW w:w="3291" w:type="dxa"/>
            <w:vAlign w:val="center"/>
          </w:tcPr>
          <w:p w:rsidR="00343766" w:rsidRPr="00C83DF5" w:rsidRDefault="00343766" w:rsidP="00730B6F">
            <w:pPr>
              <w:rPr>
                <w:rFonts w:cs="Tahoma"/>
                <w:szCs w:val="18"/>
              </w:rPr>
            </w:pPr>
            <w:r w:rsidRPr="00C83DF5">
              <w:rPr>
                <w:rFonts w:cs="Tahoma"/>
                <w:szCs w:val="18"/>
              </w:rPr>
              <w:t>Add-On für Office 365 E3/G3 ohne</w:t>
            </w:r>
            <w:r w:rsidR="00730B6F">
              <w:rPr>
                <w:rFonts w:cs="Tahoma"/>
                <w:szCs w:val="18"/>
              </w:rPr>
              <w:t> </w:t>
            </w:r>
            <w:r w:rsidRPr="00C83DF5">
              <w:rPr>
                <w:rFonts w:cs="Tahoma"/>
                <w:szCs w:val="18"/>
              </w:rPr>
              <w:t>ProPlus</w:t>
            </w:r>
          </w:p>
        </w:tc>
        <w:tc>
          <w:tcPr>
            <w:tcW w:w="3880" w:type="dxa"/>
            <w:vAlign w:val="center"/>
          </w:tcPr>
          <w:p w:rsidR="00343766" w:rsidRPr="00C83DF5" w:rsidRDefault="00343766" w:rsidP="009917CD">
            <w:pPr>
              <w:rPr>
                <w:rFonts w:cs="Tahoma"/>
                <w:szCs w:val="18"/>
              </w:rPr>
            </w:pPr>
            <w:r w:rsidRPr="00C83DF5">
              <w:rPr>
                <w:rFonts w:cs="Tahoma"/>
                <w:szCs w:val="18"/>
              </w:rPr>
              <w:t>Office 365 E3/G3 ohne ProPlus</w:t>
            </w:r>
            <w:r w:rsidRPr="00C83DF5">
              <w:rPr>
                <w:rFonts w:cs="Tahoma"/>
                <w:szCs w:val="18"/>
                <w:vertAlign w:val="superscript"/>
              </w:rPr>
              <w:t>2</w:t>
            </w:r>
          </w:p>
        </w:tc>
      </w:tr>
      <w:tr w:rsidR="00343766" w:rsidRPr="00C83DF5" w:rsidTr="007F61F5">
        <w:tc>
          <w:tcPr>
            <w:tcW w:w="1586" w:type="dxa"/>
            <w:vMerge/>
          </w:tcPr>
          <w:p w:rsidR="00343766" w:rsidRPr="00C83DF5" w:rsidRDefault="00343766" w:rsidP="00DB3ECB">
            <w:pPr>
              <w:jc w:val="center"/>
              <w:rPr>
                <w:rFonts w:cs="Tahoma"/>
                <w:szCs w:val="18"/>
              </w:rPr>
            </w:pPr>
          </w:p>
        </w:tc>
        <w:tc>
          <w:tcPr>
            <w:tcW w:w="3291" w:type="dxa"/>
            <w:vAlign w:val="center"/>
          </w:tcPr>
          <w:p w:rsidR="00343766" w:rsidRPr="00C83DF5" w:rsidRDefault="00343766" w:rsidP="00730B6F">
            <w:pPr>
              <w:rPr>
                <w:rFonts w:cs="Tahoma"/>
                <w:szCs w:val="18"/>
              </w:rPr>
            </w:pPr>
            <w:r w:rsidRPr="00C83DF5">
              <w:rPr>
                <w:rFonts w:cs="Tahoma"/>
                <w:szCs w:val="18"/>
              </w:rPr>
              <w:t>Add-On für Office 365 E4/G4 ohne</w:t>
            </w:r>
            <w:r w:rsidR="00730B6F">
              <w:rPr>
                <w:rFonts w:cs="Tahoma"/>
                <w:szCs w:val="18"/>
              </w:rPr>
              <w:t> </w:t>
            </w:r>
            <w:r w:rsidRPr="00C83DF5">
              <w:rPr>
                <w:rFonts w:cs="Tahoma"/>
                <w:szCs w:val="18"/>
              </w:rPr>
              <w:t>ProPlus</w:t>
            </w:r>
          </w:p>
        </w:tc>
        <w:tc>
          <w:tcPr>
            <w:tcW w:w="3880" w:type="dxa"/>
            <w:vAlign w:val="center"/>
          </w:tcPr>
          <w:p w:rsidR="00343766" w:rsidRPr="00C83DF5" w:rsidRDefault="00343766" w:rsidP="00DB3ECB">
            <w:pPr>
              <w:rPr>
                <w:rFonts w:cs="Tahoma"/>
                <w:szCs w:val="18"/>
              </w:rPr>
            </w:pPr>
            <w:r w:rsidRPr="00C83DF5">
              <w:rPr>
                <w:rFonts w:cs="Tahoma"/>
                <w:szCs w:val="18"/>
              </w:rPr>
              <w:t>Office 365 E4/G4 ohne ProPlus</w:t>
            </w:r>
            <w:r w:rsidRPr="00C83DF5">
              <w:rPr>
                <w:rFonts w:cs="Tahoma"/>
                <w:szCs w:val="18"/>
                <w:vertAlign w:val="superscript"/>
              </w:rPr>
              <w:t>2</w:t>
            </w:r>
          </w:p>
        </w:tc>
      </w:tr>
      <w:tr w:rsidR="00343766" w:rsidRPr="00C83DF5" w:rsidTr="007F61F5">
        <w:tc>
          <w:tcPr>
            <w:tcW w:w="1586" w:type="dxa"/>
            <w:vMerge/>
          </w:tcPr>
          <w:p w:rsidR="00343766" w:rsidRPr="00C83DF5" w:rsidRDefault="00343766" w:rsidP="00DB3ECB">
            <w:pPr>
              <w:jc w:val="center"/>
              <w:rPr>
                <w:rFonts w:cs="Tahoma"/>
                <w:szCs w:val="18"/>
              </w:rPr>
            </w:pPr>
          </w:p>
        </w:tc>
        <w:tc>
          <w:tcPr>
            <w:tcW w:w="3291" w:type="dxa"/>
            <w:vAlign w:val="center"/>
          </w:tcPr>
          <w:p w:rsidR="00343766" w:rsidRPr="00C83DF5" w:rsidRDefault="00343766" w:rsidP="009917CD">
            <w:pPr>
              <w:rPr>
                <w:rFonts w:cs="Tahoma"/>
                <w:szCs w:val="18"/>
              </w:rPr>
            </w:pPr>
            <w:r w:rsidRPr="00C83DF5">
              <w:rPr>
                <w:rFonts w:cs="Tahoma"/>
                <w:szCs w:val="18"/>
              </w:rPr>
              <w:t>Windows Azure Active Directory-Rechteverwaltungs-Add-On</w:t>
            </w:r>
          </w:p>
        </w:tc>
        <w:tc>
          <w:tcPr>
            <w:tcW w:w="3880" w:type="dxa"/>
            <w:vAlign w:val="center"/>
          </w:tcPr>
          <w:p w:rsidR="00343766" w:rsidRPr="00C83DF5" w:rsidRDefault="00343766" w:rsidP="00DB3ECB">
            <w:pPr>
              <w:rPr>
                <w:rFonts w:cs="Tahoma"/>
                <w:szCs w:val="18"/>
              </w:rPr>
            </w:pPr>
            <w:r w:rsidRPr="00C83DF5">
              <w:rPr>
                <w:rFonts w:cs="Tahoma"/>
                <w:szCs w:val="18"/>
              </w:rPr>
              <w:t>Windows Azure Active Directory-Rechteverwaltung</w:t>
            </w:r>
          </w:p>
        </w:tc>
      </w:tr>
      <w:tr w:rsidR="00343766" w:rsidRPr="00C83DF5" w:rsidTr="007F61F5">
        <w:tc>
          <w:tcPr>
            <w:tcW w:w="1586" w:type="dxa"/>
            <w:vMerge w:val="restart"/>
            <w:vAlign w:val="center"/>
          </w:tcPr>
          <w:p w:rsidR="00343766" w:rsidRPr="00C83DF5" w:rsidRDefault="00343766" w:rsidP="00DB3ECB">
            <w:pPr>
              <w:jc w:val="center"/>
              <w:rPr>
                <w:lang w:val="fr-FR"/>
              </w:rPr>
            </w:pPr>
            <w:r w:rsidRPr="00C83DF5">
              <w:rPr>
                <w:rFonts w:cs="Tahoma"/>
                <w:szCs w:val="18"/>
                <w:lang w:val="fr-FR"/>
              </w:rPr>
              <w:t xml:space="preserve">Enterprise CAL Suite + </w:t>
            </w:r>
          </w:p>
          <w:p w:rsidR="00343766" w:rsidRPr="00C83DF5" w:rsidRDefault="00343766" w:rsidP="00DB3ECB">
            <w:pPr>
              <w:jc w:val="center"/>
              <w:rPr>
                <w:rFonts w:cs="Tahoma"/>
                <w:szCs w:val="18"/>
                <w:lang w:val="fr-FR"/>
              </w:rPr>
            </w:pPr>
            <w:r w:rsidRPr="00C83DF5">
              <w:rPr>
                <w:rFonts w:cs="Tahoma"/>
                <w:szCs w:val="18"/>
                <w:lang w:val="fr-FR"/>
              </w:rPr>
              <w:t>Office Professional Plus</w:t>
            </w:r>
          </w:p>
        </w:tc>
        <w:tc>
          <w:tcPr>
            <w:tcW w:w="3291" w:type="dxa"/>
            <w:vAlign w:val="center"/>
          </w:tcPr>
          <w:p w:rsidR="00343766" w:rsidRPr="00C83DF5" w:rsidRDefault="00343766" w:rsidP="008D6A37">
            <w:pPr>
              <w:rPr>
                <w:rFonts w:cs="Tahoma"/>
                <w:szCs w:val="18"/>
              </w:rPr>
            </w:pPr>
            <w:r w:rsidRPr="00C83DF5">
              <w:rPr>
                <w:rFonts w:cs="Tahoma"/>
                <w:szCs w:val="18"/>
              </w:rPr>
              <w:t>Add-On für Office 365 E3/G3 ohne</w:t>
            </w:r>
            <w:r w:rsidR="008D6A37">
              <w:rPr>
                <w:rFonts w:cs="Tahoma"/>
                <w:szCs w:val="18"/>
              </w:rPr>
              <w:t> </w:t>
            </w:r>
            <w:r w:rsidRPr="00C83DF5">
              <w:rPr>
                <w:rFonts w:cs="Tahoma"/>
                <w:szCs w:val="18"/>
              </w:rPr>
              <w:t>ProPlus</w:t>
            </w:r>
          </w:p>
        </w:tc>
        <w:tc>
          <w:tcPr>
            <w:tcW w:w="3880" w:type="dxa"/>
            <w:vAlign w:val="center"/>
          </w:tcPr>
          <w:p w:rsidR="00343766" w:rsidRPr="00C83DF5" w:rsidRDefault="00343766" w:rsidP="009917CD">
            <w:pPr>
              <w:rPr>
                <w:rFonts w:cs="Tahoma"/>
                <w:szCs w:val="18"/>
              </w:rPr>
            </w:pPr>
            <w:r w:rsidRPr="00C83DF5">
              <w:rPr>
                <w:rFonts w:cs="Tahoma"/>
                <w:szCs w:val="18"/>
              </w:rPr>
              <w:t>Office 365 E3/G3 ohne ProPlus</w:t>
            </w:r>
            <w:r w:rsidRPr="00C83DF5">
              <w:rPr>
                <w:rFonts w:cs="Tahoma"/>
                <w:szCs w:val="18"/>
                <w:vertAlign w:val="superscript"/>
              </w:rPr>
              <w:t>2</w:t>
            </w:r>
          </w:p>
        </w:tc>
      </w:tr>
      <w:tr w:rsidR="00343766" w:rsidRPr="00C83DF5" w:rsidTr="007F61F5">
        <w:tc>
          <w:tcPr>
            <w:tcW w:w="1586" w:type="dxa"/>
            <w:vMerge/>
          </w:tcPr>
          <w:p w:rsidR="00343766" w:rsidRPr="00C83DF5" w:rsidRDefault="00343766" w:rsidP="00DB3ECB">
            <w:pPr>
              <w:jc w:val="center"/>
              <w:rPr>
                <w:rFonts w:cs="Tahoma"/>
                <w:szCs w:val="18"/>
              </w:rPr>
            </w:pPr>
          </w:p>
        </w:tc>
        <w:tc>
          <w:tcPr>
            <w:tcW w:w="3291" w:type="dxa"/>
            <w:vAlign w:val="center"/>
          </w:tcPr>
          <w:p w:rsidR="00343766" w:rsidRPr="00C83DF5" w:rsidRDefault="00343766" w:rsidP="00DB3ECB">
            <w:pPr>
              <w:rPr>
                <w:rFonts w:cs="Tahoma"/>
                <w:szCs w:val="18"/>
              </w:rPr>
            </w:pPr>
            <w:r w:rsidRPr="00C83DF5">
              <w:rPr>
                <w:rFonts w:cs="Tahoma"/>
                <w:szCs w:val="18"/>
              </w:rPr>
              <w:t>Add-On für Office 365 E3/G3</w:t>
            </w:r>
          </w:p>
        </w:tc>
        <w:tc>
          <w:tcPr>
            <w:tcW w:w="3880" w:type="dxa"/>
            <w:vAlign w:val="center"/>
          </w:tcPr>
          <w:p w:rsidR="00343766" w:rsidRPr="00C83DF5" w:rsidRDefault="00343766" w:rsidP="00DB3ECB">
            <w:pPr>
              <w:rPr>
                <w:rFonts w:cs="Tahoma"/>
                <w:szCs w:val="18"/>
              </w:rPr>
            </w:pPr>
            <w:r w:rsidRPr="00C83DF5">
              <w:rPr>
                <w:rFonts w:cs="Tahoma"/>
                <w:szCs w:val="18"/>
              </w:rPr>
              <w:t>Add-On für Office 365 E3/G3</w:t>
            </w:r>
          </w:p>
        </w:tc>
      </w:tr>
      <w:tr w:rsidR="00343766" w:rsidRPr="00C83DF5" w:rsidTr="007F61F5">
        <w:tc>
          <w:tcPr>
            <w:tcW w:w="1586" w:type="dxa"/>
            <w:vMerge/>
          </w:tcPr>
          <w:p w:rsidR="00343766" w:rsidRPr="00C83DF5" w:rsidRDefault="00343766" w:rsidP="00DB3ECB">
            <w:pPr>
              <w:jc w:val="center"/>
              <w:rPr>
                <w:rFonts w:cs="Tahoma"/>
                <w:szCs w:val="18"/>
              </w:rPr>
            </w:pPr>
          </w:p>
        </w:tc>
        <w:tc>
          <w:tcPr>
            <w:tcW w:w="3291" w:type="dxa"/>
            <w:vAlign w:val="center"/>
          </w:tcPr>
          <w:p w:rsidR="00343766" w:rsidRPr="00C83DF5" w:rsidRDefault="00343766" w:rsidP="00730B6F">
            <w:pPr>
              <w:rPr>
                <w:rFonts w:cs="Tahoma"/>
                <w:szCs w:val="18"/>
              </w:rPr>
            </w:pPr>
            <w:r w:rsidRPr="00C83DF5">
              <w:rPr>
                <w:rFonts w:cs="Tahoma"/>
                <w:szCs w:val="18"/>
              </w:rPr>
              <w:t>Add-On für Office 365 E4/G4 ohne</w:t>
            </w:r>
            <w:r w:rsidR="00730B6F">
              <w:rPr>
                <w:rFonts w:cs="Tahoma"/>
                <w:szCs w:val="18"/>
              </w:rPr>
              <w:t> </w:t>
            </w:r>
            <w:r w:rsidRPr="00C83DF5">
              <w:rPr>
                <w:rFonts w:cs="Tahoma"/>
                <w:szCs w:val="18"/>
              </w:rPr>
              <w:t>ProPlus</w:t>
            </w:r>
          </w:p>
        </w:tc>
        <w:tc>
          <w:tcPr>
            <w:tcW w:w="3880" w:type="dxa"/>
            <w:vAlign w:val="center"/>
          </w:tcPr>
          <w:p w:rsidR="00343766" w:rsidRPr="00C83DF5" w:rsidRDefault="00343766" w:rsidP="009917CD">
            <w:pPr>
              <w:rPr>
                <w:rFonts w:cs="Tahoma"/>
                <w:szCs w:val="18"/>
              </w:rPr>
            </w:pPr>
            <w:r w:rsidRPr="00C83DF5">
              <w:rPr>
                <w:rFonts w:cs="Tahoma"/>
                <w:szCs w:val="18"/>
              </w:rPr>
              <w:t>Office 365 E4/G4 ohne ProPlus</w:t>
            </w:r>
            <w:r w:rsidRPr="00C83DF5">
              <w:rPr>
                <w:rFonts w:cs="Tahoma"/>
                <w:szCs w:val="18"/>
                <w:vertAlign w:val="superscript"/>
              </w:rPr>
              <w:t>2</w:t>
            </w:r>
          </w:p>
        </w:tc>
      </w:tr>
      <w:tr w:rsidR="00343766" w:rsidRPr="00C83DF5" w:rsidTr="007F61F5">
        <w:tc>
          <w:tcPr>
            <w:tcW w:w="1586" w:type="dxa"/>
            <w:vMerge/>
          </w:tcPr>
          <w:p w:rsidR="00343766" w:rsidRPr="00C83DF5" w:rsidRDefault="00343766" w:rsidP="00DB3ECB">
            <w:pPr>
              <w:jc w:val="center"/>
              <w:rPr>
                <w:rFonts w:cs="Tahoma"/>
                <w:szCs w:val="18"/>
              </w:rPr>
            </w:pPr>
          </w:p>
        </w:tc>
        <w:tc>
          <w:tcPr>
            <w:tcW w:w="3291" w:type="dxa"/>
            <w:vAlign w:val="center"/>
          </w:tcPr>
          <w:p w:rsidR="00343766" w:rsidRPr="00C83DF5" w:rsidRDefault="00343766" w:rsidP="00DB3ECB">
            <w:pPr>
              <w:rPr>
                <w:rFonts w:cs="Tahoma"/>
                <w:szCs w:val="18"/>
              </w:rPr>
            </w:pPr>
            <w:r w:rsidRPr="00C83DF5">
              <w:rPr>
                <w:rFonts w:cs="Tahoma"/>
                <w:szCs w:val="18"/>
              </w:rPr>
              <w:t>Add-On für Office 365 E4/G4</w:t>
            </w:r>
          </w:p>
        </w:tc>
        <w:tc>
          <w:tcPr>
            <w:tcW w:w="3880" w:type="dxa"/>
            <w:vAlign w:val="center"/>
          </w:tcPr>
          <w:p w:rsidR="00343766" w:rsidRPr="00C83DF5" w:rsidRDefault="00343766" w:rsidP="00DB3ECB">
            <w:pPr>
              <w:rPr>
                <w:rFonts w:cs="Tahoma"/>
                <w:szCs w:val="18"/>
              </w:rPr>
            </w:pPr>
            <w:r w:rsidRPr="00C83DF5">
              <w:rPr>
                <w:rFonts w:cs="Tahoma"/>
                <w:szCs w:val="18"/>
              </w:rPr>
              <w:t>Office 365 E4/G4</w:t>
            </w:r>
          </w:p>
        </w:tc>
      </w:tr>
      <w:tr w:rsidR="00343766" w:rsidRPr="00C83DF5" w:rsidTr="007F61F5">
        <w:tc>
          <w:tcPr>
            <w:tcW w:w="1586" w:type="dxa"/>
            <w:vMerge/>
          </w:tcPr>
          <w:p w:rsidR="00343766" w:rsidRPr="00C83DF5" w:rsidRDefault="00343766" w:rsidP="00DB3ECB">
            <w:pPr>
              <w:jc w:val="center"/>
              <w:rPr>
                <w:rFonts w:cs="Tahoma"/>
                <w:szCs w:val="18"/>
              </w:rPr>
            </w:pPr>
          </w:p>
        </w:tc>
        <w:tc>
          <w:tcPr>
            <w:tcW w:w="3291" w:type="dxa"/>
            <w:vAlign w:val="center"/>
          </w:tcPr>
          <w:p w:rsidR="00343766" w:rsidRPr="00C83DF5" w:rsidRDefault="00343766" w:rsidP="00DB3ECB">
            <w:pPr>
              <w:rPr>
                <w:rFonts w:cs="Tahoma"/>
                <w:szCs w:val="18"/>
              </w:rPr>
            </w:pPr>
            <w:r w:rsidRPr="00C83DF5">
              <w:rPr>
                <w:rFonts w:cs="Tahoma"/>
                <w:szCs w:val="18"/>
              </w:rPr>
              <w:t>Windows Azure Active Directory-Rechteverwaltungs-Add-On</w:t>
            </w:r>
          </w:p>
        </w:tc>
        <w:tc>
          <w:tcPr>
            <w:tcW w:w="3880" w:type="dxa"/>
            <w:vAlign w:val="center"/>
          </w:tcPr>
          <w:p w:rsidR="00343766" w:rsidRPr="00C83DF5" w:rsidRDefault="00343766" w:rsidP="00DB3ECB">
            <w:pPr>
              <w:rPr>
                <w:rFonts w:cs="Tahoma"/>
                <w:szCs w:val="18"/>
              </w:rPr>
            </w:pPr>
            <w:r w:rsidRPr="00C83DF5">
              <w:rPr>
                <w:rFonts w:cs="Tahoma"/>
                <w:szCs w:val="18"/>
              </w:rPr>
              <w:t>Windows Azure Active Directory-Rechteverwaltung</w:t>
            </w:r>
          </w:p>
        </w:tc>
      </w:tr>
    </w:tbl>
    <w:p w:rsidR="00541ED5" w:rsidRPr="00156ACE" w:rsidRDefault="00541ED5" w:rsidP="000A0D35">
      <w:pPr>
        <w:ind w:left="720"/>
        <w:rPr>
          <w:rFonts w:cs="Tahoma"/>
          <w:szCs w:val="24"/>
          <w:vertAlign w:val="superscript"/>
        </w:rPr>
      </w:pPr>
    </w:p>
    <w:p w:rsidR="000A0D35" w:rsidRPr="00C83DF5" w:rsidRDefault="000A0D35" w:rsidP="00156ACE">
      <w:pPr>
        <w:ind w:left="837" w:hanging="117"/>
        <w:rPr>
          <w:lang w:val="de-DE"/>
        </w:rPr>
      </w:pPr>
      <w:r w:rsidRPr="00C83DF5">
        <w:rPr>
          <w:rFonts w:cs="Tahoma"/>
          <w:szCs w:val="24"/>
          <w:vertAlign w:val="superscript"/>
          <w:lang w:val="de-DE"/>
        </w:rPr>
        <w:t>1</w:t>
      </w:r>
      <w:r w:rsidR="00156ACE">
        <w:rPr>
          <w:rFonts w:cs="Tahoma"/>
          <w:szCs w:val="24"/>
          <w:vertAlign w:val="superscript"/>
          <w:lang w:val="de-DE"/>
        </w:rPr>
        <w:tab/>
      </w:r>
      <w:r w:rsidRPr="00C83DF5">
        <w:rPr>
          <w:rFonts w:cs="Tahoma"/>
          <w:sz w:val="16"/>
          <w:szCs w:val="24"/>
          <w:lang w:val="de-DE"/>
        </w:rPr>
        <w:t>In der obenstehenden Tabelle ist die Verwendung des Buchstabens „E“ in den Bezeichnungen von Add-On-Nutzer-ALs und Nutzer-AL(s) für Entsprechende Onlinedienste kein Hinweis darauf, dass die Produkte als Konzernprodukte angeboten werden.</w:t>
      </w:r>
      <w:r w:rsidR="00E71F46" w:rsidRPr="00C83DF5">
        <w:rPr>
          <w:rFonts w:cs="Tahoma"/>
          <w:sz w:val="16"/>
          <w:szCs w:val="24"/>
          <w:lang w:val="de-DE"/>
        </w:rPr>
        <w:t xml:space="preserve"> </w:t>
      </w:r>
      <w:r w:rsidRPr="00C83DF5">
        <w:rPr>
          <w:rFonts w:cs="Tahoma"/>
          <w:sz w:val="16"/>
          <w:szCs w:val="24"/>
          <w:lang w:val="de-DE"/>
        </w:rPr>
        <w:t>Vielmehr ist dies als Abkürzung der Bezeichnungen von Office 365-Produkten zu verstehen, wobei</w:t>
      </w:r>
      <w:r w:rsidR="00156ACE">
        <w:rPr>
          <w:rFonts w:cs="Tahoma"/>
          <w:sz w:val="16"/>
          <w:szCs w:val="24"/>
          <w:lang w:val="de-DE"/>
        </w:rPr>
        <w:t> </w:t>
      </w:r>
      <w:r w:rsidRPr="00C83DF5">
        <w:rPr>
          <w:rFonts w:cs="Tahoma"/>
          <w:sz w:val="16"/>
          <w:szCs w:val="24"/>
          <w:lang w:val="de-DE"/>
        </w:rPr>
        <w:t>„E“ für das Wort „Enterprise“ und „G“ für das Wort „Government“ steht.</w:t>
      </w:r>
    </w:p>
    <w:p w:rsidR="00FB1E38" w:rsidRPr="00C83DF5" w:rsidRDefault="00FB1E38" w:rsidP="00156ACE">
      <w:pPr>
        <w:ind w:left="837" w:hanging="117"/>
        <w:rPr>
          <w:lang w:val="de-DE"/>
        </w:rPr>
      </w:pPr>
      <w:r w:rsidRPr="00C83DF5">
        <w:rPr>
          <w:rFonts w:cs="Tahoma"/>
          <w:sz w:val="16"/>
          <w:szCs w:val="24"/>
          <w:vertAlign w:val="superscript"/>
          <w:lang w:val="de-DE"/>
        </w:rPr>
        <w:t>2</w:t>
      </w:r>
      <w:r w:rsidR="00156ACE">
        <w:rPr>
          <w:rFonts w:cs="Tahoma"/>
          <w:sz w:val="16"/>
          <w:szCs w:val="24"/>
          <w:vertAlign w:val="superscript"/>
          <w:lang w:val="de-DE"/>
        </w:rPr>
        <w:tab/>
      </w:r>
      <w:r w:rsidRPr="00C83DF5">
        <w:rPr>
          <w:rFonts w:cs="Tahoma"/>
          <w:sz w:val="16"/>
          <w:szCs w:val="24"/>
          <w:lang w:val="de-DE"/>
        </w:rPr>
        <w:t>Die Office 365 ohne ProPlus-Suites sind nur über eine Add-On-Nutzer-AL verfügbar</w:t>
      </w:r>
      <w:r w:rsidRPr="00C83DF5">
        <w:rPr>
          <w:rFonts w:cs="Tahoma"/>
          <w:szCs w:val="24"/>
          <w:lang w:val="de-DE"/>
        </w:rPr>
        <w:t>.</w:t>
      </w:r>
    </w:p>
    <w:p w:rsidR="000A0D35" w:rsidRPr="008B3D04" w:rsidRDefault="000A0D35" w:rsidP="000A0D35">
      <w:pPr>
        <w:ind w:left="720"/>
        <w:rPr>
          <w:rFonts w:cs="Tahoma"/>
          <w:szCs w:val="24"/>
          <w:lang w:val="de-DE"/>
        </w:rPr>
      </w:pPr>
    </w:p>
    <w:p w:rsidR="000A0D35" w:rsidRPr="00C83DF5" w:rsidRDefault="000A0D35" w:rsidP="000A0D35">
      <w:pPr>
        <w:ind w:left="720"/>
        <w:rPr>
          <w:lang w:val="de-DE"/>
        </w:rPr>
      </w:pPr>
      <w:r w:rsidRPr="00C83DF5">
        <w:rPr>
          <w:rFonts w:cs="Tahoma"/>
          <w:szCs w:val="24"/>
          <w:lang w:val="de-DE"/>
        </w:rPr>
        <w:t xml:space="preserve">Die folgenden Bestimmungen gelten für die in der obenstehenden Tabelle aufgelisteten Add-On-Nutzer-ALs. </w:t>
      </w:r>
    </w:p>
    <w:p w:rsidR="000A0D35" w:rsidRDefault="000A0D35" w:rsidP="000A0D35">
      <w:pPr>
        <w:ind w:left="900"/>
        <w:rPr>
          <w:lang w:val="de-DE"/>
        </w:rPr>
      </w:pPr>
    </w:p>
    <w:p w:rsidR="00156ACE" w:rsidRPr="00C83DF5" w:rsidRDefault="00156ACE" w:rsidP="000A0D35">
      <w:pPr>
        <w:ind w:left="900"/>
        <w:rPr>
          <w:lang w:val="de-DE"/>
        </w:rPr>
      </w:pPr>
    </w:p>
    <w:p w:rsidR="000A0D35" w:rsidRPr="00C83DF5" w:rsidRDefault="000A0D35" w:rsidP="000A0D35">
      <w:pPr>
        <w:keepNext/>
        <w:spacing w:after="60"/>
        <w:ind w:left="720"/>
        <w:rPr>
          <w:lang w:val="de-DE"/>
        </w:rPr>
      </w:pPr>
      <w:r w:rsidRPr="00C83DF5">
        <w:rPr>
          <w:rFonts w:eastAsia="Calibri" w:cs="Tahoma"/>
          <w:b/>
          <w:color w:val="000000"/>
          <w:szCs w:val="18"/>
          <w:lang w:val="de-DE"/>
        </w:rPr>
        <w:lastRenderedPageBreak/>
        <w:t>Kaufberechtigung</w:t>
      </w:r>
    </w:p>
    <w:p w:rsidR="000A0D35" w:rsidRPr="00C83DF5" w:rsidRDefault="000A0D35" w:rsidP="000A0D35">
      <w:pPr>
        <w:spacing w:after="60"/>
        <w:ind w:left="720"/>
        <w:rPr>
          <w:lang w:val="de-DE"/>
        </w:rPr>
      </w:pPr>
      <w:r w:rsidRPr="00C83DF5">
        <w:rPr>
          <w:rFonts w:cs="Tahoma"/>
          <w:szCs w:val="24"/>
          <w:lang w:val="de-DE"/>
        </w:rPr>
        <w:t xml:space="preserve">Erwerb von Add-On-Nutzer-ALs: </w:t>
      </w:r>
    </w:p>
    <w:p w:rsidR="000A0D35" w:rsidRPr="00690A2C" w:rsidRDefault="000A0D35" w:rsidP="00156ACE">
      <w:pPr>
        <w:pStyle w:val="ListParagraph"/>
        <w:numPr>
          <w:ilvl w:val="0"/>
          <w:numId w:val="141"/>
        </w:numPr>
        <w:spacing w:after="60"/>
        <w:rPr>
          <w:sz w:val="18"/>
          <w:szCs w:val="18"/>
          <w:lang w:val="de-DE"/>
        </w:rPr>
      </w:pPr>
      <w:r w:rsidRPr="00690A2C">
        <w:rPr>
          <w:rFonts w:ascii="Tahoma" w:hAnsi="Tahoma" w:cs="Tahoma"/>
          <w:sz w:val="18"/>
          <w:szCs w:val="18"/>
          <w:lang w:val="de-DE"/>
        </w:rPr>
        <w:t>Kunden müssen über einen aktiven Konzernbeitritt mit aktiver Software Assurance für die entsprechende(n) Qualifizierende(n) Lizenz(en) verfügen. Die Qualifizierend(en) Lizenz(en) können</w:t>
      </w:r>
      <w:r w:rsidR="00156ACE" w:rsidRPr="00690A2C">
        <w:rPr>
          <w:rFonts w:ascii="Tahoma" w:hAnsi="Tahoma" w:cs="Tahoma"/>
          <w:sz w:val="18"/>
          <w:szCs w:val="18"/>
          <w:lang w:val="de-DE"/>
        </w:rPr>
        <w:t> </w:t>
      </w:r>
      <w:r w:rsidRPr="00690A2C">
        <w:rPr>
          <w:rFonts w:ascii="Tahoma" w:hAnsi="Tahoma" w:cs="Tahoma"/>
          <w:sz w:val="18"/>
          <w:szCs w:val="18"/>
          <w:lang w:val="de-DE"/>
        </w:rPr>
        <w:t xml:space="preserve">nutzer- oder gerätebasiert sein. </w:t>
      </w:r>
    </w:p>
    <w:p w:rsidR="000A0D35" w:rsidRPr="00690A2C" w:rsidRDefault="000A0D35" w:rsidP="00156ACE">
      <w:pPr>
        <w:pStyle w:val="ListParagraph"/>
        <w:numPr>
          <w:ilvl w:val="0"/>
          <w:numId w:val="141"/>
        </w:numPr>
        <w:spacing w:after="60"/>
        <w:rPr>
          <w:sz w:val="18"/>
          <w:szCs w:val="18"/>
          <w:lang w:val="de-DE"/>
        </w:rPr>
      </w:pPr>
      <w:r w:rsidRPr="00690A2C">
        <w:rPr>
          <w:rFonts w:ascii="Tahoma" w:hAnsi="Tahoma" w:cs="Tahoma"/>
          <w:sz w:val="18"/>
          <w:szCs w:val="18"/>
          <w:lang w:val="de-DE"/>
        </w:rPr>
        <w:t>Kunden mit einer MBSA-Version, die älter als 2010 ist, müssen die Ergänzende Bestimmungen zu</w:t>
      </w:r>
      <w:r w:rsidR="00156ACE" w:rsidRPr="00690A2C">
        <w:rPr>
          <w:rFonts w:ascii="Tahoma" w:hAnsi="Tahoma" w:cs="Tahoma"/>
          <w:sz w:val="18"/>
          <w:szCs w:val="18"/>
          <w:lang w:val="de-DE"/>
        </w:rPr>
        <w:t> </w:t>
      </w:r>
      <w:r w:rsidRPr="00690A2C">
        <w:rPr>
          <w:rFonts w:ascii="Tahoma" w:hAnsi="Tahoma" w:cs="Tahoma"/>
          <w:sz w:val="18"/>
          <w:szCs w:val="18"/>
          <w:lang w:val="de-DE"/>
        </w:rPr>
        <w:t>Onlinediensten unterzeichnen.</w:t>
      </w:r>
    </w:p>
    <w:p w:rsidR="000A0D35" w:rsidRPr="008B3D04" w:rsidRDefault="000A0D35" w:rsidP="000A0D35">
      <w:pPr>
        <w:pStyle w:val="ListParagraph"/>
        <w:tabs>
          <w:tab w:val="left" w:pos="1440"/>
        </w:tabs>
        <w:spacing w:after="60"/>
        <w:ind w:left="1800"/>
        <w:rPr>
          <w:rFonts w:ascii="Tahoma" w:hAnsi="Tahoma" w:cs="Tahoma"/>
          <w:sz w:val="18"/>
          <w:lang w:val="de-DE"/>
        </w:rPr>
      </w:pPr>
    </w:p>
    <w:p w:rsidR="000A0D35" w:rsidRPr="00C83DF5" w:rsidRDefault="000A0D35" w:rsidP="000A0D35">
      <w:pPr>
        <w:keepNext/>
        <w:spacing w:after="60"/>
        <w:ind w:left="720"/>
        <w:rPr>
          <w:lang w:val="de-DE"/>
        </w:rPr>
      </w:pPr>
      <w:r w:rsidRPr="00C83DF5">
        <w:rPr>
          <w:rFonts w:eastAsia="Calibri" w:cs="Tahoma"/>
          <w:b/>
          <w:color w:val="000000"/>
          <w:szCs w:val="18"/>
          <w:lang w:val="de-DE"/>
        </w:rPr>
        <w:t>Kaufeinschränkungen</w:t>
      </w:r>
    </w:p>
    <w:p w:rsidR="000A0D35" w:rsidRPr="00C83DF5" w:rsidRDefault="000A0D35" w:rsidP="000A0D35">
      <w:pPr>
        <w:spacing w:after="60"/>
        <w:ind w:left="720"/>
        <w:rPr>
          <w:lang w:val="de-DE"/>
        </w:rPr>
      </w:pPr>
      <w:r w:rsidRPr="00C83DF5">
        <w:rPr>
          <w:rFonts w:cs="Tahoma"/>
          <w:szCs w:val="24"/>
          <w:lang w:val="de-DE"/>
        </w:rPr>
        <w:t>Für jede Qualifizierende Lizenz (oder jedes Set von Qualifizierenden Lizenzen) kann nur eine Add-On-Nutzer-AL erworben werden.</w:t>
      </w:r>
    </w:p>
    <w:p w:rsidR="00343766" w:rsidRPr="008B3D04" w:rsidRDefault="00343766" w:rsidP="000A0D35">
      <w:pPr>
        <w:spacing w:after="60"/>
        <w:ind w:left="720"/>
        <w:rPr>
          <w:rFonts w:cs="Tahoma"/>
          <w:szCs w:val="24"/>
          <w:lang w:val="de-DE"/>
        </w:rPr>
      </w:pPr>
    </w:p>
    <w:p w:rsidR="00343766" w:rsidRPr="00C83DF5" w:rsidRDefault="00343766" w:rsidP="0085774C">
      <w:pPr>
        <w:ind w:left="720"/>
        <w:rPr>
          <w:lang w:val="de-DE"/>
        </w:rPr>
      </w:pPr>
      <w:r w:rsidRPr="00C83DF5">
        <w:rPr>
          <w:lang w:val="de-DE"/>
        </w:rP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0A0D35" w:rsidRPr="008B3D04" w:rsidRDefault="000A0D35" w:rsidP="000A0D35">
      <w:pPr>
        <w:spacing w:after="60"/>
        <w:ind w:left="720"/>
        <w:rPr>
          <w:rFonts w:cs="Tahoma"/>
          <w:szCs w:val="24"/>
          <w:lang w:val="de-DE"/>
        </w:rPr>
      </w:pPr>
    </w:p>
    <w:p w:rsidR="000A0D35" w:rsidRPr="00C83DF5" w:rsidRDefault="000A0D35" w:rsidP="000A0D35">
      <w:pPr>
        <w:keepNext/>
        <w:spacing w:after="60"/>
        <w:ind w:left="720"/>
        <w:rPr>
          <w:lang w:val="de-DE"/>
        </w:rPr>
      </w:pPr>
      <w:r w:rsidRPr="00C83DF5">
        <w:rPr>
          <w:rFonts w:eastAsia="Calibri" w:cs="Tahoma"/>
          <w:b/>
          <w:color w:val="000000"/>
          <w:szCs w:val="18"/>
          <w:lang w:val="de-DE"/>
        </w:rPr>
        <w:t>Zuweisung von Lizenzen</w:t>
      </w:r>
    </w:p>
    <w:p w:rsidR="000A0D35" w:rsidRPr="00C83DF5" w:rsidRDefault="000A0D35" w:rsidP="00D824E9">
      <w:pPr>
        <w:ind w:left="720"/>
        <w:rPr>
          <w:lang w:val="de-DE"/>
        </w:rPr>
      </w:pPr>
      <w:r w:rsidRPr="00C83DF5">
        <w:rPr>
          <w:rFonts w:cs="Tahoma"/>
          <w:szCs w:val="24"/>
          <w:lang w:val="de-DE"/>
        </w:rPr>
        <w:t xml:space="preserve">Jede Add-On-Nutzer-AL muss einem einzigen Qualifizierten Nutzer (wie jeweils im Konzernbeitritt des Kunden definiert) zugewiesen werden. Add-On-Nutzer-ALs können in Übereinstimmung mit den Produktbenutzungsrechten (PUR) für Microsoft-Volumenlizenzen und den universellen Lizenzbestimmungen, denen die Neuzuweisung von Lizenzen von Nutzer-ALs unterliegt, an andere Qualifizierte Nutzer neu zugewiesen werden. </w:t>
      </w:r>
    </w:p>
    <w:p w:rsidR="000A0D35" w:rsidRPr="008B3D04" w:rsidRDefault="000A0D35" w:rsidP="000A0D35">
      <w:pPr>
        <w:spacing w:after="60"/>
        <w:ind w:left="720"/>
        <w:rPr>
          <w:rFonts w:cs="Tahoma"/>
          <w:szCs w:val="24"/>
          <w:lang w:val="de-DE"/>
        </w:rPr>
      </w:pPr>
    </w:p>
    <w:p w:rsidR="000A0D35" w:rsidRPr="00C83DF5" w:rsidRDefault="000A0D35" w:rsidP="000A0D35">
      <w:pPr>
        <w:keepNext/>
        <w:spacing w:after="60"/>
        <w:ind w:left="720"/>
        <w:rPr>
          <w:lang w:val="de-DE"/>
        </w:rPr>
      </w:pPr>
      <w:r w:rsidRPr="00C83DF5">
        <w:rPr>
          <w:rFonts w:eastAsia="Calibri" w:cs="Tahoma"/>
          <w:b/>
          <w:color w:val="000000"/>
          <w:szCs w:val="18"/>
          <w:lang w:val="de-DE"/>
        </w:rPr>
        <w:t>Nutzungsrechte</w:t>
      </w:r>
    </w:p>
    <w:p w:rsidR="000A0D35" w:rsidRPr="00C83DF5" w:rsidRDefault="000A0D35" w:rsidP="00690A2C">
      <w:pPr>
        <w:ind w:left="720"/>
        <w:rPr>
          <w:lang w:val="de-DE"/>
        </w:rPr>
      </w:pPr>
      <w:r w:rsidRPr="00C83DF5">
        <w:rPr>
          <w:rFonts w:eastAsia="Calibri" w:cs="Tahoma"/>
          <w:color w:val="000000"/>
          <w:szCs w:val="18"/>
          <w:lang w:val="de-DE"/>
        </w:rPr>
        <w:t>Durch jede Add-On-Nutzer-AL werden Nutzungsrechte gewährt, die der Nutzer-AL für Entsprechende Onlinedienste entsprechen. Die</w:t>
      </w:r>
      <w:r w:rsidRPr="00C83DF5">
        <w:rPr>
          <w:rFonts w:cs="Tahoma"/>
          <w:szCs w:val="24"/>
          <w:lang w:val="de-DE"/>
        </w:rPr>
        <w:t xml:space="preserve"> Nutzungsrechte für jede Nutzer-AL für Entsprechende Onlinedienste werden in den PUR dargelegt. Nutzungsrechte, die über den Kauf dieser Add-On-Nutzer-ALs erworben werden, laufen zusammen mit dem Ablauf der Software Assurance für die Qualifizierende(n) Lizenz(en) oder am Ende der Abonnementlaufzeit für die Add-On-Nutzer-AL ab, je nachdem, welches Datum früher eintritt. Der</w:t>
      </w:r>
      <w:r w:rsidR="00690A2C">
        <w:rPr>
          <w:rFonts w:cs="Tahoma"/>
          <w:szCs w:val="24"/>
          <w:lang w:val="de-DE"/>
        </w:rPr>
        <w:t> </w:t>
      </w:r>
      <w:r w:rsidRPr="00C83DF5">
        <w:rPr>
          <w:rFonts w:cs="Tahoma"/>
          <w:szCs w:val="24"/>
          <w:lang w:val="de-DE"/>
        </w:rPr>
        <w:t xml:space="preserve">Erwerb dieser Add-On-Nutzer-ALs hat keine Auswirkungen auf die Nutzungsrechte für die Qualifizierende(n) Lizenz(en). </w:t>
      </w:r>
    </w:p>
    <w:p w:rsidR="000A0D35" w:rsidRPr="008B3D04" w:rsidRDefault="000A0D35" w:rsidP="000A0D35">
      <w:pPr>
        <w:spacing w:after="60"/>
        <w:ind w:left="720"/>
        <w:rPr>
          <w:rFonts w:cs="Tahoma"/>
          <w:szCs w:val="24"/>
          <w:lang w:val="de-DE"/>
        </w:rPr>
      </w:pPr>
    </w:p>
    <w:p w:rsidR="000A0D35" w:rsidRPr="00C83DF5" w:rsidRDefault="000A0D35" w:rsidP="000A0D35">
      <w:pPr>
        <w:keepNext/>
        <w:spacing w:after="60"/>
        <w:ind w:left="720"/>
        <w:rPr>
          <w:lang w:val="de-DE"/>
        </w:rPr>
      </w:pPr>
      <w:r w:rsidRPr="00C83DF5">
        <w:rPr>
          <w:rFonts w:eastAsia="Calibri" w:cs="Tahoma"/>
          <w:b/>
          <w:color w:val="000000"/>
          <w:szCs w:val="18"/>
          <w:lang w:val="de-DE"/>
        </w:rPr>
        <w:t>True Ups</w:t>
      </w:r>
    </w:p>
    <w:p w:rsidR="000A0D35" w:rsidRPr="00C83DF5" w:rsidRDefault="000A0D35" w:rsidP="000A0D35">
      <w:pPr>
        <w:spacing w:after="60"/>
        <w:ind w:left="720"/>
        <w:rPr>
          <w:lang w:val="de-DE"/>
        </w:rPr>
      </w:pPr>
      <w:r w:rsidRPr="00C83DF5">
        <w:rPr>
          <w:rFonts w:eastAsia="Calibri" w:cs="Tahoma"/>
          <w:color w:val="000000"/>
          <w:szCs w:val="18"/>
          <w:lang w:val="de-DE"/>
        </w:rPr>
        <w:t>Add-On-Nutzer-ALs sind keine Konzernprodukte oder Konzern-Onlinedienste. Sie können nicht verwendet werden, um die konzernweiten Anforderungen an einen Konzernbeitritt zu erfüllen. Beispielsweise muss ein Kunde, wenn er Office Professional Plus als Konzernprodukt im Rahmen seines Konzernbeitritts wählt und eine Add-On-Nutzer-AL verwendet, um Office 365 ProPlus auf einem Qualifizierten Gerät ohne Office Professional Plus zu installieren, dennoch eine True Up-Bestellung für Office Professional Plus auf diesem Qualifizierten Gerät – zusammen mit allen anderen möglicherweise für dieses Qualifizierte Gerät erforderlichen Konzernprodukten – aufgeben.</w:t>
      </w:r>
    </w:p>
    <w:p w:rsidR="00FB1E38" w:rsidRPr="00C83DF5" w:rsidRDefault="00FB1E38" w:rsidP="00FB1E38">
      <w:pPr>
        <w:spacing w:after="60"/>
        <w:ind w:left="720"/>
        <w:rPr>
          <w:lang w:val="de-DE"/>
        </w:rPr>
      </w:pPr>
    </w:p>
    <w:p w:rsidR="00FB1E38" w:rsidRPr="00C83DF5" w:rsidRDefault="00FB1E38" w:rsidP="00FB1E38">
      <w:pPr>
        <w:spacing w:after="60"/>
        <w:ind w:left="720"/>
        <w:rPr>
          <w:lang w:val="de-DE"/>
        </w:rPr>
      </w:pPr>
      <w:r w:rsidRPr="00C83DF5">
        <w:rPr>
          <w:rFonts w:eastAsia="Calibri" w:cs="Tahoma"/>
          <w:b/>
          <w:color w:val="000000"/>
          <w:szCs w:val="18"/>
          <w:lang w:val="de-DE"/>
        </w:rPr>
        <w:t>Bestimmungen des Volumenlizenzprogramms</w:t>
      </w:r>
    </w:p>
    <w:p w:rsidR="00FB1E38" w:rsidRPr="00C83DF5" w:rsidRDefault="00343766" w:rsidP="00FB1E38">
      <w:pPr>
        <w:spacing w:after="60"/>
        <w:ind w:left="720"/>
        <w:rPr>
          <w:lang w:val="de-DE"/>
        </w:rPr>
      </w:pPr>
      <w:r w:rsidRPr="00C83DF5">
        <w:rPr>
          <w:rFonts w:eastAsia="Calibri" w:cs="Tahoma"/>
          <w:color w:val="000000"/>
          <w:szCs w:val="18"/>
          <w:lang w:val="de-DE"/>
        </w:rPr>
        <w:t xml:space="preserve">Mit Ausnahme der Übergangsrechte gelten die auf die Nutzer-ALs für Entsprechende Onlinedienste anwendbaren Programmbestimmungen auch für die Add-On-Nutzer-ALs. </w:t>
      </w:r>
    </w:p>
    <w:p w:rsidR="00FB1E38" w:rsidRPr="00C83DF5" w:rsidRDefault="00FB1E38" w:rsidP="00FB1E38">
      <w:pPr>
        <w:spacing w:after="60"/>
        <w:ind w:left="720"/>
        <w:rPr>
          <w:lang w:val="de-DE"/>
        </w:rPr>
      </w:pPr>
    </w:p>
    <w:p w:rsidR="00FB1E38" w:rsidRPr="00C83DF5" w:rsidRDefault="00FB1E38" w:rsidP="00FB1E38">
      <w:pPr>
        <w:spacing w:after="60"/>
        <w:ind w:left="720"/>
        <w:rPr>
          <w:lang w:val="de-DE"/>
        </w:rPr>
      </w:pPr>
      <w:r w:rsidRPr="00C83DF5">
        <w:rPr>
          <w:rFonts w:eastAsia="Calibri" w:cs="Tahoma"/>
          <w:b/>
          <w:color w:val="000000"/>
          <w:szCs w:val="18"/>
          <w:lang w:val="de-DE"/>
        </w:rPr>
        <w:t>Preise und Zahlungsbestimmungen für Onlinedienste</w:t>
      </w:r>
    </w:p>
    <w:p w:rsidR="00FB1E38" w:rsidRPr="00C83DF5" w:rsidRDefault="00FB1E38" w:rsidP="00FB1E38">
      <w:pPr>
        <w:spacing w:after="60"/>
        <w:ind w:left="720"/>
        <w:rPr>
          <w:lang w:val="de-DE"/>
        </w:rPr>
      </w:pPr>
      <w:r w:rsidRPr="00C83DF5">
        <w:rPr>
          <w:rFonts w:eastAsia="Calibri" w:cs="Tahoma"/>
          <w:color w:val="000000"/>
          <w:szCs w:val="18"/>
          <w:lang w:val="de-DE"/>
        </w:rPr>
        <w:t xml:space="preserve">Die auf die Nutzer-ALs für Entsprechende Onlinedienste anwendbaren Preise und Zahlungsbestimmungen für Onlinedienste gelten auch für die Add-On-Nutzer-ALs. </w:t>
      </w:r>
    </w:p>
    <w:p w:rsidR="00996781" w:rsidRPr="008B3D04" w:rsidRDefault="00996781" w:rsidP="00B26237">
      <w:pPr>
        <w:pStyle w:val="Heading2"/>
        <w:ind w:left="0"/>
        <w:rPr>
          <w:rFonts w:ascii="Tahoma" w:hAnsi="Tahoma" w:cs="Tahoma"/>
          <w:b w:val="0"/>
          <w:color w:val="000000" w:themeColor="text1"/>
          <w:sz w:val="18"/>
          <w:szCs w:val="18"/>
          <w:lang w:val="de-DE"/>
        </w:rPr>
      </w:pPr>
    </w:p>
    <w:p w:rsidR="00996781" w:rsidRPr="008B3D04" w:rsidRDefault="00996781" w:rsidP="00B26237">
      <w:pPr>
        <w:pStyle w:val="Heading2"/>
        <w:ind w:left="0"/>
        <w:rPr>
          <w:rFonts w:ascii="Tahoma" w:hAnsi="Tahoma" w:cs="Tahoma"/>
          <w:b w:val="0"/>
          <w:color w:val="000000" w:themeColor="text1"/>
          <w:sz w:val="18"/>
          <w:szCs w:val="18"/>
          <w:lang w:val="de-DE"/>
        </w:rPr>
      </w:pPr>
    </w:p>
    <w:p w:rsidR="003A0D18" w:rsidRPr="008B3D04" w:rsidRDefault="003A0D18" w:rsidP="003A0D18">
      <w:pPr>
        <w:rPr>
          <w:lang w:val="de-DE"/>
        </w:rPr>
      </w:pPr>
    </w:p>
    <w:p w:rsidR="003A0D18" w:rsidRPr="008B3D04" w:rsidRDefault="003A0D18" w:rsidP="003A0D18">
      <w:pPr>
        <w:rPr>
          <w:lang w:val="de-DE"/>
        </w:rPr>
      </w:pPr>
    </w:p>
    <w:p w:rsidR="00B26237" w:rsidRPr="00C83DF5" w:rsidRDefault="00A560B6" w:rsidP="00B26237">
      <w:pPr>
        <w:pStyle w:val="Heading2"/>
        <w:ind w:left="0"/>
        <w:rPr>
          <w:lang w:val="de-DE"/>
        </w:rPr>
      </w:pPr>
      <w:bookmarkStart w:id="980" w:name="_7_Office_365_1"/>
      <w:bookmarkStart w:id="981" w:name="_8_Office_365"/>
      <w:bookmarkStart w:id="982" w:name="_Toc370983374"/>
      <w:bookmarkEnd w:id="980"/>
      <w:bookmarkEnd w:id="981"/>
      <w:r w:rsidRPr="00C83DF5">
        <w:rPr>
          <w:rFonts w:ascii="Tahoma" w:hAnsi="Tahoma" w:cs="Tahoma"/>
          <w:caps/>
          <w:color w:val="FF6600"/>
          <w:sz w:val="22"/>
          <w:szCs w:val="22"/>
          <w:vertAlign w:val="superscript"/>
          <w:lang w:val="de-DE"/>
        </w:rPr>
        <w:lastRenderedPageBreak/>
        <w:t>8</w:t>
      </w:r>
      <w:r w:rsidRPr="00106236">
        <w:rPr>
          <w:rFonts w:ascii="Tahoma" w:hAnsi="Tahoma" w:cs="Tahoma"/>
          <w:caps/>
          <w:color w:val="FF6600"/>
          <w:sz w:val="22"/>
          <w:szCs w:val="22"/>
          <w:lang w:val="de-DE"/>
        </w:rPr>
        <w:t xml:space="preserve"> </w:t>
      </w:r>
      <w:r w:rsidRPr="00C83DF5">
        <w:rPr>
          <w:rFonts w:ascii="Tahoma" w:hAnsi="Tahoma" w:cs="Tahoma"/>
          <w:color w:val="FF6600"/>
          <w:sz w:val="22"/>
          <w:szCs w:val="22"/>
          <w:lang w:val="de-DE"/>
        </w:rPr>
        <w:t>Office 365 Enterprise E3-E4</w:t>
      </w:r>
      <w:bookmarkEnd w:id="975"/>
      <w:bookmarkEnd w:id="982"/>
    </w:p>
    <w:p w:rsidR="00B26237" w:rsidRPr="008B3D04" w:rsidRDefault="00B26237" w:rsidP="00AE5A9F">
      <w:pPr>
        <w:rPr>
          <w:rFonts w:cs="Tahoma"/>
          <w:color w:val="000000"/>
          <w:szCs w:val="18"/>
          <w:lang w:val="de-DE"/>
        </w:rPr>
      </w:pPr>
    </w:p>
    <w:p w:rsidR="00B26237" w:rsidRPr="00C83DF5" w:rsidRDefault="00B26237" w:rsidP="00B26237">
      <w:pPr>
        <w:ind w:left="720"/>
        <w:rPr>
          <w:lang w:val="de-DE"/>
        </w:rPr>
      </w:pPr>
      <w:r w:rsidRPr="00C83DF5">
        <w:rPr>
          <w:color w:val="000000"/>
          <w:lang w:val="de-DE"/>
        </w:rPr>
        <w:t>Office 365 Plan E3 - E4 bietet Zugriff auf die folgenden Onlinedienste:</w:t>
      </w:r>
    </w:p>
    <w:p w:rsidR="00B26237" w:rsidRPr="008B3D04" w:rsidRDefault="00B26237" w:rsidP="00B26237">
      <w:pPr>
        <w:rPr>
          <w:color w:val="000000"/>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C83DF5" w:rsidTr="000C6C07">
        <w:tc>
          <w:tcPr>
            <w:tcW w:w="3977" w:type="dxa"/>
            <w:shd w:val="clear" w:color="auto" w:fill="FABF8F"/>
          </w:tcPr>
          <w:p w:rsidR="000C6C07" w:rsidRPr="00C83DF5" w:rsidRDefault="000C6C07" w:rsidP="009B3FA2">
            <w:pPr>
              <w:jc w:val="center"/>
              <w:rPr>
                <w:rFonts w:eastAsia="Calibri"/>
                <w:b/>
                <w:color w:val="000000"/>
                <w:sz w:val="20"/>
              </w:rPr>
            </w:pPr>
            <w:r w:rsidRPr="00C83DF5">
              <w:rPr>
                <w:rFonts w:eastAsia="Calibri"/>
                <w:b/>
                <w:color w:val="000000"/>
                <w:sz w:val="20"/>
              </w:rPr>
              <w:t>Office 365 Enterprise E3</w:t>
            </w:r>
          </w:p>
        </w:tc>
        <w:tc>
          <w:tcPr>
            <w:tcW w:w="4230" w:type="dxa"/>
            <w:shd w:val="clear" w:color="auto" w:fill="FABF8F"/>
          </w:tcPr>
          <w:p w:rsidR="000C6C07" w:rsidRPr="00C83DF5" w:rsidRDefault="000C6C07" w:rsidP="009B3FA2">
            <w:pPr>
              <w:jc w:val="center"/>
              <w:rPr>
                <w:rFonts w:eastAsia="Calibri"/>
                <w:b/>
                <w:color w:val="000000"/>
                <w:sz w:val="20"/>
              </w:rPr>
            </w:pPr>
            <w:r w:rsidRPr="00C83DF5">
              <w:rPr>
                <w:rFonts w:eastAsia="Calibri"/>
                <w:b/>
                <w:color w:val="000000"/>
                <w:sz w:val="20"/>
              </w:rPr>
              <w:t>Office 365 Enterprise E4</w:t>
            </w:r>
          </w:p>
        </w:tc>
      </w:tr>
      <w:tr w:rsidR="000C6C07" w:rsidRPr="00C83DF5" w:rsidTr="000C6C07">
        <w:tc>
          <w:tcPr>
            <w:tcW w:w="3977" w:type="dxa"/>
            <w:shd w:val="clear" w:color="auto" w:fill="auto"/>
          </w:tcPr>
          <w:p w:rsidR="000C6C07" w:rsidRPr="00C83DF5" w:rsidRDefault="000C6C07" w:rsidP="00B42A20">
            <w:pPr>
              <w:ind w:left="138" w:right="138"/>
              <w:rPr>
                <w:rFonts w:eastAsia="Calibri"/>
                <w:color w:val="000000"/>
              </w:rPr>
            </w:pPr>
            <w:r w:rsidRPr="00C83DF5">
              <w:rPr>
                <w:rFonts w:eastAsia="Calibri"/>
                <w:color w:val="000000"/>
              </w:rPr>
              <w:t>Exchange Online Plan 2</w:t>
            </w:r>
          </w:p>
        </w:tc>
        <w:tc>
          <w:tcPr>
            <w:tcW w:w="4230" w:type="dxa"/>
            <w:shd w:val="clear" w:color="auto" w:fill="auto"/>
          </w:tcPr>
          <w:p w:rsidR="000C6C07" w:rsidRPr="00C83DF5" w:rsidRDefault="000C6C07" w:rsidP="00B42A20">
            <w:pPr>
              <w:ind w:left="186" w:right="180"/>
              <w:rPr>
                <w:rFonts w:eastAsia="Calibri"/>
                <w:color w:val="000000"/>
              </w:rPr>
            </w:pPr>
            <w:r w:rsidRPr="00C83DF5">
              <w:rPr>
                <w:rFonts w:eastAsia="Calibri"/>
                <w:color w:val="000000"/>
              </w:rPr>
              <w:t>Exchange Online Plan 2</w:t>
            </w:r>
          </w:p>
        </w:tc>
      </w:tr>
      <w:tr w:rsidR="000C6C07" w:rsidRPr="00C83DF5" w:rsidTr="000C6C07">
        <w:tc>
          <w:tcPr>
            <w:tcW w:w="3977" w:type="dxa"/>
            <w:shd w:val="clear" w:color="auto" w:fill="auto"/>
          </w:tcPr>
          <w:p w:rsidR="000C6C07" w:rsidRPr="00C83DF5" w:rsidRDefault="000C6C07" w:rsidP="00B42A20">
            <w:pPr>
              <w:ind w:left="138" w:right="138"/>
              <w:rPr>
                <w:rFonts w:eastAsia="Calibri"/>
                <w:color w:val="000000"/>
              </w:rPr>
            </w:pPr>
            <w:r w:rsidRPr="00C83DF5">
              <w:rPr>
                <w:rFonts w:eastAsia="Calibri"/>
                <w:color w:val="000000"/>
              </w:rPr>
              <w:t>SharePoint Online Plan 2</w:t>
            </w:r>
          </w:p>
        </w:tc>
        <w:tc>
          <w:tcPr>
            <w:tcW w:w="4230" w:type="dxa"/>
            <w:shd w:val="clear" w:color="auto" w:fill="auto"/>
          </w:tcPr>
          <w:p w:rsidR="000C6C07" w:rsidRPr="00C83DF5" w:rsidRDefault="000C6C07" w:rsidP="00B42A20">
            <w:pPr>
              <w:ind w:left="186" w:right="180"/>
              <w:rPr>
                <w:rFonts w:eastAsia="Calibri"/>
                <w:color w:val="000000"/>
              </w:rPr>
            </w:pPr>
            <w:r w:rsidRPr="00C83DF5">
              <w:rPr>
                <w:rFonts w:eastAsia="Calibri"/>
                <w:color w:val="000000"/>
              </w:rPr>
              <w:t>SharePoint Online Plan 2</w:t>
            </w:r>
          </w:p>
        </w:tc>
      </w:tr>
      <w:tr w:rsidR="000C6C07" w:rsidRPr="00C83DF5" w:rsidTr="000C6C07">
        <w:tc>
          <w:tcPr>
            <w:tcW w:w="3977" w:type="dxa"/>
            <w:shd w:val="clear" w:color="auto" w:fill="auto"/>
          </w:tcPr>
          <w:p w:rsidR="000C6C07" w:rsidRPr="00C83DF5" w:rsidRDefault="000C6C07" w:rsidP="00B42A20">
            <w:pPr>
              <w:ind w:left="138" w:right="138"/>
              <w:rPr>
                <w:rFonts w:eastAsia="Calibri"/>
                <w:color w:val="000000"/>
              </w:rPr>
            </w:pPr>
            <w:r w:rsidRPr="00C83DF5">
              <w:rPr>
                <w:rFonts w:eastAsia="Calibri"/>
                <w:color w:val="000000"/>
              </w:rPr>
              <w:t>Lync Online Plan 2</w:t>
            </w:r>
          </w:p>
        </w:tc>
        <w:tc>
          <w:tcPr>
            <w:tcW w:w="4230" w:type="dxa"/>
            <w:shd w:val="clear" w:color="auto" w:fill="auto"/>
          </w:tcPr>
          <w:p w:rsidR="000C6C07" w:rsidRPr="00C83DF5" w:rsidRDefault="00BE51ED" w:rsidP="00B42A20">
            <w:pPr>
              <w:ind w:left="186" w:right="180"/>
              <w:rPr>
                <w:rFonts w:eastAsia="Calibri"/>
                <w:color w:val="000000"/>
              </w:rPr>
            </w:pPr>
            <w:r>
              <w:rPr>
                <w:rFonts w:eastAsia="Calibri"/>
                <w:color w:val="000000"/>
              </w:rPr>
              <w:t>Lync Online Plan 3</w:t>
            </w:r>
          </w:p>
        </w:tc>
      </w:tr>
      <w:tr w:rsidR="000C6C07" w:rsidRPr="004D388E" w:rsidTr="000C6C07">
        <w:tc>
          <w:tcPr>
            <w:tcW w:w="3977" w:type="dxa"/>
            <w:shd w:val="clear" w:color="auto" w:fill="auto"/>
          </w:tcPr>
          <w:p w:rsidR="000C6C07" w:rsidRPr="00C83DF5" w:rsidRDefault="000C6C07" w:rsidP="00B42A20">
            <w:pPr>
              <w:ind w:left="138" w:right="138"/>
              <w:rPr>
                <w:rFonts w:eastAsia="Calibri"/>
                <w:color w:val="000000"/>
                <w:lang w:val="de-DE"/>
              </w:rPr>
            </w:pPr>
            <w:r w:rsidRPr="00C83DF5">
              <w:rPr>
                <w:rFonts w:eastAsia="Calibri"/>
                <w:color w:val="000000"/>
                <w:lang w:val="de-DE"/>
              </w:rPr>
              <w:t>Office-Webanwendungen (von Microsoft gehostet)</w:t>
            </w:r>
          </w:p>
        </w:tc>
        <w:tc>
          <w:tcPr>
            <w:tcW w:w="4230" w:type="dxa"/>
            <w:shd w:val="clear" w:color="auto" w:fill="auto"/>
          </w:tcPr>
          <w:p w:rsidR="000C6C07" w:rsidRPr="00C83DF5" w:rsidRDefault="000C6C07" w:rsidP="00B42A20">
            <w:pPr>
              <w:ind w:left="186" w:right="180"/>
              <w:rPr>
                <w:rFonts w:eastAsia="Calibri"/>
                <w:color w:val="000000"/>
                <w:lang w:val="de-DE"/>
              </w:rPr>
            </w:pPr>
            <w:r w:rsidRPr="00C83DF5">
              <w:rPr>
                <w:rFonts w:eastAsia="Calibri"/>
                <w:color w:val="000000"/>
                <w:lang w:val="de-DE"/>
              </w:rPr>
              <w:t>Office-Webanwendungen (von Microsoft gehostet)</w:t>
            </w:r>
          </w:p>
        </w:tc>
      </w:tr>
      <w:tr w:rsidR="000C6C07" w:rsidRPr="00C83DF5" w:rsidTr="000C6C07">
        <w:tc>
          <w:tcPr>
            <w:tcW w:w="3977" w:type="dxa"/>
            <w:shd w:val="clear" w:color="auto" w:fill="auto"/>
          </w:tcPr>
          <w:p w:rsidR="000C6C07" w:rsidRPr="00C83DF5" w:rsidRDefault="000C6C07" w:rsidP="00B42A20">
            <w:pPr>
              <w:ind w:left="138" w:right="138"/>
              <w:rPr>
                <w:rFonts w:eastAsia="Calibri"/>
                <w:color w:val="000000"/>
              </w:rPr>
            </w:pPr>
            <w:r w:rsidRPr="00C83DF5">
              <w:rPr>
                <w:rFonts w:eastAsia="Calibri"/>
                <w:color w:val="000000"/>
              </w:rPr>
              <w:t>Office 365 ProPlus</w:t>
            </w:r>
          </w:p>
        </w:tc>
        <w:tc>
          <w:tcPr>
            <w:tcW w:w="4230" w:type="dxa"/>
            <w:shd w:val="clear" w:color="auto" w:fill="auto"/>
          </w:tcPr>
          <w:p w:rsidR="000C6C07" w:rsidRPr="00C83DF5" w:rsidRDefault="000C6C07" w:rsidP="008368B4">
            <w:pPr>
              <w:ind w:left="186" w:right="180"/>
              <w:rPr>
                <w:rFonts w:eastAsia="Calibri"/>
                <w:color w:val="000000"/>
              </w:rPr>
            </w:pPr>
            <w:r w:rsidRPr="00C83DF5">
              <w:rPr>
                <w:rFonts w:eastAsia="Calibri"/>
                <w:color w:val="000000"/>
              </w:rPr>
              <w:t>Office 365 ProPlus</w:t>
            </w:r>
          </w:p>
        </w:tc>
      </w:tr>
      <w:tr w:rsidR="000C6C07" w:rsidRPr="00C83DF5" w:rsidTr="000C6C07">
        <w:tc>
          <w:tcPr>
            <w:tcW w:w="3977" w:type="dxa"/>
            <w:shd w:val="clear" w:color="auto" w:fill="auto"/>
          </w:tcPr>
          <w:p w:rsidR="000C6C07" w:rsidRPr="00C83DF5" w:rsidRDefault="000C6C07" w:rsidP="00B42A20">
            <w:pPr>
              <w:ind w:left="138" w:right="138"/>
              <w:rPr>
                <w:rFonts w:eastAsia="Calibri"/>
                <w:color w:val="000000"/>
              </w:rPr>
            </w:pPr>
            <w:r w:rsidRPr="00C83DF5">
              <w:rPr>
                <w:rFonts w:eastAsia="Calibri"/>
                <w:color w:val="000000"/>
              </w:rPr>
              <w:t>Windows Azure Active Directory-Rechteverwaltung</w:t>
            </w:r>
          </w:p>
        </w:tc>
        <w:tc>
          <w:tcPr>
            <w:tcW w:w="4230" w:type="dxa"/>
            <w:shd w:val="clear" w:color="auto" w:fill="auto"/>
          </w:tcPr>
          <w:p w:rsidR="000C6C07" w:rsidRPr="00C83DF5" w:rsidRDefault="000C6C07" w:rsidP="008368B4">
            <w:pPr>
              <w:ind w:left="186" w:right="180"/>
              <w:rPr>
                <w:rFonts w:eastAsia="Calibri"/>
                <w:color w:val="000000"/>
              </w:rPr>
            </w:pPr>
            <w:r w:rsidRPr="00C83DF5">
              <w:rPr>
                <w:rFonts w:eastAsia="Calibri"/>
                <w:color w:val="000000"/>
              </w:rPr>
              <w:t>Windows Azure Active Directory-Rechteverwaltung</w:t>
            </w:r>
          </w:p>
        </w:tc>
      </w:tr>
      <w:tr w:rsidR="000C6C07" w:rsidRPr="00C83DF5" w:rsidTr="000C6C07">
        <w:tc>
          <w:tcPr>
            <w:tcW w:w="3977" w:type="dxa"/>
            <w:shd w:val="clear" w:color="auto" w:fill="auto"/>
          </w:tcPr>
          <w:p w:rsidR="000C6C07" w:rsidRPr="00C83DF5" w:rsidRDefault="000C6C07" w:rsidP="00B42A20">
            <w:pPr>
              <w:ind w:left="138" w:right="138"/>
              <w:rPr>
                <w:rFonts w:eastAsia="Calibri"/>
                <w:color w:val="000000"/>
              </w:rPr>
            </w:pPr>
            <w:r w:rsidRPr="00C83DF5">
              <w:rPr>
                <w:rFonts w:eastAsia="Calibri"/>
                <w:color w:val="000000"/>
              </w:rPr>
              <w:t>Yammer Enterprise</w:t>
            </w:r>
          </w:p>
        </w:tc>
        <w:tc>
          <w:tcPr>
            <w:tcW w:w="4230" w:type="dxa"/>
            <w:shd w:val="clear" w:color="auto" w:fill="auto"/>
          </w:tcPr>
          <w:p w:rsidR="000C6C07" w:rsidRPr="00C83DF5" w:rsidRDefault="000C6C07" w:rsidP="008368B4">
            <w:pPr>
              <w:ind w:left="186" w:right="180"/>
              <w:rPr>
                <w:rFonts w:eastAsia="Calibri"/>
                <w:color w:val="000000"/>
              </w:rPr>
            </w:pPr>
            <w:r w:rsidRPr="00C83DF5">
              <w:rPr>
                <w:rFonts w:eastAsia="Calibri"/>
                <w:color w:val="000000"/>
              </w:rPr>
              <w:t>Yammer Enterprise</w:t>
            </w:r>
          </w:p>
        </w:tc>
      </w:tr>
    </w:tbl>
    <w:p w:rsidR="00B26237" w:rsidRPr="00C83DF5" w:rsidRDefault="00B26237" w:rsidP="00D16EA8">
      <w:pPr>
        <w:ind w:left="720"/>
        <w:rPr>
          <w:lang w:val="de-DE"/>
        </w:rPr>
      </w:pPr>
      <w:r w:rsidRPr="00C83DF5">
        <w:rPr>
          <w:color w:val="000000"/>
          <w:lang w:val="de-DE"/>
        </w:rPr>
        <w:br/>
      </w:r>
      <w:r w:rsidRPr="00C83DF5">
        <w:rPr>
          <w:rFonts w:cs="Tahoma"/>
          <w:color w:val="000000"/>
          <w:szCs w:val="18"/>
          <w:lang w:val="de-DE"/>
        </w:rPr>
        <w:t>Änderungen an dieser Liste sind vorbehalten.</w:t>
      </w:r>
      <w:r w:rsidR="00E71F46" w:rsidRPr="00C83DF5">
        <w:rPr>
          <w:rFonts w:cs="Tahoma"/>
          <w:color w:val="000000"/>
          <w:szCs w:val="18"/>
          <w:lang w:val="de-DE"/>
        </w:rPr>
        <w:t xml:space="preserve"> </w:t>
      </w:r>
      <w:r w:rsidRPr="00C83DF5">
        <w:rPr>
          <w:rFonts w:cs="Tahoma"/>
          <w:color w:val="000000"/>
          <w:szCs w:val="18"/>
          <w:lang w:val="de-DE"/>
        </w:rPr>
        <w:t>Die aktuellen Produktbenutzungsrechte finden bei Widersprüchen zwischen den Lizenzbestimmungen für Office 365 Enterprise E3 – E4 und diesem Hinweis Anwendung.</w:t>
      </w:r>
      <w:r w:rsidR="00E71F46" w:rsidRPr="00C83DF5">
        <w:rPr>
          <w:rFonts w:cs="Tahoma"/>
          <w:color w:val="000000"/>
          <w:szCs w:val="18"/>
          <w:lang w:val="de-DE"/>
        </w:rPr>
        <w:t xml:space="preserve"> </w:t>
      </w:r>
      <w:r w:rsidRPr="00C83DF5">
        <w:rPr>
          <w:rFonts w:cs="Tahoma"/>
          <w:color w:val="000000"/>
          <w:szCs w:val="18"/>
          <w:lang w:val="de-DE"/>
        </w:rPr>
        <w:t>Zusätzliche Zugriffsrechte auf separat lizenzierte Vor-Ort-Software sind gegebenenfalls in den Produktbenutzungsrechten angegeben.</w:t>
      </w:r>
      <w:r w:rsidR="00E71F46" w:rsidRPr="00C83DF5">
        <w:rPr>
          <w:rFonts w:cs="Tahoma"/>
          <w:color w:val="000000"/>
          <w:szCs w:val="18"/>
          <w:lang w:val="de-DE"/>
        </w:rPr>
        <w:t xml:space="preserve"> </w:t>
      </w:r>
    </w:p>
    <w:p w:rsidR="00B26237" w:rsidRPr="008B3D04" w:rsidRDefault="00B26237" w:rsidP="00D16EA8">
      <w:pPr>
        <w:ind w:left="720"/>
        <w:rPr>
          <w:rFonts w:cs="Tahoma"/>
          <w:color w:val="000000"/>
          <w:szCs w:val="18"/>
          <w:lang w:val="de-DE"/>
        </w:rPr>
      </w:pPr>
    </w:p>
    <w:p w:rsidR="00DC2291" w:rsidRPr="00C83DF5" w:rsidRDefault="00B26237" w:rsidP="003A0D18">
      <w:pPr>
        <w:pStyle w:val="FootnoteBulletLevel1"/>
        <w:tabs>
          <w:tab w:val="clear" w:pos="900"/>
        </w:tabs>
        <w:spacing w:before="0" w:after="0"/>
        <w:ind w:left="720" w:firstLine="0"/>
        <w:rPr>
          <w:lang w:val="de-DE"/>
        </w:rPr>
      </w:pPr>
      <w:r w:rsidRPr="00C83DF5">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w:t>
      </w:r>
      <w:r w:rsidR="003A0D18">
        <w:rPr>
          <w:rFonts w:ascii="Tahoma" w:hAnsi="Tahoma" w:cs="Tahoma"/>
          <w:color w:val="000000"/>
          <w:sz w:val="18"/>
          <w:szCs w:val="18"/>
          <w:lang w:val="de-DE"/>
        </w:rPr>
        <w:t> </w:t>
      </w:r>
      <w:r w:rsidRPr="00C83DF5">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(oder Lync für Mac</w:t>
      </w:r>
      <w:r w:rsidR="003A0D18">
        <w:rPr>
          <w:rFonts w:ascii="Tahoma" w:hAnsi="Tahoma" w:cs="Tahoma"/>
          <w:color w:val="000000"/>
          <w:sz w:val="18"/>
          <w:szCs w:val="18"/>
          <w:lang w:val="de-DE"/>
        </w:rPr>
        <w:t> </w:t>
      </w:r>
      <w:r w:rsidRPr="00C83DF5">
        <w:rPr>
          <w:rFonts w:ascii="Tahoma" w:hAnsi="Tahoma" w:cs="Tahoma"/>
          <w:color w:val="000000"/>
          <w:sz w:val="18"/>
          <w:szCs w:val="18"/>
          <w:lang w:val="de-DE"/>
        </w:rPr>
        <w:t>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w:t>
      </w:r>
      <w:r w:rsidR="003A0D18">
        <w:rPr>
          <w:rFonts w:ascii="Tahoma" w:hAnsi="Tahoma" w:cs="Tahoma"/>
          <w:color w:val="000000"/>
          <w:sz w:val="18"/>
          <w:szCs w:val="18"/>
          <w:lang w:val="de-DE"/>
        </w:rPr>
        <w:t> </w:t>
      </w:r>
      <w:r w:rsidRPr="00C83DF5">
        <w:rPr>
          <w:rFonts w:ascii="Tahoma" w:hAnsi="Tahoma" w:cs="Tahoma"/>
          <w:color w:val="000000"/>
          <w:sz w:val="18"/>
          <w:szCs w:val="18"/>
          <w:lang w:val="de-DE"/>
        </w:rPr>
        <w:t>kostenlosen Lync Basic 2013-Client für ihre Windows-basierten Endbenutzer zu nutzen.</w:t>
      </w:r>
    </w:p>
    <w:p w:rsidR="00B26237" w:rsidRPr="008B3D04" w:rsidRDefault="00B26237" w:rsidP="00D16EA8">
      <w:pPr>
        <w:pStyle w:val="FootnoteBulletLevel1"/>
        <w:tabs>
          <w:tab w:val="clear" w:pos="900"/>
          <w:tab w:val="num" w:pos="1080"/>
        </w:tabs>
        <w:spacing w:before="0" w:after="0"/>
        <w:ind w:left="0" w:firstLine="0"/>
        <w:rPr>
          <w:rFonts w:ascii="Tahoma" w:hAnsi="Tahoma" w:cs="Tahoma"/>
          <w:sz w:val="18"/>
          <w:u w:val="single"/>
          <w:lang w:val="de-DE"/>
        </w:rPr>
      </w:pPr>
    </w:p>
    <w:p w:rsidR="00D16EA8" w:rsidRPr="008B3D04" w:rsidRDefault="00D16EA8" w:rsidP="00D16EA8">
      <w:pPr>
        <w:pStyle w:val="FootnoteBulletLevel1"/>
        <w:tabs>
          <w:tab w:val="clear" w:pos="900"/>
          <w:tab w:val="num" w:pos="1080"/>
        </w:tabs>
        <w:spacing w:before="0" w:after="0"/>
        <w:ind w:left="0" w:firstLine="0"/>
        <w:rPr>
          <w:rFonts w:ascii="Tahoma" w:hAnsi="Tahoma" w:cs="Tahoma"/>
          <w:sz w:val="18"/>
          <w:u w:val="single"/>
          <w:lang w:val="de-DE"/>
        </w:rPr>
      </w:pPr>
    </w:p>
    <w:p w:rsidR="00704723" w:rsidRPr="00C83DF5" w:rsidRDefault="00A560B6" w:rsidP="000429EF">
      <w:pPr>
        <w:pStyle w:val="Heading3"/>
      </w:pPr>
      <w:bookmarkStart w:id="983" w:name="_76_Office_for"/>
      <w:bookmarkStart w:id="984" w:name="_8_Office_for"/>
      <w:bookmarkStart w:id="985" w:name="_9_Office_für"/>
      <w:bookmarkStart w:id="986" w:name="_Toc336338264"/>
      <w:bookmarkStart w:id="987" w:name="Srv_4OfficeMacStandard2011"/>
      <w:bookmarkStart w:id="988" w:name="_Toc370983375"/>
      <w:bookmarkEnd w:id="951"/>
      <w:bookmarkEnd w:id="983"/>
      <w:bookmarkEnd w:id="984"/>
      <w:bookmarkEnd w:id="985"/>
      <w:r w:rsidRPr="00C83DF5">
        <w:rPr>
          <w:rFonts w:ascii="Tahoma" w:hAnsi="Tahoma"/>
          <w:caps/>
          <w:color w:val="F66400"/>
          <w:sz w:val="22"/>
          <w:vertAlign w:val="superscript"/>
        </w:rPr>
        <w:t>9</w:t>
      </w:r>
      <w:r w:rsidRPr="00106236">
        <w:rPr>
          <w:rFonts w:ascii="Tahoma" w:hAnsi="Tahoma"/>
          <w:caps/>
          <w:color w:val="F66400"/>
          <w:sz w:val="22"/>
        </w:rPr>
        <w:t xml:space="preserve"> </w:t>
      </w:r>
      <w:r w:rsidRPr="00C83DF5">
        <w:rPr>
          <w:rFonts w:ascii="Tahoma" w:hAnsi="Tahoma"/>
          <w:color w:val="F66400"/>
          <w:sz w:val="22"/>
        </w:rPr>
        <w:t>Office für Mac Standard 2011</w:t>
      </w:r>
      <w:bookmarkEnd w:id="986"/>
      <w:bookmarkEnd w:id="988"/>
      <w:r w:rsidRPr="00C83DF5">
        <w:rPr>
          <w:rFonts w:ascii="Tahoma" w:hAnsi="Tahoma"/>
          <w:color w:val="F66400"/>
          <w:sz w:val="22"/>
        </w:rPr>
        <w:t xml:space="preserve"> </w:t>
      </w:r>
      <w:bookmarkEnd w:id="987"/>
    </w:p>
    <w:p w:rsidR="00FD5FBA" w:rsidRPr="00C83DF5" w:rsidRDefault="00FD5FBA" w:rsidP="00AE5A9F"/>
    <w:p w:rsidR="00FD5FBA" w:rsidRPr="00C83DF5" w:rsidRDefault="00FD5FBA" w:rsidP="00346F4B">
      <w:pPr>
        <w:pStyle w:val="EndnoteText"/>
        <w:numPr>
          <w:ilvl w:val="0"/>
          <w:numId w:val="114"/>
        </w:numPr>
        <w:ind w:left="990"/>
        <w:rPr>
          <w:lang w:val="de-DE"/>
        </w:rPr>
      </w:pPr>
      <w:r w:rsidRPr="00C83DF5">
        <w:rPr>
          <w:rFonts w:ascii="Tahoma" w:hAnsi="Tahoma" w:cs="Tahoma"/>
          <w:sz w:val="18"/>
          <w:szCs w:val="20"/>
          <w:lang w:val="de-DE"/>
        </w:rPr>
        <w:t>Work at Home</w:t>
      </w:r>
      <w:r w:rsidR="00930EA3">
        <w:rPr>
          <w:rFonts w:ascii="Tahoma" w:hAnsi="Tahoma" w:cs="Tahoma"/>
          <w:sz w:val="18"/>
          <w:szCs w:val="20"/>
          <w:lang w:val="de-DE"/>
        </w:rPr>
        <w:t xml:space="preserve"> </w:t>
      </w:r>
      <w:r w:rsidRPr="00C83DF5">
        <w:rPr>
          <w:rFonts w:ascii="Tahoma" w:hAnsi="Tahoma" w:cs="Tahoma"/>
          <w:sz w:val="18"/>
          <w:szCs w:val="20"/>
          <w:lang w:val="de-DE"/>
        </w:rPr>
        <w:t xml:space="preserve">(WAH)-Lizenz für Kunden von Select </w:t>
      </w:r>
      <w:r w:rsidRPr="00C83DF5">
        <w:rPr>
          <w:rFonts w:ascii="Tahoma" w:hAnsi="Tahoma" w:cs="Tahoma"/>
          <w:sz w:val="18"/>
          <w:szCs w:val="18"/>
          <w:lang w:val="de-DE"/>
        </w:rPr>
        <w:t>und Select Plus</w:t>
      </w:r>
      <w:r w:rsidRPr="00C83DF5">
        <w:rPr>
          <w:rFonts w:ascii="Tahoma" w:hAnsi="Tahoma" w:cs="Tahoma"/>
          <w:sz w:val="18"/>
          <w:szCs w:val="20"/>
          <w:lang w:val="de-DE"/>
        </w:rPr>
        <w:t xml:space="preserve"> verfügbar </w:t>
      </w:r>
    </w:p>
    <w:p w:rsidR="00CA6122" w:rsidRPr="008B3D04" w:rsidRDefault="00CA6122" w:rsidP="00CA6122">
      <w:pPr>
        <w:adjustRightInd w:val="0"/>
        <w:ind w:left="720"/>
        <w:textAlignment w:val="baseline"/>
        <w:rPr>
          <w:rFonts w:cs="Tahoma"/>
          <w:szCs w:val="20"/>
          <w:u w:val="single"/>
          <w:lang w:val="de-DE"/>
        </w:rPr>
      </w:pPr>
    </w:p>
    <w:p w:rsidR="00864B8A" w:rsidRPr="00C83DF5" w:rsidRDefault="00704723" w:rsidP="00864B8A">
      <w:pPr>
        <w:spacing w:after="60"/>
        <w:ind w:left="720"/>
        <w:rPr>
          <w:lang w:val="de-DE"/>
        </w:rPr>
      </w:pPr>
      <w:r w:rsidRPr="00C83DF5">
        <w:rPr>
          <w:rFonts w:cs="Tahoma"/>
          <w:b/>
          <w:szCs w:val="20"/>
          <w:lang w:val="de-DE"/>
        </w:rPr>
        <w:t>Office für Mac Standard 2011</w:t>
      </w:r>
    </w:p>
    <w:p w:rsidR="00704723" w:rsidRPr="00C83DF5" w:rsidRDefault="00704723" w:rsidP="00864B8A">
      <w:pPr>
        <w:spacing w:after="60"/>
        <w:ind w:left="720"/>
        <w:rPr>
          <w:lang w:val="de-DE"/>
        </w:rPr>
      </w:pPr>
      <w:r w:rsidRPr="00C83DF5">
        <w:rPr>
          <w:rFonts w:cs="Tahoma"/>
          <w:szCs w:val="20"/>
          <w:lang w:val="de-DE"/>
        </w:rPr>
        <w:t xml:space="preserve">Eine Lizenz für Office für Mac Standard 2011 besteht aus Folgendem: Lync für Mac 2011, Excel für Mac 2011, Outlook für Mac 2011, </w:t>
      </w:r>
      <w:r w:rsidRPr="00C83DF5">
        <w:rPr>
          <w:rFonts w:cs="Tahoma"/>
          <w:lang w:val="de-DE"/>
        </w:rPr>
        <w:t>Office Home and Student RT 2013 Commercial Use,</w:t>
      </w:r>
      <w:r w:rsidRPr="00C83DF5">
        <w:rPr>
          <w:rFonts w:cs="Tahoma"/>
          <w:szCs w:val="20"/>
          <w:lang w:val="de-DE"/>
        </w:rPr>
        <w:t xml:space="preserve"> Office Web Apps 2010, PowerPoint für Mac 2011 und Word für Mac 2011.</w:t>
      </w:r>
    </w:p>
    <w:p w:rsidR="00CA6122" w:rsidRPr="008B3D04" w:rsidRDefault="00CA6122" w:rsidP="003A0D18">
      <w:pPr>
        <w:adjustRightInd w:val="0"/>
        <w:ind w:left="720"/>
        <w:textAlignment w:val="baseline"/>
        <w:rPr>
          <w:rFonts w:cs="Tahoma"/>
          <w:szCs w:val="20"/>
          <w:u w:val="single"/>
          <w:lang w:val="de-DE"/>
        </w:rPr>
      </w:pPr>
    </w:p>
    <w:p w:rsidR="00864B8A" w:rsidRPr="00C83DF5" w:rsidRDefault="00704723" w:rsidP="00864B8A">
      <w:pPr>
        <w:spacing w:after="60"/>
        <w:ind w:left="720"/>
        <w:rPr>
          <w:lang w:val="de-DE"/>
        </w:rPr>
      </w:pPr>
      <w:r w:rsidRPr="00C83DF5">
        <w:rPr>
          <w:rFonts w:cs="Tahoma"/>
          <w:b/>
          <w:szCs w:val="20"/>
          <w:lang w:val="de-DE"/>
        </w:rPr>
        <w:t>Untrennbarkeit von Microsoft Office für Mac Standard 2011</w:t>
      </w:r>
    </w:p>
    <w:p w:rsidR="00704723" w:rsidRPr="00C83DF5" w:rsidRDefault="00704723" w:rsidP="003A0D18">
      <w:pPr>
        <w:spacing w:after="60"/>
        <w:ind w:left="720"/>
        <w:rPr>
          <w:lang w:val="de-DE"/>
        </w:rPr>
      </w:pPr>
      <w:r w:rsidRPr="00C83DF5">
        <w:rPr>
          <w:rFonts w:cs="Tahoma"/>
          <w:szCs w:val="20"/>
          <w:lang w:val="de-DE"/>
        </w:rPr>
        <w:t>Office für Mac Standard 2011 besteht aus mehreren Produkten, die in einer Lizenz angeboten werden. Die</w:t>
      </w:r>
      <w:r w:rsidR="003A0D18">
        <w:rPr>
          <w:rFonts w:cs="Tahoma"/>
          <w:szCs w:val="20"/>
          <w:lang w:val="de-DE"/>
        </w:rPr>
        <w:t> </w:t>
      </w:r>
      <w:r w:rsidRPr="00C83DF5">
        <w:rPr>
          <w:rFonts w:cs="Tahoma"/>
          <w:szCs w:val="20"/>
          <w:lang w:val="de-DE"/>
        </w:rPr>
        <w:t>Software darf nicht zur Verwendung auf mehr als einem Computer getrennt werden.</w:t>
      </w:r>
    </w:p>
    <w:p w:rsidR="00CA6122" w:rsidRPr="00671A08" w:rsidRDefault="00CA6122" w:rsidP="00CA6122">
      <w:pPr>
        <w:adjustRightInd w:val="0"/>
        <w:ind w:left="720"/>
        <w:textAlignment w:val="baseline"/>
        <w:rPr>
          <w:rFonts w:cs="Tahoma"/>
          <w:szCs w:val="20"/>
          <w:u w:val="single"/>
          <w:lang w:val="de-DE"/>
        </w:rPr>
      </w:pPr>
    </w:p>
    <w:p w:rsidR="00704723" w:rsidRPr="00C83DF5" w:rsidRDefault="0035314F" w:rsidP="00864B8A">
      <w:pPr>
        <w:spacing w:after="60"/>
        <w:ind w:left="720"/>
        <w:rPr>
          <w:lang w:val="de-DE"/>
        </w:rPr>
      </w:pPr>
      <w:r w:rsidRPr="00C83DF5">
        <w:rPr>
          <w:rFonts w:cs="Tahoma"/>
          <w:b/>
          <w:szCs w:val="20"/>
          <w:lang w:val="de-DE"/>
        </w:rPr>
        <w:t>Rechte zur Verwendung von Lync für Mac 2011</w:t>
      </w:r>
    </w:p>
    <w:p w:rsidR="00CA6122" w:rsidRPr="00C83DF5" w:rsidRDefault="00F14B59" w:rsidP="00737831">
      <w:pPr>
        <w:adjustRightInd w:val="0"/>
        <w:ind w:left="720"/>
        <w:textAlignment w:val="baseline"/>
        <w:rPr>
          <w:lang w:val="de-DE"/>
        </w:rPr>
      </w:pPr>
      <w:r w:rsidRPr="00C83DF5">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rsidR="007631EF" w:rsidRPr="008B3D04" w:rsidRDefault="007631EF" w:rsidP="00671A08">
      <w:pPr>
        <w:pStyle w:val="FootnoteBulletLevel1"/>
        <w:tabs>
          <w:tab w:val="clear" w:pos="900"/>
          <w:tab w:val="num" w:pos="1080"/>
        </w:tabs>
        <w:spacing w:before="0" w:after="0"/>
        <w:ind w:left="0" w:firstLine="0"/>
        <w:rPr>
          <w:rFonts w:ascii="Tahoma" w:hAnsi="Tahoma" w:cs="Tahoma"/>
          <w:sz w:val="18"/>
          <w:u w:val="single"/>
          <w:lang w:val="de-DE"/>
        </w:rPr>
      </w:pPr>
    </w:p>
    <w:p w:rsidR="00697E59" w:rsidRPr="008B3D04" w:rsidRDefault="00697E59" w:rsidP="00671A08">
      <w:pPr>
        <w:pStyle w:val="FootnoteBulletLevel1"/>
        <w:tabs>
          <w:tab w:val="clear" w:pos="900"/>
          <w:tab w:val="num" w:pos="1080"/>
        </w:tabs>
        <w:spacing w:before="0" w:after="0"/>
        <w:ind w:left="0" w:firstLine="0"/>
        <w:rPr>
          <w:rFonts w:ascii="Tahoma" w:hAnsi="Tahoma" w:cs="Tahoma"/>
          <w:sz w:val="18"/>
          <w:u w:val="single"/>
          <w:lang w:val="de-DE"/>
        </w:rPr>
      </w:pPr>
      <w:bookmarkStart w:id="989" w:name="_Toc336338265"/>
    </w:p>
    <w:p w:rsidR="00671A08" w:rsidRPr="008B3D04" w:rsidRDefault="00671A08" w:rsidP="00671A08">
      <w:pPr>
        <w:pStyle w:val="FootnoteBulletLevel1"/>
        <w:tabs>
          <w:tab w:val="clear" w:pos="900"/>
          <w:tab w:val="num" w:pos="1080"/>
        </w:tabs>
        <w:spacing w:before="0" w:after="0"/>
        <w:ind w:left="0" w:firstLine="0"/>
        <w:rPr>
          <w:rFonts w:ascii="Tahoma" w:hAnsi="Tahoma" w:cs="Tahoma"/>
          <w:sz w:val="18"/>
          <w:u w:val="single"/>
          <w:lang w:val="de-DE"/>
        </w:rPr>
      </w:pPr>
    </w:p>
    <w:p w:rsidR="00671A08" w:rsidRPr="008B3D04" w:rsidRDefault="00671A08" w:rsidP="00671A08">
      <w:pPr>
        <w:pStyle w:val="FootnoteBulletLevel1"/>
        <w:tabs>
          <w:tab w:val="clear" w:pos="900"/>
          <w:tab w:val="num" w:pos="1080"/>
        </w:tabs>
        <w:spacing w:before="0" w:after="0"/>
        <w:ind w:left="0" w:firstLine="0"/>
        <w:rPr>
          <w:rFonts w:ascii="Tahoma" w:hAnsi="Tahoma" w:cs="Tahoma"/>
          <w:sz w:val="18"/>
          <w:u w:val="single"/>
          <w:lang w:val="de-DE"/>
        </w:rPr>
      </w:pPr>
    </w:p>
    <w:p w:rsidR="00671A08" w:rsidRPr="008B3D04" w:rsidRDefault="00671A08" w:rsidP="00671A08">
      <w:pPr>
        <w:pStyle w:val="FootnoteBulletLevel1"/>
        <w:tabs>
          <w:tab w:val="clear" w:pos="900"/>
          <w:tab w:val="num" w:pos="1080"/>
        </w:tabs>
        <w:spacing w:before="0" w:after="0"/>
        <w:ind w:left="0" w:firstLine="0"/>
        <w:rPr>
          <w:rFonts w:ascii="Tahoma" w:hAnsi="Tahoma" w:cs="Tahoma"/>
          <w:sz w:val="18"/>
          <w:u w:val="single"/>
          <w:lang w:val="de-DE"/>
        </w:rPr>
      </w:pPr>
    </w:p>
    <w:p w:rsidR="00671A08" w:rsidRPr="008B3D04" w:rsidRDefault="00671A08" w:rsidP="00671A08">
      <w:pPr>
        <w:pStyle w:val="FootnoteBulletLevel1"/>
        <w:tabs>
          <w:tab w:val="clear" w:pos="900"/>
          <w:tab w:val="num" w:pos="1080"/>
        </w:tabs>
        <w:spacing w:before="0" w:after="0"/>
        <w:ind w:left="0" w:firstLine="0"/>
        <w:rPr>
          <w:rFonts w:ascii="Tahoma" w:hAnsi="Tahoma" w:cs="Tahoma"/>
          <w:sz w:val="18"/>
          <w:u w:val="single"/>
          <w:lang w:val="de-DE"/>
        </w:rPr>
      </w:pPr>
    </w:p>
    <w:p w:rsidR="00671A08" w:rsidRPr="008B3D04" w:rsidRDefault="00671A08" w:rsidP="00671A08">
      <w:pPr>
        <w:pStyle w:val="FootnoteBulletLevel1"/>
        <w:tabs>
          <w:tab w:val="clear" w:pos="900"/>
          <w:tab w:val="num" w:pos="1080"/>
        </w:tabs>
        <w:spacing w:before="0" w:after="0"/>
        <w:ind w:left="0" w:firstLine="0"/>
        <w:rPr>
          <w:rFonts w:ascii="Tahoma" w:hAnsi="Tahoma" w:cs="Tahoma"/>
          <w:sz w:val="18"/>
          <w:u w:val="single"/>
          <w:lang w:val="de-DE"/>
        </w:rPr>
      </w:pPr>
    </w:p>
    <w:p w:rsidR="00023FE7" w:rsidRPr="00C83DF5" w:rsidRDefault="00A560B6">
      <w:pPr>
        <w:pStyle w:val="Heading3"/>
        <w:rPr>
          <w:lang w:val="de-DE"/>
        </w:rPr>
      </w:pPr>
      <w:bookmarkStart w:id="990" w:name="_5_Office_Multi-Language"/>
      <w:bookmarkStart w:id="991" w:name="_7_Office_Multi-Language"/>
      <w:bookmarkStart w:id="992" w:name="_87_Office_Multi-Language"/>
      <w:bookmarkStart w:id="993" w:name="_9_Office_Multi-Language"/>
      <w:bookmarkStart w:id="994" w:name="_10_Office_Multi-Language"/>
      <w:bookmarkStart w:id="995" w:name="Aps_8OffMultiLangPack07"/>
      <w:bookmarkStart w:id="996" w:name="Aps_6OfficeMultiLangPack2010"/>
      <w:bookmarkStart w:id="997" w:name="Aps_5OfficeMultiLangPack2010"/>
      <w:bookmarkStart w:id="998" w:name="_Toc370983376"/>
      <w:bookmarkEnd w:id="990"/>
      <w:bookmarkEnd w:id="991"/>
      <w:bookmarkEnd w:id="992"/>
      <w:bookmarkEnd w:id="993"/>
      <w:bookmarkEnd w:id="994"/>
      <w:r w:rsidRPr="00C83DF5">
        <w:rPr>
          <w:rFonts w:ascii="Tahoma" w:hAnsi="Tahoma"/>
          <w:caps/>
          <w:color w:val="F66400"/>
          <w:sz w:val="22"/>
          <w:vertAlign w:val="superscript"/>
          <w:lang w:val="de-DE"/>
        </w:rPr>
        <w:t>10</w:t>
      </w:r>
      <w:r w:rsidRPr="00C83DF5">
        <w:rPr>
          <w:rFonts w:ascii="Tahoma" w:hAnsi="Tahoma"/>
          <w:color w:val="F66400"/>
          <w:sz w:val="22"/>
          <w:lang w:val="de-DE"/>
        </w:rPr>
        <w:t xml:space="preserve"> Office Multi-Language Pack </w:t>
      </w:r>
      <w:bookmarkEnd w:id="989"/>
      <w:bookmarkEnd w:id="995"/>
      <w:bookmarkEnd w:id="996"/>
      <w:bookmarkEnd w:id="997"/>
      <w:r w:rsidRPr="00C83DF5">
        <w:rPr>
          <w:rFonts w:ascii="Tahoma" w:hAnsi="Tahoma"/>
          <w:color w:val="F66400"/>
          <w:sz w:val="22"/>
          <w:lang w:val="de-DE"/>
        </w:rPr>
        <w:t>2013</w:t>
      </w:r>
      <w:bookmarkEnd w:id="998"/>
    </w:p>
    <w:p w:rsidR="00023FE7" w:rsidRPr="008B3D04" w:rsidRDefault="00023FE7" w:rsidP="00AE5A9F">
      <w:pPr>
        <w:rPr>
          <w:rFonts w:cs="Tahoma"/>
          <w:lang w:val="de-DE"/>
        </w:rPr>
      </w:pPr>
    </w:p>
    <w:p w:rsidR="00223A77" w:rsidRPr="00C83DF5" w:rsidRDefault="0035314F" w:rsidP="00864B8A">
      <w:pPr>
        <w:spacing w:after="60"/>
        <w:ind w:left="720"/>
        <w:rPr>
          <w:lang w:val="de-DE"/>
        </w:rPr>
      </w:pPr>
      <w:r w:rsidRPr="00C83DF5">
        <w:rPr>
          <w:rFonts w:cs="Tahoma"/>
          <w:b/>
          <w:szCs w:val="20"/>
          <w:lang w:val="de-DE"/>
        </w:rPr>
        <w:t>Downgraderecht für Office Multi-Language Pack 2013</w:t>
      </w:r>
    </w:p>
    <w:p w:rsidR="00223A77" w:rsidRPr="00C83DF5" w:rsidRDefault="00223A77" w:rsidP="00CA6122">
      <w:pPr>
        <w:ind w:left="720"/>
        <w:rPr>
          <w:lang w:val="de-DE"/>
        </w:rPr>
      </w:pPr>
      <w:r w:rsidRPr="00C83DF5">
        <w:rPr>
          <w:rFonts w:cs="Tahoma"/>
          <w:szCs w:val="18"/>
          <w:lang w:val="de-DE"/>
        </w:rPr>
        <w:t>Kunden mit Volumenlizenzverträgen, die eine Lizenz für Office Multi-Language Pack 2013 sowie eine Lizenz für eines der folgenden Produkte umfassen:</w:t>
      </w:r>
    </w:p>
    <w:p w:rsidR="00C2130B" w:rsidRPr="008B3D04" w:rsidRDefault="00C2130B" w:rsidP="00CA6122">
      <w:pPr>
        <w:ind w:left="900"/>
        <w:rPr>
          <w:rFonts w:cs="Tahoma"/>
          <w:szCs w:val="18"/>
          <w:lang w:val="de-DE"/>
        </w:rPr>
      </w:pPr>
    </w:p>
    <w:p w:rsidR="00223A77" w:rsidRPr="00C83DF5" w:rsidRDefault="00223A77" w:rsidP="00CA6122">
      <w:pPr>
        <w:numPr>
          <w:ilvl w:val="0"/>
          <w:numId w:val="9"/>
        </w:numPr>
        <w:spacing w:after="60"/>
        <w:ind w:left="1440"/>
      </w:pPr>
      <w:r w:rsidRPr="00C83DF5">
        <w:rPr>
          <w:rFonts w:cs="Tahoma"/>
          <w:szCs w:val="18"/>
        </w:rPr>
        <w:t>Office Standard 2013</w:t>
      </w:r>
    </w:p>
    <w:p w:rsidR="00223A77" w:rsidRPr="00C83DF5" w:rsidRDefault="00223A77" w:rsidP="00CA6122">
      <w:pPr>
        <w:numPr>
          <w:ilvl w:val="0"/>
          <w:numId w:val="9"/>
        </w:numPr>
        <w:spacing w:after="60"/>
        <w:ind w:left="1440"/>
      </w:pPr>
      <w:r w:rsidRPr="00C83DF5">
        <w:rPr>
          <w:rFonts w:cs="Tahoma"/>
          <w:szCs w:val="18"/>
        </w:rPr>
        <w:t>Office Professional Plus 2013</w:t>
      </w:r>
    </w:p>
    <w:p w:rsidR="00223A77" w:rsidRPr="00C83DF5" w:rsidRDefault="00223A77" w:rsidP="00CA6122">
      <w:pPr>
        <w:numPr>
          <w:ilvl w:val="0"/>
          <w:numId w:val="9"/>
        </w:numPr>
        <w:spacing w:after="60"/>
        <w:ind w:left="1440"/>
      </w:pPr>
      <w:r w:rsidRPr="00C83DF5">
        <w:rPr>
          <w:rFonts w:cs="Tahoma"/>
          <w:szCs w:val="18"/>
        </w:rPr>
        <w:t>Project Standard 2013</w:t>
      </w:r>
    </w:p>
    <w:p w:rsidR="00223A77" w:rsidRPr="00C83DF5" w:rsidRDefault="00223A77" w:rsidP="00CA6122">
      <w:pPr>
        <w:numPr>
          <w:ilvl w:val="0"/>
          <w:numId w:val="9"/>
        </w:numPr>
        <w:spacing w:after="60"/>
        <w:ind w:left="1440"/>
      </w:pPr>
      <w:r w:rsidRPr="00C83DF5">
        <w:rPr>
          <w:rFonts w:cs="Tahoma"/>
          <w:szCs w:val="18"/>
        </w:rPr>
        <w:t>Project Professional 2013</w:t>
      </w:r>
    </w:p>
    <w:p w:rsidR="00223A77" w:rsidRPr="00C83DF5" w:rsidRDefault="00223A77" w:rsidP="00CA6122">
      <w:pPr>
        <w:numPr>
          <w:ilvl w:val="0"/>
          <w:numId w:val="9"/>
        </w:numPr>
        <w:spacing w:after="60"/>
        <w:ind w:left="1440"/>
      </w:pPr>
      <w:r w:rsidRPr="00C83DF5">
        <w:rPr>
          <w:rFonts w:cs="Tahoma"/>
          <w:szCs w:val="18"/>
        </w:rPr>
        <w:t>Visio Standard 2013</w:t>
      </w:r>
    </w:p>
    <w:p w:rsidR="00223A77" w:rsidRPr="00C83DF5" w:rsidRDefault="00223A77" w:rsidP="00CA6122">
      <w:pPr>
        <w:numPr>
          <w:ilvl w:val="0"/>
          <w:numId w:val="9"/>
        </w:numPr>
        <w:spacing w:after="60"/>
        <w:ind w:left="1440"/>
      </w:pPr>
      <w:r w:rsidRPr="00C83DF5">
        <w:rPr>
          <w:rFonts w:cs="Tahoma"/>
          <w:szCs w:val="18"/>
        </w:rPr>
        <w:t>Visio Professional 2013</w:t>
      </w:r>
    </w:p>
    <w:p w:rsidR="00223A77" w:rsidRPr="00671A08" w:rsidRDefault="00223A77" w:rsidP="00CA6122">
      <w:pPr>
        <w:ind w:left="1260"/>
        <w:rPr>
          <w:rFonts w:cs="Tahoma"/>
          <w:szCs w:val="18"/>
        </w:rPr>
      </w:pPr>
    </w:p>
    <w:p w:rsidR="00223A77" w:rsidRPr="00C83DF5" w:rsidRDefault="00223A77" w:rsidP="00CA6122">
      <w:pPr>
        <w:ind w:left="720"/>
        <w:rPr>
          <w:lang w:val="de-DE"/>
        </w:rPr>
      </w:pPr>
      <w:r w:rsidRPr="00C83DF5">
        <w:rPr>
          <w:rFonts w:cs="Tahoma"/>
          <w:szCs w:val="18"/>
          <w:lang w:val="de-DE"/>
        </w:rPr>
        <w:t>besitzen, sind berechtigt, die englische/mehrsprachige Version einer Downgradeversion des Produktes anstatt der lizenzierten Version zu nutzen</w:t>
      </w:r>
      <w:r w:rsidRPr="00C83DF5">
        <w:rPr>
          <w:rFonts w:cs="Tahoma"/>
          <w:i/>
          <w:iCs/>
          <w:szCs w:val="18"/>
          <w:lang w:val="de-DE"/>
        </w:rPr>
        <w:t>.</w:t>
      </w:r>
      <w:r w:rsidRPr="00C83DF5">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rsidR="00CA6122" w:rsidRPr="008B3D04" w:rsidRDefault="00CA6122" w:rsidP="00671A08">
      <w:pPr>
        <w:pStyle w:val="FootnoteBulletLevel1"/>
        <w:tabs>
          <w:tab w:val="clear" w:pos="900"/>
          <w:tab w:val="num" w:pos="1080"/>
        </w:tabs>
        <w:spacing w:before="0" w:after="0"/>
        <w:ind w:left="0" w:firstLine="0"/>
        <w:rPr>
          <w:rFonts w:ascii="Tahoma" w:hAnsi="Tahoma" w:cs="Tahoma"/>
          <w:sz w:val="18"/>
          <w:u w:val="single"/>
          <w:lang w:val="de-DE"/>
        </w:rPr>
      </w:pPr>
      <w:bookmarkStart w:id="999" w:name="_Toc336338266"/>
      <w:bookmarkStart w:id="1000" w:name="Aps_9OffProPlus07forWin"/>
      <w:bookmarkStart w:id="1001" w:name="Aps_7OfficeProPlus2010"/>
      <w:bookmarkStart w:id="1002" w:name="Aps_6OfficeProPlus2010"/>
    </w:p>
    <w:p w:rsidR="00CA6122" w:rsidRPr="008B3D04" w:rsidRDefault="00CA6122" w:rsidP="00671A08">
      <w:pPr>
        <w:pStyle w:val="FootnoteBulletLevel1"/>
        <w:tabs>
          <w:tab w:val="clear" w:pos="900"/>
          <w:tab w:val="num" w:pos="1080"/>
        </w:tabs>
        <w:spacing w:before="0" w:after="0"/>
        <w:ind w:left="0" w:firstLine="0"/>
        <w:rPr>
          <w:rFonts w:ascii="Tahoma" w:hAnsi="Tahoma" w:cs="Tahoma"/>
          <w:sz w:val="18"/>
          <w:u w:val="single"/>
          <w:lang w:val="de-DE"/>
        </w:rPr>
      </w:pPr>
    </w:p>
    <w:p w:rsidR="00023FE7" w:rsidRPr="00C83DF5" w:rsidRDefault="00A560B6">
      <w:pPr>
        <w:pStyle w:val="Heading3"/>
      </w:pPr>
      <w:bookmarkStart w:id="1003" w:name="_98_Office_Professional"/>
      <w:bookmarkStart w:id="1004" w:name="_10_Office_Professional"/>
      <w:bookmarkStart w:id="1005" w:name="_11_Office_Professional"/>
      <w:bookmarkStart w:id="1006" w:name="_Toc370983377"/>
      <w:bookmarkEnd w:id="1003"/>
      <w:bookmarkEnd w:id="1004"/>
      <w:bookmarkEnd w:id="1005"/>
      <w:r w:rsidRPr="00C83DF5">
        <w:rPr>
          <w:rFonts w:ascii="Tahoma" w:hAnsi="Tahoma"/>
          <w:caps/>
          <w:color w:val="F66400"/>
          <w:sz w:val="22"/>
          <w:vertAlign w:val="superscript"/>
        </w:rPr>
        <w:t>11</w:t>
      </w:r>
      <w:r w:rsidRPr="00C83DF5">
        <w:rPr>
          <w:rFonts w:ascii="Tahoma" w:hAnsi="Tahoma"/>
          <w:color w:val="F66400"/>
          <w:sz w:val="22"/>
        </w:rPr>
        <w:t xml:space="preserve"> Office Professional Plus </w:t>
      </w:r>
      <w:bookmarkEnd w:id="999"/>
      <w:r w:rsidRPr="00C83DF5">
        <w:rPr>
          <w:rFonts w:ascii="Tahoma" w:hAnsi="Tahoma"/>
          <w:color w:val="F66400"/>
          <w:sz w:val="22"/>
        </w:rPr>
        <w:t>2013</w:t>
      </w:r>
      <w:bookmarkEnd w:id="1006"/>
    </w:p>
    <w:bookmarkEnd w:id="1000"/>
    <w:bookmarkEnd w:id="1001"/>
    <w:bookmarkEnd w:id="1002"/>
    <w:p w:rsidR="00023FE7" w:rsidRPr="00671A08" w:rsidRDefault="00023FE7" w:rsidP="00AE5A9F">
      <w:pPr>
        <w:rPr>
          <w:rFonts w:cs="Tahoma"/>
        </w:rPr>
      </w:pPr>
    </w:p>
    <w:p w:rsidR="00223A77" w:rsidRPr="00C83DF5" w:rsidRDefault="00223A77" w:rsidP="00346F4B">
      <w:pPr>
        <w:pStyle w:val="EndnoteText"/>
        <w:numPr>
          <w:ilvl w:val="0"/>
          <w:numId w:val="114"/>
        </w:numPr>
        <w:ind w:left="1080"/>
        <w:rPr>
          <w:lang w:val="de-DE"/>
        </w:rPr>
      </w:pPr>
      <w:r w:rsidRPr="00C83DF5">
        <w:rPr>
          <w:rFonts w:ascii="Tahoma" w:hAnsi="Tahoma" w:cs="Tahoma"/>
          <w:sz w:val="18"/>
          <w:szCs w:val="20"/>
          <w:lang w:val="de-DE"/>
        </w:rPr>
        <w:t>Work at Home</w:t>
      </w:r>
      <w:r w:rsidR="0013504C">
        <w:rPr>
          <w:rFonts w:ascii="Tahoma" w:hAnsi="Tahoma" w:cs="Tahoma"/>
          <w:sz w:val="18"/>
          <w:szCs w:val="20"/>
          <w:lang w:val="de-DE"/>
        </w:rPr>
        <w:t xml:space="preserve"> </w:t>
      </w:r>
      <w:r w:rsidRPr="00C83DF5">
        <w:rPr>
          <w:rFonts w:ascii="Tahoma" w:hAnsi="Tahoma" w:cs="Tahoma"/>
          <w:sz w:val="18"/>
          <w:szCs w:val="20"/>
          <w:lang w:val="de-DE"/>
        </w:rPr>
        <w:t xml:space="preserve">(WAH)-Lizenz für Kunden von Select </w:t>
      </w:r>
      <w:r w:rsidRPr="00C83DF5">
        <w:rPr>
          <w:rFonts w:ascii="Tahoma" w:hAnsi="Tahoma" w:cs="Tahoma"/>
          <w:sz w:val="18"/>
          <w:szCs w:val="18"/>
          <w:lang w:val="de-DE"/>
        </w:rPr>
        <w:t>und Select Plus</w:t>
      </w:r>
      <w:r w:rsidRPr="00C83DF5">
        <w:rPr>
          <w:rFonts w:ascii="Tahoma" w:hAnsi="Tahoma" w:cs="Tahoma"/>
          <w:sz w:val="18"/>
          <w:szCs w:val="20"/>
          <w:lang w:val="de-DE"/>
        </w:rPr>
        <w:t xml:space="preserve"> verfügbar </w:t>
      </w:r>
    </w:p>
    <w:p w:rsidR="00223A77" w:rsidRPr="00C83DF5" w:rsidRDefault="00223A77" w:rsidP="00346F4B">
      <w:pPr>
        <w:pStyle w:val="EndnoteText"/>
        <w:numPr>
          <w:ilvl w:val="0"/>
          <w:numId w:val="114"/>
        </w:numPr>
        <w:ind w:left="1080"/>
        <w:rPr>
          <w:lang w:val="de-DE"/>
        </w:rPr>
      </w:pPr>
      <w:r w:rsidRPr="00C83DF5">
        <w:rPr>
          <w:rFonts w:ascii="Tahoma" w:hAnsi="Tahoma" w:cs="Tahoma"/>
          <w:sz w:val="18"/>
          <w:szCs w:val="20"/>
          <w:lang w:val="de-DE"/>
        </w:rPr>
        <w:t>Work-at-Home-</w:t>
      </w:r>
      <w:r w:rsidR="0013504C">
        <w:rPr>
          <w:rFonts w:ascii="Tahoma" w:hAnsi="Tahoma" w:cs="Tahoma"/>
          <w:sz w:val="18"/>
          <w:szCs w:val="20"/>
          <w:lang w:val="de-DE"/>
        </w:rPr>
        <w:t xml:space="preserve"> </w:t>
      </w:r>
      <w:r w:rsidRPr="00C83DF5">
        <w:rPr>
          <w:rFonts w:ascii="Tahoma" w:hAnsi="Tahoma" w:cs="Tahoma"/>
          <w:sz w:val="18"/>
          <w:szCs w:val="20"/>
          <w:lang w:val="de-DE"/>
        </w:rPr>
        <w:t>(WAH)-Lizenz für Kunden mit Konzernvertrag verfügbar</w:t>
      </w:r>
    </w:p>
    <w:p w:rsidR="00223A77" w:rsidRPr="00C83DF5" w:rsidRDefault="00223A77" w:rsidP="00D16C5F">
      <w:pPr>
        <w:pStyle w:val="FootnoteBulletLevel1"/>
        <w:tabs>
          <w:tab w:val="clear" w:pos="900"/>
        </w:tabs>
        <w:spacing w:before="0" w:after="0"/>
        <w:ind w:left="720" w:firstLine="0"/>
        <w:rPr>
          <w:lang w:val="de-DE"/>
        </w:rPr>
      </w:pPr>
    </w:p>
    <w:p w:rsidR="00864B8A" w:rsidRPr="00C83DF5" w:rsidRDefault="00223A77" w:rsidP="00864B8A">
      <w:pPr>
        <w:spacing w:after="60"/>
        <w:ind w:left="720"/>
        <w:rPr>
          <w:lang w:val="de-DE"/>
        </w:rPr>
      </w:pPr>
      <w:r w:rsidRPr="00C83DF5">
        <w:rPr>
          <w:rFonts w:cs="Tahoma"/>
          <w:b/>
          <w:lang w:val="de-DE"/>
        </w:rPr>
        <w:t>Office Professional Plus 2013</w:t>
      </w:r>
    </w:p>
    <w:p w:rsidR="00223A77" w:rsidRPr="00C83DF5" w:rsidRDefault="00223A77" w:rsidP="00864B8A">
      <w:pPr>
        <w:spacing w:after="60"/>
        <w:ind w:left="720"/>
        <w:rPr>
          <w:lang w:val="de-DE"/>
        </w:rPr>
      </w:pPr>
      <w:r w:rsidRPr="00C83DF5">
        <w:rPr>
          <w:rFonts w:cs="Tahoma"/>
          <w:lang w:val="de-DE"/>
        </w:rPr>
        <w:t>Eine Lizenz für Office Professional Plus 2013 besteht aus Folgendem: Access 2013, Lync 2013, Excel 2013,</w:t>
      </w:r>
      <w:r w:rsidRPr="00C83DF5">
        <w:rPr>
          <w:rFonts w:cs="Tahoma"/>
          <w:highlight w:val="yellow"/>
          <w:lang w:val="de-DE"/>
        </w:rPr>
        <w:t xml:space="preserve"> </w:t>
      </w:r>
      <w:r w:rsidRPr="00C83DF5">
        <w:rPr>
          <w:rFonts w:cs="Tahoma"/>
          <w:lang w:val="de-DE"/>
        </w:rPr>
        <w:t>InfoPath 2013, OneNote 2013, Outlook 2013, Office Home and Student RT 2013 Commercial Use, Office Web Apps, PowerPoint 2013, Publisher 2013 und Word 2013.</w:t>
      </w:r>
    </w:p>
    <w:p w:rsidR="00973A93" w:rsidRPr="008B3D04" w:rsidRDefault="00973A93">
      <w:pPr>
        <w:rPr>
          <w:rFonts w:cs="Tahoma"/>
          <w:lang w:val="de-DE"/>
        </w:rPr>
      </w:pPr>
    </w:p>
    <w:p w:rsidR="00223A77" w:rsidRPr="00C83DF5" w:rsidRDefault="00223A77" w:rsidP="00AF1D88">
      <w:pPr>
        <w:keepNext/>
        <w:spacing w:after="60"/>
        <w:ind w:left="720"/>
        <w:rPr>
          <w:lang w:val="de-DE"/>
        </w:rPr>
      </w:pPr>
      <w:r w:rsidRPr="00C83DF5">
        <w:rPr>
          <w:rFonts w:cs="Tahoma"/>
          <w:b/>
          <w:lang w:val="de-DE"/>
        </w:rPr>
        <w:t>Untrennbarkeit von Office Professional Plus 2013</w:t>
      </w:r>
    </w:p>
    <w:p w:rsidR="00223A77" w:rsidRPr="00C83DF5" w:rsidRDefault="00223A77" w:rsidP="00D16C5F">
      <w:pPr>
        <w:pStyle w:val="FootnoteBulletLevel1"/>
        <w:tabs>
          <w:tab w:val="clear" w:pos="900"/>
        </w:tabs>
        <w:spacing w:before="0" w:after="0"/>
        <w:ind w:left="720" w:firstLine="0"/>
        <w:rPr>
          <w:lang w:val="de-DE"/>
        </w:rPr>
      </w:pPr>
      <w:r w:rsidRPr="00C83DF5">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rsidR="00952A87" w:rsidRPr="008B3D04" w:rsidRDefault="00952A87" w:rsidP="00D16C5F">
      <w:pPr>
        <w:ind w:left="720"/>
        <w:rPr>
          <w:rFonts w:cs="Tahoma"/>
          <w:lang w:val="de-DE"/>
        </w:rPr>
      </w:pPr>
    </w:p>
    <w:p w:rsidR="00952A87" w:rsidRPr="00C83DF5" w:rsidRDefault="00952A87" w:rsidP="00864B8A">
      <w:pPr>
        <w:spacing w:after="60"/>
        <w:ind w:left="720"/>
        <w:rPr>
          <w:lang w:val="de-DE"/>
        </w:rPr>
      </w:pPr>
      <w:r w:rsidRPr="00C83DF5">
        <w:rPr>
          <w:rFonts w:cs="Tahoma"/>
          <w:b/>
          <w:lang w:val="de-DE"/>
        </w:rPr>
        <w:t>Campus- und School-Vertrag</w:t>
      </w:r>
    </w:p>
    <w:p w:rsidR="00001A9A" w:rsidRPr="00C83DF5" w:rsidRDefault="00952A87" w:rsidP="00671A08">
      <w:pPr>
        <w:ind w:left="720"/>
        <w:rPr>
          <w:lang w:val="de-DE"/>
        </w:rPr>
      </w:pPr>
      <w:r w:rsidRPr="00C83DF5">
        <w:rPr>
          <w:rFonts w:eastAsia="Calibri" w:cs="Tahoma"/>
          <w:iCs/>
          <w:color w:val="000000"/>
          <w:szCs w:val="18"/>
          <w:lang w:val="de-DE"/>
        </w:rP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w:t>
      </w:r>
      <w:r w:rsidR="00E71F46" w:rsidRPr="00C83DF5">
        <w:rPr>
          <w:rFonts w:eastAsia="Calibri" w:cs="Tahoma"/>
          <w:iCs/>
          <w:color w:val="000000"/>
          <w:szCs w:val="18"/>
          <w:lang w:val="de-DE"/>
        </w:rPr>
        <w:t xml:space="preserve"> </w:t>
      </w:r>
      <w:r w:rsidRPr="00C83DF5">
        <w:rPr>
          <w:rFonts w:eastAsia="Calibri" w:cs="Tahoma"/>
          <w:iCs/>
          <w:color w:val="000000"/>
          <w:szCs w:val="18"/>
          <w:lang w:val="de-DE"/>
        </w:rPr>
        <w:t>Die Nutzung der</w:t>
      </w:r>
      <w:r w:rsidR="00671A08">
        <w:rPr>
          <w:rFonts w:eastAsia="Calibri" w:cs="Tahoma"/>
          <w:iCs/>
          <w:color w:val="000000"/>
          <w:szCs w:val="18"/>
          <w:lang w:val="de-DE"/>
        </w:rPr>
        <w:t> </w:t>
      </w:r>
      <w:r w:rsidRPr="00C83DF5">
        <w:rPr>
          <w:rFonts w:eastAsia="Calibri" w:cs="Tahoma"/>
          <w:iCs/>
          <w:color w:val="000000"/>
          <w:szCs w:val="18"/>
          <w:lang w:val="de-DE"/>
        </w:rPr>
        <w:t>Software unterliegt ansonsten den Lizenzbestimmungen für Office Professional Plus 2013.</w:t>
      </w:r>
    </w:p>
    <w:p w:rsidR="00952A87" w:rsidRPr="008B3D04" w:rsidRDefault="00952A87" w:rsidP="00D16C5F">
      <w:pPr>
        <w:rPr>
          <w:rFonts w:cs="Tahoma"/>
          <w:color w:val="000000"/>
          <w:szCs w:val="18"/>
          <w:lang w:val="de-DE"/>
        </w:rPr>
      </w:pPr>
    </w:p>
    <w:p w:rsidR="00133069" w:rsidRPr="008B3D04" w:rsidRDefault="00133069" w:rsidP="00133069">
      <w:pPr>
        <w:rPr>
          <w:rFonts w:cs="Tahoma"/>
          <w:color w:val="000000"/>
          <w:szCs w:val="18"/>
          <w:lang w:val="de-DE"/>
        </w:rPr>
      </w:pPr>
    </w:p>
    <w:p w:rsidR="00223A77" w:rsidRPr="00C83DF5" w:rsidRDefault="00A560B6" w:rsidP="00223A77">
      <w:pPr>
        <w:pStyle w:val="Heading3"/>
      </w:pPr>
      <w:bookmarkStart w:id="1007" w:name="_109_Office_Standard"/>
      <w:bookmarkStart w:id="1008" w:name="_11_Office_Standard"/>
      <w:bookmarkStart w:id="1009" w:name="_12_Office_Standard"/>
      <w:bookmarkStart w:id="1010" w:name="Aps_OfficeStandard2010"/>
      <w:bookmarkStart w:id="1011" w:name="_Toc254806115"/>
      <w:bookmarkStart w:id="1012" w:name="_Toc328146032"/>
      <w:bookmarkStart w:id="1013" w:name="Aps_7OfficeStandard2010"/>
      <w:bookmarkStart w:id="1014" w:name="_Toc336338268"/>
      <w:bookmarkStart w:id="1015" w:name="_Toc370983378"/>
      <w:bookmarkEnd w:id="1007"/>
      <w:bookmarkEnd w:id="1008"/>
      <w:bookmarkEnd w:id="1009"/>
      <w:r w:rsidRPr="00C83DF5">
        <w:rPr>
          <w:rFonts w:ascii="Tahoma" w:hAnsi="Tahoma"/>
          <w:caps/>
          <w:color w:val="F66400"/>
          <w:sz w:val="22"/>
          <w:vertAlign w:val="superscript"/>
        </w:rPr>
        <w:t>12</w:t>
      </w:r>
      <w:r w:rsidRPr="00C83DF5">
        <w:rPr>
          <w:rFonts w:ascii="Tahoma" w:hAnsi="Tahoma"/>
          <w:color w:val="F66400"/>
          <w:sz w:val="22"/>
        </w:rPr>
        <w:t xml:space="preserve"> Office Standard </w:t>
      </w:r>
      <w:bookmarkEnd w:id="1010"/>
      <w:bookmarkEnd w:id="1011"/>
      <w:bookmarkEnd w:id="1012"/>
      <w:r w:rsidRPr="00C83DF5">
        <w:rPr>
          <w:rFonts w:ascii="Tahoma" w:hAnsi="Tahoma"/>
          <w:color w:val="F66400"/>
          <w:sz w:val="22"/>
        </w:rPr>
        <w:t>2013</w:t>
      </w:r>
      <w:bookmarkEnd w:id="1015"/>
    </w:p>
    <w:bookmarkEnd w:id="1013"/>
    <w:p w:rsidR="00223A77" w:rsidRPr="00C83DF5" w:rsidRDefault="00223A77" w:rsidP="00AE5A9F"/>
    <w:p w:rsidR="00223A77" w:rsidRPr="00C83DF5" w:rsidRDefault="00223A77" w:rsidP="00346F4B">
      <w:pPr>
        <w:pStyle w:val="EndnoteText"/>
        <w:numPr>
          <w:ilvl w:val="3"/>
          <w:numId w:val="81"/>
        </w:numPr>
        <w:ind w:left="990"/>
        <w:rPr>
          <w:lang w:val="de-DE"/>
        </w:rPr>
      </w:pPr>
      <w:r w:rsidRPr="00C83DF5">
        <w:rPr>
          <w:rFonts w:ascii="Tahoma" w:hAnsi="Tahoma" w:cs="Tahoma"/>
          <w:sz w:val="18"/>
          <w:szCs w:val="20"/>
          <w:lang w:val="de-DE"/>
        </w:rPr>
        <w:t>Work at Home</w:t>
      </w:r>
      <w:r w:rsidR="0013504C">
        <w:rPr>
          <w:rFonts w:ascii="Tahoma" w:hAnsi="Tahoma" w:cs="Tahoma"/>
          <w:sz w:val="18"/>
          <w:szCs w:val="20"/>
          <w:lang w:val="de-DE"/>
        </w:rPr>
        <w:t xml:space="preserve"> </w:t>
      </w:r>
      <w:r w:rsidRPr="00C83DF5">
        <w:rPr>
          <w:rFonts w:ascii="Tahoma" w:hAnsi="Tahoma" w:cs="Tahoma"/>
          <w:sz w:val="18"/>
          <w:szCs w:val="20"/>
          <w:lang w:val="de-DE"/>
        </w:rPr>
        <w:t>(WAH)-Lize</w:t>
      </w:r>
      <w:r w:rsidRPr="00C83DF5">
        <w:rPr>
          <w:rFonts w:ascii="Tahoma" w:hAnsi="Tahoma" w:cs="Tahoma"/>
          <w:sz w:val="18"/>
          <w:lang w:val="de-DE"/>
        </w:rPr>
        <w:t xml:space="preserve">nz für Kunden von Select </w:t>
      </w:r>
      <w:r w:rsidRPr="00C83DF5">
        <w:rPr>
          <w:rFonts w:ascii="Tahoma" w:hAnsi="Tahoma" w:cs="Tahoma"/>
          <w:lang w:val="de-DE"/>
        </w:rPr>
        <w:t>und Select Plus</w:t>
      </w:r>
      <w:r w:rsidRPr="00C83DF5">
        <w:rPr>
          <w:rFonts w:ascii="Tahoma" w:hAnsi="Tahoma" w:cs="Tahoma"/>
          <w:sz w:val="18"/>
          <w:lang w:val="de-DE"/>
        </w:rPr>
        <w:t xml:space="preserve"> verfügbar </w:t>
      </w:r>
    </w:p>
    <w:p w:rsidR="00223A77" w:rsidRPr="00C83DF5" w:rsidRDefault="00223A77" w:rsidP="00346F4B">
      <w:pPr>
        <w:pStyle w:val="EndnoteText"/>
        <w:numPr>
          <w:ilvl w:val="3"/>
          <w:numId w:val="81"/>
        </w:numPr>
        <w:ind w:left="990"/>
        <w:rPr>
          <w:lang w:val="de-DE"/>
        </w:rPr>
      </w:pPr>
      <w:r w:rsidRPr="00C83DF5">
        <w:rPr>
          <w:rFonts w:ascii="Tahoma" w:hAnsi="Tahoma" w:cs="Tahoma"/>
          <w:sz w:val="18"/>
          <w:lang w:val="de-DE"/>
        </w:rPr>
        <w:t>Work-at-Home-</w:t>
      </w:r>
      <w:r w:rsidR="0013504C">
        <w:rPr>
          <w:rFonts w:ascii="Tahoma" w:hAnsi="Tahoma" w:cs="Tahoma"/>
          <w:sz w:val="18"/>
          <w:lang w:val="de-DE"/>
        </w:rPr>
        <w:t xml:space="preserve"> </w:t>
      </w:r>
      <w:r w:rsidRPr="00C83DF5">
        <w:rPr>
          <w:rFonts w:ascii="Tahoma" w:hAnsi="Tahoma" w:cs="Tahoma"/>
          <w:sz w:val="18"/>
          <w:lang w:val="de-DE"/>
        </w:rPr>
        <w:t>(WAH)-Lizenz für Kunden mit Konzernvertrag verfügbar</w:t>
      </w:r>
    </w:p>
    <w:p w:rsidR="00223A77" w:rsidRPr="008B3D04" w:rsidRDefault="00223A77" w:rsidP="00DF0E39">
      <w:pPr>
        <w:pStyle w:val="FootnoteBulletLevel1"/>
        <w:tabs>
          <w:tab w:val="clear" w:pos="900"/>
        </w:tabs>
        <w:spacing w:before="0" w:after="0"/>
        <w:ind w:left="720" w:firstLine="0"/>
        <w:rPr>
          <w:rFonts w:ascii="Tahoma" w:hAnsi="Tahoma" w:cs="Tahoma"/>
          <w:sz w:val="18"/>
          <w:u w:val="single"/>
          <w:lang w:val="de-DE"/>
        </w:rPr>
      </w:pPr>
    </w:p>
    <w:p w:rsidR="00864B8A" w:rsidRPr="00767765" w:rsidRDefault="00223A77" w:rsidP="00864B8A">
      <w:pPr>
        <w:spacing w:after="60"/>
        <w:ind w:left="720"/>
      </w:pPr>
      <w:r w:rsidRPr="00767765">
        <w:rPr>
          <w:rFonts w:cs="Tahoma"/>
          <w:b/>
        </w:rPr>
        <w:t>Office Standard 2013</w:t>
      </w:r>
    </w:p>
    <w:p w:rsidR="00223A77" w:rsidRPr="00767765" w:rsidRDefault="00223A77" w:rsidP="004424D6">
      <w:pPr>
        <w:pStyle w:val="FootnoteBulletLevel1"/>
        <w:tabs>
          <w:tab w:val="clear" w:pos="900"/>
        </w:tabs>
        <w:spacing w:before="0" w:after="0"/>
        <w:ind w:left="720" w:firstLine="0"/>
      </w:pPr>
      <w:r w:rsidRPr="00767765">
        <w:rPr>
          <w:rFonts w:ascii="Tahoma" w:hAnsi="Tahoma" w:cs="Tahoma"/>
          <w:sz w:val="18"/>
        </w:rPr>
        <w:t>Eine Lizenz für Office Standard 2013 besteht aus Folgendem: Excel 2013, OneNote 2013, Outlook 2013,</w:t>
      </w:r>
      <w:r w:rsidRPr="00767765">
        <w:rPr>
          <w:rFonts w:cs="Tahoma"/>
        </w:rPr>
        <w:t xml:space="preserve"> Office Home and Student RT 2013 Commercial Use,</w:t>
      </w:r>
      <w:r w:rsidRPr="00767765">
        <w:rPr>
          <w:rFonts w:ascii="Tahoma" w:hAnsi="Tahoma" w:cs="Tahoma"/>
          <w:sz w:val="18"/>
        </w:rPr>
        <w:t xml:space="preserve"> Office Web Apps, PowerPoint 2013, Publisher</w:t>
      </w:r>
      <w:r w:rsidR="004424D6" w:rsidRPr="00767765">
        <w:rPr>
          <w:rFonts w:ascii="Tahoma" w:hAnsi="Tahoma" w:cs="Tahoma"/>
          <w:sz w:val="18"/>
        </w:rPr>
        <w:t> </w:t>
      </w:r>
      <w:r w:rsidRPr="00767765">
        <w:rPr>
          <w:rFonts w:ascii="Tahoma" w:hAnsi="Tahoma" w:cs="Tahoma"/>
          <w:sz w:val="18"/>
        </w:rPr>
        <w:t>2013 und Word 2013.</w:t>
      </w:r>
    </w:p>
    <w:p w:rsidR="00DF0E39" w:rsidRPr="00767765" w:rsidRDefault="00DF0E39" w:rsidP="00DF0E39">
      <w:pPr>
        <w:pStyle w:val="FootnoteBulletLevel1"/>
        <w:tabs>
          <w:tab w:val="clear" w:pos="900"/>
        </w:tabs>
        <w:spacing w:before="0" w:after="0"/>
        <w:ind w:left="720" w:firstLine="0"/>
        <w:rPr>
          <w:rFonts w:ascii="Tahoma" w:hAnsi="Tahoma" w:cs="Tahoma"/>
          <w:sz w:val="18"/>
        </w:rPr>
      </w:pPr>
    </w:p>
    <w:p w:rsidR="00864B8A" w:rsidRPr="00C83DF5" w:rsidRDefault="00223A77" w:rsidP="00864B8A">
      <w:pPr>
        <w:spacing w:after="60"/>
        <w:ind w:left="720"/>
        <w:rPr>
          <w:lang w:val="de-DE"/>
        </w:rPr>
      </w:pPr>
      <w:r w:rsidRPr="00C83DF5">
        <w:rPr>
          <w:rFonts w:cs="Tahoma"/>
          <w:b/>
          <w:lang w:val="de-DE"/>
        </w:rPr>
        <w:t>Untrennbarkeit von Microsoft Office Standard 2013</w:t>
      </w:r>
    </w:p>
    <w:p w:rsidR="00223A77" w:rsidRPr="00C83DF5" w:rsidRDefault="00223A77" w:rsidP="004424D6">
      <w:pPr>
        <w:spacing w:after="60"/>
        <w:ind w:left="720"/>
        <w:rPr>
          <w:lang w:val="de-DE"/>
        </w:rPr>
      </w:pPr>
      <w:r w:rsidRPr="00C83DF5">
        <w:rPr>
          <w:rFonts w:cs="Tahoma"/>
          <w:lang w:val="de-DE"/>
        </w:rPr>
        <w:t>Office Standard 2013 besteht aus mehreren Produkten, die in einer Lizenz angeboten werden. Die</w:t>
      </w:r>
      <w:r w:rsidR="004424D6">
        <w:rPr>
          <w:rFonts w:cs="Tahoma"/>
          <w:lang w:val="de-DE"/>
        </w:rPr>
        <w:t> </w:t>
      </w:r>
      <w:r w:rsidRPr="00C83DF5">
        <w:rPr>
          <w:rFonts w:cs="Tahoma"/>
          <w:lang w:val="de-DE"/>
        </w:rPr>
        <w:t>Software</w:t>
      </w:r>
      <w:r w:rsidR="004424D6">
        <w:rPr>
          <w:rFonts w:cs="Tahoma"/>
          <w:lang w:val="de-DE"/>
        </w:rPr>
        <w:t> </w:t>
      </w:r>
      <w:r w:rsidRPr="00C83DF5">
        <w:rPr>
          <w:rFonts w:cs="Tahoma"/>
          <w:lang w:val="de-DE"/>
        </w:rPr>
        <w:t>darf nicht zur Verwendung auf mehr als einem Computer getrennt werden.</w:t>
      </w:r>
    </w:p>
    <w:p w:rsidR="002F39A5" w:rsidRPr="00C83DF5" w:rsidRDefault="002F39A5" w:rsidP="002F39A5">
      <w:pPr>
        <w:rPr>
          <w:lang w:val="de-DE"/>
        </w:rPr>
      </w:pPr>
    </w:p>
    <w:p w:rsidR="00B2182D" w:rsidRPr="00C83DF5" w:rsidRDefault="00A560B6" w:rsidP="00461CA9">
      <w:pPr>
        <w:pStyle w:val="Heading3"/>
        <w:rPr>
          <w:lang w:val="de-DE"/>
        </w:rPr>
      </w:pPr>
      <w:bookmarkStart w:id="1016" w:name="_110_Office_365"/>
      <w:bookmarkStart w:id="1017" w:name="_12_Office_365"/>
      <w:bookmarkStart w:id="1018" w:name="_13_Office_365"/>
      <w:bookmarkStart w:id="1019" w:name="Aps_9OfficeProPlusSubUserSL"/>
      <w:bookmarkStart w:id="1020" w:name="_Toc370983379"/>
      <w:bookmarkEnd w:id="1016"/>
      <w:bookmarkEnd w:id="1017"/>
      <w:bookmarkEnd w:id="1018"/>
      <w:r w:rsidRPr="00C83DF5">
        <w:rPr>
          <w:rFonts w:ascii="Tahoma" w:hAnsi="Tahoma" w:cs="Tahoma"/>
          <w:caps/>
          <w:color w:val="F26200"/>
          <w:sz w:val="22"/>
          <w:vertAlign w:val="superscript"/>
          <w:lang w:val="de-DE"/>
        </w:rPr>
        <w:t>13</w:t>
      </w:r>
      <w:r w:rsidRPr="00C83DF5">
        <w:rPr>
          <w:rFonts w:ascii="Tahoma" w:hAnsi="Tahoma" w:cs="Tahoma"/>
          <w:color w:val="F26200"/>
          <w:sz w:val="22"/>
          <w:lang w:val="de-DE"/>
        </w:rPr>
        <w:t xml:space="preserve"> Office 365 ProPlus (Nutzer-AL)</w:t>
      </w:r>
      <w:bookmarkEnd w:id="1014"/>
      <w:bookmarkEnd w:id="1020"/>
    </w:p>
    <w:bookmarkEnd w:id="1019"/>
    <w:p w:rsidR="00B2182D" w:rsidRPr="008B3D04" w:rsidRDefault="00B2182D" w:rsidP="00AE5A9F">
      <w:pPr>
        <w:rPr>
          <w:rFonts w:cs="Tahoma"/>
          <w:szCs w:val="18"/>
          <w:lang w:val="de-DE"/>
        </w:rPr>
      </w:pPr>
    </w:p>
    <w:p w:rsidR="003418C5" w:rsidRPr="00C83DF5" w:rsidRDefault="003418C5" w:rsidP="003418C5">
      <w:pPr>
        <w:spacing w:after="60"/>
        <w:ind w:left="720"/>
        <w:rPr>
          <w:lang w:val="de-DE"/>
        </w:rPr>
      </w:pPr>
      <w:r w:rsidRPr="00C83DF5">
        <w:rPr>
          <w:b/>
          <w:bCs/>
          <w:lang w:val="de-DE"/>
        </w:rPr>
        <w:t>Kaufberechtigung</w:t>
      </w:r>
    </w:p>
    <w:p w:rsidR="003418C5" w:rsidRPr="00C83DF5" w:rsidRDefault="003418C5" w:rsidP="003418C5">
      <w:pPr>
        <w:ind w:left="720"/>
        <w:rPr>
          <w:lang w:val="de-DE"/>
        </w:rPr>
      </w:pPr>
      <w:r w:rsidRPr="00C83DF5">
        <w:rPr>
          <w:lang w:val="de-DE"/>
        </w:rPr>
        <w:t xml:space="preserve">Sie können nur eine Lizenz für den Office 365 ProPlus SA-Übergang erwerben, wenn Sie über eine zugrunde liegende Lizenz für Office Professional Plus Software Assurance auf einem aktiven Konzernvertrag verfügen. </w:t>
      </w:r>
    </w:p>
    <w:p w:rsidR="003418C5" w:rsidRPr="008B3D04" w:rsidRDefault="003418C5" w:rsidP="00864B8A">
      <w:pPr>
        <w:spacing w:after="60"/>
        <w:ind w:left="720"/>
        <w:rPr>
          <w:rFonts w:cs="Tahoma"/>
          <w:b/>
          <w:lang w:val="de-DE"/>
        </w:rPr>
      </w:pPr>
    </w:p>
    <w:p w:rsidR="005C647E" w:rsidRPr="00C83DF5" w:rsidRDefault="005C647E" w:rsidP="00864B8A">
      <w:pPr>
        <w:spacing w:after="60"/>
        <w:ind w:left="720"/>
        <w:rPr>
          <w:lang w:val="de-DE"/>
        </w:rPr>
      </w:pPr>
      <w:r w:rsidRPr="00C83DF5">
        <w:rPr>
          <w:rFonts w:cs="Tahoma"/>
          <w:b/>
          <w:lang w:val="de-DE"/>
        </w:rPr>
        <w:t>Campus und School</w:t>
      </w:r>
    </w:p>
    <w:p w:rsidR="005C647E" w:rsidRPr="00C83DF5" w:rsidRDefault="005C647E" w:rsidP="00810479">
      <w:pPr>
        <w:ind w:left="720"/>
        <w:rPr>
          <w:lang w:val="de-DE"/>
        </w:rPr>
      </w:pPr>
      <w:r w:rsidRPr="00C83DF5">
        <w:rPr>
          <w:color w:val="000000"/>
          <w:lang w:val="de-DE"/>
        </w:rPr>
        <w:t>Wenn die Einrichtung ein Nutzer-AL-Abonnement für Office 365 ProPlus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rsidR="005C647E" w:rsidRPr="008B3D04" w:rsidRDefault="005C647E" w:rsidP="00810479">
      <w:pPr>
        <w:ind w:left="720"/>
        <w:rPr>
          <w:rFonts w:cs="Tahoma"/>
          <w:bCs/>
          <w:color w:val="000000"/>
          <w:szCs w:val="18"/>
          <w:u w:val="single"/>
          <w:lang w:val="de-DE"/>
        </w:rPr>
      </w:pPr>
    </w:p>
    <w:p w:rsidR="008368B4" w:rsidRPr="00C83DF5" w:rsidRDefault="008368B4" w:rsidP="008368B4">
      <w:pPr>
        <w:ind w:left="720"/>
        <w:rPr>
          <w:lang w:val="de-DE"/>
        </w:rPr>
      </w:pPr>
      <w:r w:rsidRPr="00C83DF5">
        <w:rPr>
          <w:rFonts w:cs="Tahoma"/>
          <w:b/>
          <w:bCs/>
          <w:szCs w:val="18"/>
          <w:lang w:val="de-DE"/>
        </w:rPr>
        <w:t>Nutzung von Office Professional Plus 2010 oder Office für Mac Standard 2011</w:t>
      </w:r>
    </w:p>
    <w:p w:rsidR="008368B4" w:rsidRPr="00C83DF5" w:rsidRDefault="008368B4" w:rsidP="008368B4">
      <w:pPr>
        <w:ind w:left="720"/>
        <w:rPr>
          <w:lang w:val="de-DE"/>
        </w:rPr>
      </w:pPr>
      <w:r w:rsidRPr="00C83DF5">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rsidR="00934C9A" w:rsidRPr="00C83DF5" w:rsidRDefault="00934C9A" w:rsidP="008368B4">
      <w:pPr>
        <w:ind w:left="720"/>
        <w:rPr>
          <w:lang w:val="de-DE"/>
        </w:rPr>
      </w:pPr>
      <w:r w:rsidRPr="00C83DF5">
        <w:rPr>
          <w:rFonts w:cs="Tahoma"/>
          <w:bCs/>
          <w:szCs w:val="18"/>
          <w:lang w:val="de-DE"/>
        </w:rPr>
        <w:t>* In der Produktliste für Februar 2013 finden Sie die vollständigen Bestimmungen zu Medienberechtigungen für das Office Professional Plus-Abonnement</w:t>
      </w:r>
    </w:p>
    <w:p w:rsidR="008368B4" w:rsidRPr="008B3D04" w:rsidRDefault="008368B4" w:rsidP="008368B4">
      <w:pPr>
        <w:ind w:left="720"/>
        <w:rPr>
          <w:rFonts w:cs="Tahoma"/>
          <w:bCs/>
          <w:szCs w:val="18"/>
          <w:lang w:val="de-DE"/>
        </w:rPr>
      </w:pPr>
    </w:p>
    <w:p w:rsidR="008368B4" w:rsidRPr="00C83DF5" w:rsidRDefault="008368B4" w:rsidP="008368B4">
      <w:pPr>
        <w:spacing w:after="60"/>
        <w:ind w:left="720"/>
        <w:rPr>
          <w:lang w:val="de-DE"/>
        </w:rPr>
      </w:pPr>
      <w:r w:rsidRPr="00C83DF5">
        <w:rPr>
          <w:rFonts w:cs="Tahoma"/>
          <w:b/>
          <w:lang w:val="de-DE"/>
        </w:rPr>
        <w:t>Medienberechtigung mit Remotedesktopdiensten (RDS)</w:t>
      </w:r>
    </w:p>
    <w:p w:rsidR="008368B4" w:rsidRPr="00C83DF5" w:rsidRDefault="008368B4" w:rsidP="008368B4">
      <w:pPr>
        <w:ind w:left="720"/>
        <w:rPr>
          <w:lang w:val="de-DE"/>
        </w:rPr>
      </w:pPr>
      <w:r w:rsidRPr="00C83DF5">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E71F46" w:rsidRPr="00C83DF5">
        <w:rPr>
          <w:rFonts w:cs="Tahoma"/>
          <w:szCs w:val="18"/>
          <w:lang w:val="de-DE"/>
        </w:rPr>
        <w:t xml:space="preserve"> </w:t>
      </w:r>
      <w:r w:rsidRPr="00C83DF5">
        <w:rPr>
          <w:rFonts w:cs="Tahoma"/>
          <w:szCs w:val="18"/>
          <w:lang w:val="de-DE"/>
        </w:rPr>
        <w:t xml:space="preserve">Nach Kündigung Ihres Office 365 ProPlus-Abonnements müssen Sie die Software für Office Professional Plus 2013 vom Netzwerkserver deinstallieren. </w:t>
      </w:r>
    </w:p>
    <w:p w:rsidR="00B2182D" w:rsidRPr="008B3D04" w:rsidRDefault="00B2182D" w:rsidP="00810479">
      <w:pPr>
        <w:ind w:left="720"/>
        <w:rPr>
          <w:rFonts w:cs="Tahoma"/>
          <w:bCs/>
          <w:szCs w:val="18"/>
          <w:lang w:val="de-DE"/>
        </w:rPr>
      </w:pPr>
    </w:p>
    <w:p w:rsidR="00ED6F81" w:rsidRPr="00C83DF5" w:rsidRDefault="00ED6F81" w:rsidP="00864B8A">
      <w:pPr>
        <w:spacing w:after="60"/>
        <w:ind w:left="720"/>
        <w:rPr>
          <w:lang w:val="de-DE"/>
        </w:rPr>
      </w:pPr>
      <w:r w:rsidRPr="00C83DF5">
        <w:rPr>
          <w:rFonts w:cs="Tahoma"/>
          <w:b/>
          <w:lang w:val="de-DE"/>
        </w:rPr>
        <w:t>Medienberechtigung mit Windows To Go-Rechten</w:t>
      </w:r>
    </w:p>
    <w:p w:rsidR="008368B4" w:rsidRPr="00C83DF5" w:rsidRDefault="008368B4" w:rsidP="004D2E68">
      <w:pPr>
        <w:ind w:left="720"/>
        <w:rPr>
          <w:lang w:val="de-DE"/>
        </w:rPr>
      </w:pPr>
      <w:r w:rsidRPr="00C83DF5">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C83DF5">
        <w:rPr>
          <w:rFonts w:cs="Tahoma"/>
          <w:color w:val="000000" w:themeColor="text1"/>
          <w:szCs w:val="18"/>
          <w:lang w:val="de-DE"/>
        </w:rPr>
        <w:t>Plus 2013-Software auf dem USB-Laufwerk, das für Windows To Go-Rechte verwendet wurde, zu installieren und 2) die Office Professional Plus 2013-</w:t>
      </w:r>
      <w:r w:rsidRPr="00C83DF5">
        <w:rPr>
          <w:rFonts w:cs="Tahoma"/>
          <w:szCs w:val="18"/>
          <w:lang w:val="de-DE"/>
        </w:rPr>
        <w:t>Software auf diesem USB-Laufwerk auf einem beliebigen Gerät zu verwenden, anstatt eine Kopie der Software, die mit Office 365 ProPlus bereitgestellt wurde, auf einem der</w:t>
      </w:r>
      <w:r w:rsidR="004D2E68">
        <w:rPr>
          <w:rFonts w:cs="Tahoma"/>
          <w:szCs w:val="18"/>
          <w:lang w:val="de-DE"/>
        </w:rPr>
        <w:t> </w:t>
      </w:r>
      <w:r w:rsidRPr="00C83DF5">
        <w:rPr>
          <w:rFonts w:cs="Tahoma"/>
          <w:szCs w:val="18"/>
          <w:lang w:val="de-DE"/>
        </w:rPr>
        <w:t>fünf gemäß den Produktbenutzungsrechten für Office 365 ProPlus zulässigen Geräte zu installieren. Nach Kündigung Ihres Office 365 ProPlus-Abonnements müssen Sie die Software für Office Professional Plus</w:t>
      </w:r>
      <w:r w:rsidR="004D2E68">
        <w:rPr>
          <w:rFonts w:cs="Tahoma"/>
          <w:szCs w:val="18"/>
          <w:lang w:val="de-DE"/>
        </w:rPr>
        <w:t> </w:t>
      </w:r>
      <w:r w:rsidRPr="00C83DF5">
        <w:rPr>
          <w:rFonts w:cs="Tahoma"/>
          <w:szCs w:val="18"/>
          <w:lang w:val="de-DE"/>
        </w:rPr>
        <w:t xml:space="preserve">2013 vom USB-Laufwerk deinstallieren. </w:t>
      </w:r>
    </w:p>
    <w:p w:rsidR="00ED6F81" w:rsidRPr="004D2E68" w:rsidRDefault="00ED6F81" w:rsidP="00810479">
      <w:pPr>
        <w:ind w:left="720"/>
        <w:rPr>
          <w:rFonts w:cs="Tahoma"/>
          <w:bCs/>
          <w:szCs w:val="18"/>
          <w:u w:val="single"/>
          <w:lang w:val="de-DE"/>
        </w:rPr>
      </w:pPr>
    </w:p>
    <w:p w:rsidR="00B2182D" w:rsidRPr="00C83DF5" w:rsidRDefault="00B2182D" w:rsidP="00864B8A">
      <w:pPr>
        <w:spacing w:after="60"/>
        <w:ind w:left="720"/>
        <w:rPr>
          <w:lang w:val="de-DE"/>
        </w:rPr>
      </w:pPr>
      <w:r w:rsidRPr="00C83DF5">
        <w:rPr>
          <w:rFonts w:cs="Tahoma"/>
          <w:b/>
          <w:lang w:val="de-DE"/>
        </w:rPr>
        <w:t>Downgraderechte</w:t>
      </w:r>
    </w:p>
    <w:p w:rsidR="008368B4" w:rsidRPr="00C83DF5" w:rsidRDefault="008368B4" w:rsidP="008368B4">
      <w:pPr>
        <w:ind w:left="720"/>
        <w:rPr>
          <w:lang w:val="de-DE"/>
        </w:rPr>
      </w:pPr>
      <w:r w:rsidRPr="00C83DF5">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37" w:history="1">
        <w:r w:rsidRPr="00C83DF5">
          <w:rPr>
            <w:rStyle w:val="Hyperlink"/>
            <w:rFonts w:cs="Tahoma"/>
            <w:bCs/>
            <w:szCs w:val="18"/>
            <w:lang w:val="de-DE"/>
          </w:rPr>
          <w:t>www.microsoftvolumelicensing.com/userights/PUR.aspx</w:t>
        </w:r>
      </w:hyperlink>
    </w:p>
    <w:p w:rsidR="00AE5A9F" w:rsidRPr="00C83DF5" w:rsidRDefault="00AE5A9F" w:rsidP="00AE5A9F">
      <w:pPr>
        <w:rPr>
          <w:lang w:val="de-DE"/>
        </w:rPr>
      </w:pPr>
      <w:bookmarkStart w:id="1021" w:name="Srv_9OutlookMac2011"/>
    </w:p>
    <w:p w:rsidR="00AE5A9F" w:rsidRPr="00C83DF5" w:rsidRDefault="00AE5A9F" w:rsidP="00AE5A9F">
      <w:pPr>
        <w:rPr>
          <w:lang w:val="de-DE"/>
        </w:rPr>
      </w:pPr>
    </w:p>
    <w:p w:rsidR="00704723" w:rsidRPr="00C83DF5" w:rsidRDefault="00A560B6" w:rsidP="00704723">
      <w:pPr>
        <w:pStyle w:val="Heading3"/>
        <w:rPr>
          <w:lang w:val="de-DE"/>
        </w:rPr>
      </w:pPr>
      <w:bookmarkStart w:id="1022" w:name="_121_Outlook_for"/>
      <w:bookmarkStart w:id="1023" w:name="_13_Outlook_for"/>
      <w:bookmarkStart w:id="1024" w:name="_14_Outlook_für"/>
      <w:bookmarkStart w:id="1025" w:name="_Toc336338270"/>
      <w:bookmarkStart w:id="1026" w:name="_Toc370983380"/>
      <w:bookmarkEnd w:id="1022"/>
      <w:bookmarkEnd w:id="1023"/>
      <w:bookmarkEnd w:id="1024"/>
      <w:r w:rsidRPr="00C83DF5">
        <w:rPr>
          <w:rFonts w:ascii="Tahoma" w:hAnsi="Tahoma"/>
          <w:caps/>
          <w:color w:val="F66400"/>
          <w:sz w:val="22"/>
          <w:vertAlign w:val="superscript"/>
          <w:lang w:val="de-DE"/>
        </w:rPr>
        <w:t>14</w:t>
      </w:r>
      <w:r w:rsidRPr="00C83DF5">
        <w:rPr>
          <w:rFonts w:ascii="Tahoma" w:hAnsi="Tahoma"/>
          <w:color w:val="F66400"/>
          <w:sz w:val="22"/>
          <w:lang w:val="de-DE"/>
        </w:rPr>
        <w:t xml:space="preserve"> Outlook für Mac 2011</w:t>
      </w:r>
      <w:bookmarkEnd w:id="1025"/>
      <w:bookmarkEnd w:id="1026"/>
      <w:r w:rsidRPr="00C83DF5">
        <w:rPr>
          <w:rFonts w:ascii="Tahoma" w:hAnsi="Tahoma"/>
          <w:color w:val="F66400"/>
          <w:sz w:val="22"/>
          <w:lang w:val="de-DE"/>
        </w:rPr>
        <w:t xml:space="preserve"> </w:t>
      </w:r>
    </w:p>
    <w:bookmarkEnd w:id="1021"/>
    <w:p w:rsidR="00704723" w:rsidRPr="00C83DF5" w:rsidRDefault="00704723" w:rsidP="00AE5A9F">
      <w:pPr>
        <w:rPr>
          <w:lang w:val="de-DE"/>
        </w:rPr>
      </w:pPr>
    </w:p>
    <w:p w:rsidR="00704723" w:rsidRPr="00C83DF5" w:rsidRDefault="00704723" w:rsidP="00864B8A">
      <w:pPr>
        <w:spacing w:after="60"/>
        <w:ind w:left="720"/>
        <w:rPr>
          <w:lang w:val="de-DE"/>
        </w:rPr>
      </w:pPr>
      <w:r w:rsidRPr="00C83DF5">
        <w:rPr>
          <w:rFonts w:cs="Tahoma"/>
          <w:b/>
          <w:lang w:val="de-DE"/>
        </w:rPr>
        <w:t>Software Assurance-Migrationspfad für Entourage für Mac 2008</w:t>
      </w:r>
    </w:p>
    <w:p w:rsidR="00223A77" w:rsidRPr="00C83DF5" w:rsidRDefault="00704723" w:rsidP="00AE5A9F">
      <w:pPr>
        <w:adjustRightInd w:val="0"/>
        <w:ind w:left="720"/>
        <w:textAlignment w:val="baseline"/>
        <w:rPr>
          <w:lang w:val="de-DE"/>
        </w:rPr>
      </w:pPr>
      <w:r w:rsidRPr="00C83DF5">
        <w:rPr>
          <w:rFonts w:cs="Tahoma"/>
          <w:szCs w:val="20"/>
          <w:lang w:val="de-DE"/>
        </w:rPr>
        <w:t>Die Folgeversion von Entourage für Mac</w:t>
      </w:r>
      <w:bookmarkStart w:id="1027" w:name="Srv_8Project2010Pro"/>
      <w:r w:rsidRPr="00C83DF5">
        <w:rPr>
          <w:rFonts w:cs="Tahoma"/>
          <w:szCs w:val="20"/>
          <w:lang w:val="de-DE"/>
        </w:rPr>
        <w:t xml:space="preserve"> 2008 ist Outlook für Mac 2011.</w:t>
      </w:r>
    </w:p>
    <w:p w:rsidR="00AE5A9F" w:rsidRDefault="00AE5A9F" w:rsidP="00AE5A9F">
      <w:pPr>
        <w:adjustRightInd w:val="0"/>
        <w:textAlignment w:val="baseline"/>
        <w:rPr>
          <w:lang w:val="de-DE"/>
        </w:rPr>
      </w:pPr>
    </w:p>
    <w:p w:rsidR="004D2E68" w:rsidRDefault="004D2E68" w:rsidP="00AE5A9F">
      <w:pPr>
        <w:adjustRightInd w:val="0"/>
        <w:textAlignment w:val="baseline"/>
        <w:rPr>
          <w:lang w:val="de-DE"/>
        </w:rPr>
      </w:pPr>
    </w:p>
    <w:p w:rsidR="004D2E68" w:rsidRDefault="004D2E68" w:rsidP="00AE5A9F">
      <w:pPr>
        <w:adjustRightInd w:val="0"/>
        <w:textAlignment w:val="baseline"/>
        <w:rPr>
          <w:lang w:val="de-DE"/>
        </w:rPr>
      </w:pPr>
    </w:p>
    <w:p w:rsidR="004D2E68" w:rsidRDefault="004D2E68" w:rsidP="00AE5A9F">
      <w:pPr>
        <w:adjustRightInd w:val="0"/>
        <w:textAlignment w:val="baseline"/>
        <w:rPr>
          <w:lang w:val="de-DE"/>
        </w:rPr>
      </w:pPr>
    </w:p>
    <w:p w:rsidR="004D2E68" w:rsidRPr="00C83DF5" w:rsidRDefault="004D2E68" w:rsidP="00AE5A9F">
      <w:pPr>
        <w:adjustRightInd w:val="0"/>
        <w:textAlignment w:val="baseline"/>
        <w:rPr>
          <w:lang w:val="de-DE"/>
        </w:rPr>
      </w:pPr>
    </w:p>
    <w:p w:rsidR="00AE5A9F" w:rsidRPr="00C83DF5" w:rsidRDefault="00AE5A9F" w:rsidP="00AE5A9F">
      <w:pPr>
        <w:adjustRightInd w:val="0"/>
        <w:textAlignment w:val="baseline"/>
        <w:rPr>
          <w:lang w:val="de-DE"/>
        </w:rPr>
      </w:pPr>
    </w:p>
    <w:p w:rsidR="00223A77" w:rsidRPr="00C83DF5" w:rsidRDefault="00A560B6" w:rsidP="00223A77">
      <w:pPr>
        <w:pStyle w:val="Heading3"/>
        <w:rPr>
          <w:lang w:val="de-DE"/>
        </w:rPr>
      </w:pPr>
      <w:bookmarkStart w:id="1028" w:name="_132_Project_2013"/>
      <w:bookmarkStart w:id="1029" w:name="_14_Project_Professional"/>
      <w:bookmarkStart w:id="1030" w:name="_15_Project_Professional"/>
      <w:bookmarkStart w:id="1031" w:name="_Toc336338271"/>
      <w:bookmarkStart w:id="1032" w:name="_Toc254806116"/>
      <w:bookmarkStart w:id="1033" w:name="Srv_Project2010Pro"/>
      <w:bookmarkStart w:id="1034" w:name="Aps_8Project2010Pro"/>
      <w:bookmarkStart w:id="1035" w:name="_Toc370983381"/>
      <w:bookmarkEnd w:id="1028"/>
      <w:bookmarkEnd w:id="1029"/>
      <w:bookmarkEnd w:id="1030"/>
      <w:r w:rsidRPr="00C83DF5">
        <w:rPr>
          <w:rFonts w:ascii="Tahoma" w:hAnsi="Tahoma"/>
          <w:caps/>
          <w:color w:val="F66400"/>
          <w:sz w:val="22"/>
          <w:vertAlign w:val="superscript"/>
          <w:lang w:val="de-DE"/>
        </w:rPr>
        <w:t>15</w:t>
      </w:r>
      <w:r w:rsidRPr="00C83DF5">
        <w:rPr>
          <w:rFonts w:ascii="Tahoma" w:hAnsi="Tahoma"/>
          <w:color w:val="F66400"/>
          <w:sz w:val="22"/>
          <w:lang w:val="de-DE"/>
        </w:rPr>
        <w:t xml:space="preserve"> Project Professional 2013</w:t>
      </w:r>
      <w:bookmarkEnd w:id="1031"/>
      <w:bookmarkEnd w:id="1035"/>
      <w:r w:rsidRPr="00C83DF5">
        <w:rPr>
          <w:rFonts w:ascii="Tahoma" w:hAnsi="Tahoma"/>
          <w:color w:val="F66400"/>
          <w:sz w:val="22"/>
          <w:lang w:val="de-DE"/>
        </w:rPr>
        <w:t xml:space="preserve"> </w:t>
      </w:r>
      <w:bookmarkEnd w:id="1032"/>
    </w:p>
    <w:bookmarkEnd w:id="1027"/>
    <w:bookmarkEnd w:id="1033"/>
    <w:bookmarkEnd w:id="1034"/>
    <w:p w:rsidR="00223A77" w:rsidRPr="008B3D04" w:rsidRDefault="00223A77" w:rsidP="00AE5A9F">
      <w:pPr>
        <w:ind w:left="720"/>
        <w:rPr>
          <w:rFonts w:cs="Tahoma"/>
          <w:lang w:val="de-DE"/>
        </w:rPr>
      </w:pPr>
    </w:p>
    <w:p w:rsidR="00223A77" w:rsidRPr="00C83DF5" w:rsidRDefault="00223A77" w:rsidP="00864B8A">
      <w:pPr>
        <w:spacing w:after="60"/>
        <w:ind w:left="720"/>
        <w:rPr>
          <w:lang w:val="de-DE"/>
        </w:rPr>
      </w:pPr>
      <w:r w:rsidRPr="00C83DF5">
        <w:rPr>
          <w:rFonts w:cs="Tahoma"/>
          <w:b/>
          <w:lang w:val="de-DE"/>
        </w:rPr>
        <w:lastRenderedPageBreak/>
        <w:t>Zusätzliche Project Server-CAL</w:t>
      </w:r>
    </w:p>
    <w:p w:rsidR="00223A77" w:rsidRPr="004D2E68" w:rsidRDefault="00223A77" w:rsidP="004D2E68">
      <w:pPr>
        <w:pStyle w:val="EndnoteText"/>
        <w:ind w:left="720"/>
        <w:rPr>
          <w:sz w:val="18"/>
          <w:szCs w:val="18"/>
          <w:lang w:val="de-DE"/>
        </w:rPr>
      </w:pPr>
      <w:r w:rsidRPr="004D2E68">
        <w:rPr>
          <w:rStyle w:val="EndnoteTextChar"/>
          <w:rFonts w:ascii="Tahoma" w:hAnsi="Tahoma" w:cs="Tahoma"/>
          <w:sz w:val="18"/>
          <w:szCs w:val="18"/>
          <w:lang w:val="de-DE"/>
        </w:rPr>
        <w:t>Kunden, die Project Professional 2013 lizenzieren, erhalten eine Geräte-CAL für Project Server 2013. Das</w:t>
      </w:r>
      <w:r w:rsidR="004D2E68">
        <w:rPr>
          <w:rStyle w:val="EndnoteTextChar"/>
          <w:rFonts w:ascii="Tahoma" w:hAnsi="Tahoma" w:cs="Tahoma"/>
          <w:sz w:val="18"/>
          <w:szCs w:val="18"/>
          <w:lang w:val="de-DE"/>
        </w:rPr>
        <w:t> </w:t>
      </w:r>
      <w:r w:rsidRPr="004D2E68">
        <w:rPr>
          <w:rStyle w:val="EndnoteTextChar"/>
          <w:rFonts w:ascii="Tahoma" w:hAnsi="Tahoma" w:cs="Tahoma"/>
          <w:sz w:val="18"/>
          <w:szCs w:val="18"/>
          <w:lang w:val="de-DE"/>
        </w:rPr>
        <w:t>Recht, unter dieser CAL auf Project Server 2013 zuzugreifen, gilt bis zum Ablauf der zugehörigen Project Professional-Lizenz.</w:t>
      </w:r>
    </w:p>
    <w:p w:rsidR="00223A77" w:rsidRPr="004D2E68" w:rsidRDefault="00223A77" w:rsidP="004D2E68">
      <w:pPr>
        <w:pStyle w:val="EndnoteText"/>
        <w:tabs>
          <w:tab w:val="left" w:pos="1139"/>
        </w:tabs>
        <w:ind w:left="720"/>
        <w:rPr>
          <w:rStyle w:val="EndnoteTextChar"/>
          <w:rFonts w:ascii="Tahoma" w:hAnsi="Tahoma" w:cs="Tahoma"/>
          <w:sz w:val="18"/>
          <w:szCs w:val="18"/>
          <w:lang w:val="de-DE"/>
        </w:rPr>
      </w:pPr>
    </w:p>
    <w:p w:rsidR="00223A77" w:rsidRPr="004D2E68" w:rsidRDefault="00223A77" w:rsidP="004D2E68">
      <w:pPr>
        <w:pStyle w:val="EndnoteText"/>
        <w:ind w:left="720"/>
        <w:rPr>
          <w:sz w:val="18"/>
          <w:szCs w:val="18"/>
          <w:lang w:val="de-DE"/>
        </w:rPr>
      </w:pPr>
      <w:r w:rsidRPr="004D2E68">
        <w:rPr>
          <w:rStyle w:val="EndnoteTextChar"/>
          <w:rFonts w:ascii="Tahoma" w:hAnsi="Tahoma" w:cs="Tahoma"/>
          <w:sz w:val="18"/>
          <w:szCs w:val="18"/>
          <w:lang w:val="de-DE"/>
        </w:rPr>
        <w:t>Kunden mit aktiver Software Assurance für ihre Project Professional-Lizenz haben damit Software Assurance</w:t>
      </w:r>
      <w:r w:rsidR="004D2E68">
        <w:rPr>
          <w:rStyle w:val="EndnoteTextChar"/>
          <w:rFonts w:ascii="Tahoma" w:hAnsi="Tahoma" w:cs="Tahoma"/>
          <w:sz w:val="18"/>
          <w:szCs w:val="18"/>
          <w:lang w:val="de-DE"/>
        </w:rPr>
        <w:t> </w:t>
      </w:r>
      <w:r w:rsidRPr="004D2E68">
        <w:rPr>
          <w:rStyle w:val="EndnoteTextChar"/>
          <w:rFonts w:ascii="Tahoma" w:hAnsi="Tahoma" w:cs="Tahoma"/>
          <w:sz w:val="18"/>
          <w:szCs w:val="18"/>
          <w:lang w:val="de-DE"/>
        </w:rPr>
        <w:t>für die zusätzliche Project Server-CAL. Diese gilt bis zum Ablauf von Software Assurance für</w:t>
      </w:r>
      <w:r w:rsidR="004D2E68">
        <w:rPr>
          <w:rStyle w:val="EndnoteTextChar"/>
          <w:rFonts w:ascii="Tahoma" w:hAnsi="Tahoma" w:cs="Tahoma"/>
          <w:sz w:val="18"/>
          <w:szCs w:val="18"/>
          <w:lang w:val="de-DE"/>
        </w:rPr>
        <w:t> </w:t>
      </w:r>
      <w:r w:rsidRPr="004D2E68">
        <w:rPr>
          <w:rStyle w:val="EndnoteTextChar"/>
          <w:rFonts w:ascii="Tahoma" w:hAnsi="Tahoma" w:cs="Tahoma"/>
          <w:sz w:val="18"/>
          <w:szCs w:val="18"/>
          <w:lang w:val="de-DE"/>
        </w:rPr>
        <w:t>Project Professional.</w:t>
      </w:r>
    </w:p>
    <w:p w:rsidR="00223A77" w:rsidRPr="008B3D04" w:rsidRDefault="00223A77" w:rsidP="00AE5A9F">
      <w:pPr>
        <w:pStyle w:val="EndnoteText"/>
        <w:ind w:left="720"/>
        <w:rPr>
          <w:rStyle w:val="EndnoteTextChar"/>
          <w:rFonts w:ascii="Tahoma" w:hAnsi="Tahoma" w:cs="Tahoma"/>
          <w:sz w:val="18"/>
          <w:szCs w:val="18"/>
          <w:lang w:val="de-DE"/>
        </w:rPr>
      </w:pPr>
    </w:p>
    <w:p w:rsidR="00223A77" w:rsidRPr="004D2E68" w:rsidRDefault="00223A77" w:rsidP="004D2E68">
      <w:pPr>
        <w:pStyle w:val="EndnoteText"/>
        <w:ind w:left="720"/>
        <w:rPr>
          <w:sz w:val="18"/>
          <w:szCs w:val="18"/>
          <w:lang w:val="de-DE"/>
        </w:rPr>
      </w:pPr>
      <w:r w:rsidRPr="004D2E68">
        <w:rPr>
          <w:rStyle w:val="EndnoteTextChar"/>
          <w:rFonts w:ascii="Tahoma" w:hAnsi="Tahoma" w:cs="Tahoma"/>
          <w:sz w:val="18"/>
          <w:szCs w:val="18"/>
          <w:lang w:val="de-DE"/>
        </w:rPr>
        <w:t>Zusätzliche Rechte, die für diese CALS gelten, finden Sie im Hinweis auf die Produktbedingungen zu Project</w:t>
      </w:r>
      <w:r w:rsidR="004D2E68">
        <w:rPr>
          <w:rStyle w:val="EndnoteTextChar"/>
          <w:rFonts w:ascii="Tahoma" w:hAnsi="Tahoma" w:cs="Tahoma"/>
          <w:sz w:val="18"/>
          <w:szCs w:val="18"/>
          <w:lang w:val="de-DE"/>
        </w:rPr>
        <w:t> </w:t>
      </w:r>
      <w:r w:rsidRPr="004D2E68">
        <w:rPr>
          <w:rStyle w:val="EndnoteTextChar"/>
          <w:rFonts w:ascii="Tahoma" w:hAnsi="Tahoma" w:cs="Tahoma"/>
          <w:sz w:val="18"/>
          <w:szCs w:val="18"/>
          <w:lang w:val="de-DE"/>
        </w:rPr>
        <w:t>Server.</w:t>
      </w:r>
    </w:p>
    <w:p w:rsidR="00AE5A9F" w:rsidRPr="008B3D04" w:rsidRDefault="00AE5A9F" w:rsidP="00AE5A9F">
      <w:pPr>
        <w:rPr>
          <w:color w:val="000000"/>
          <w:lang w:val="de-DE"/>
        </w:rPr>
      </w:pPr>
    </w:p>
    <w:p w:rsidR="00AE5A9F" w:rsidRPr="008B3D04" w:rsidRDefault="00AE5A9F" w:rsidP="00AE5A9F">
      <w:pPr>
        <w:rPr>
          <w:color w:val="000000"/>
          <w:lang w:val="de-DE"/>
        </w:rPr>
      </w:pPr>
    </w:p>
    <w:p w:rsidR="002202DB" w:rsidRPr="00C83DF5" w:rsidRDefault="00A560B6" w:rsidP="00D824E9">
      <w:pPr>
        <w:pStyle w:val="Heading3"/>
        <w:keepNext/>
        <w:rPr>
          <w:lang w:val="de-DE"/>
        </w:rPr>
      </w:pPr>
      <w:bookmarkStart w:id="1036" w:name="_143_Project_Pro"/>
      <w:bookmarkStart w:id="1037" w:name="_15_Project_Pro"/>
      <w:bookmarkStart w:id="1038" w:name="_16_Project_Pro"/>
      <w:bookmarkStart w:id="1039" w:name="_Toc370983382"/>
      <w:bookmarkEnd w:id="1036"/>
      <w:bookmarkEnd w:id="1037"/>
      <w:bookmarkEnd w:id="1038"/>
      <w:r w:rsidRPr="00C83DF5">
        <w:rPr>
          <w:rFonts w:ascii="Tahoma" w:hAnsi="Tahoma"/>
          <w:caps/>
          <w:color w:val="F66400"/>
          <w:sz w:val="22"/>
          <w:vertAlign w:val="superscript"/>
          <w:lang w:val="de-DE"/>
        </w:rPr>
        <w:t>16</w:t>
      </w:r>
      <w:r w:rsidRPr="00106236">
        <w:rPr>
          <w:rFonts w:ascii="Tahoma" w:hAnsi="Tahoma"/>
          <w:caps/>
          <w:color w:val="F66400"/>
          <w:sz w:val="22"/>
          <w:lang w:val="de-DE"/>
        </w:rPr>
        <w:t xml:space="preserve"> </w:t>
      </w:r>
      <w:r w:rsidRPr="00C83DF5">
        <w:rPr>
          <w:rFonts w:ascii="Tahoma" w:hAnsi="Tahoma"/>
          <w:color w:val="F66400"/>
          <w:sz w:val="22"/>
          <w:lang w:val="de-DE"/>
        </w:rPr>
        <w:t>Project Pro für Office 365</w:t>
      </w:r>
      <w:bookmarkEnd w:id="1039"/>
      <w:r w:rsidRPr="00C83DF5">
        <w:rPr>
          <w:rFonts w:ascii="Tahoma" w:hAnsi="Tahoma"/>
          <w:color w:val="F66400"/>
          <w:sz w:val="22"/>
          <w:lang w:val="de-DE"/>
        </w:rPr>
        <w:t xml:space="preserve"> </w:t>
      </w:r>
    </w:p>
    <w:p w:rsidR="00A32FE7" w:rsidRPr="008B3D04" w:rsidRDefault="00A32FE7" w:rsidP="00D824E9">
      <w:pPr>
        <w:keepNext/>
        <w:rPr>
          <w:lang w:val="de-DE"/>
        </w:rPr>
      </w:pPr>
    </w:p>
    <w:p w:rsidR="002202DB" w:rsidRPr="00C83DF5" w:rsidRDefault="002202DB" w:rsidP="002202DB">
      <w:pPr>
        <w:spacing w:after="60"/>
        <w:ind w:left="720"/>
        <w:rPr>
          <w:lang w:val="de-DE"/>
        </w:rPr>
      </w:pPr>
      <w:r w:rsidRPr="00C83DF5">
        <w:rPr>
          <w:rFonts w:cs="Tahoma"/>
          <w:b/>
          <w:lang w:val="de-DE"/>
        </w:rPr>
        <w:t>Medienberechtigung mit Remotedesktopdiensten (RDS)</w:t>
      </w:r>
    </w:p>
    <w:p w:rsidR="002202DB" w:rsidRPr="00C83DF5" w:rsidRDefault="002202DB" w:rsidP="00940700">
      <w:pPr>
        <w:ind w:left="720"/>
        <w:rPr>
          <w:lang w:val="de-DE"/>
        </w:rPr>
      </w:pPr>
      <w:r w:rsidRPr="00C83DF5">
        <w:rPr>
          <w:rFonts w:cs="Tahoma"/>
          <w:szCs w:val="18"/>
          <w:lang w:val="de-DE"/>
        </w:rPr>
        <w:t>Wenn der Nutzer, dem Sie eine Project Pro für Office 365-Lizenz zugewiesen haben, die Software bei aktivierter RDS-Rolle auf einem Netzwerkserver nutzt, ist dieser Nutzer berechtigt, 1) eine Kopie der Project</w:t>
      </w:r>
      <w:r w:rsidR="00940700">
        <w:rPr>
          <w:rFonts w:cs="Tahoma"/>
          <w:szCs w:val="18"/>
          <w:lang w:val="de-DE"/>
        </w:rPr>
        <w:t> </w:t>
      </w:r>
      <w:r w:rsidRPr="00C83DF5">
        <w:rPr>
          <w:rFonts w:cs="Tahoma"/>
          <w:szCs w:val="18"/>
          <w:lang w:val="de-DE"/>
        </w:rPr>
        <w:t>Professional 2013-Software auf einem Netzwerkserver zu installieren und 2) auf die Project Professional 2013-Software von jedem beliebigen Gerät aus zuzugreifen, anstatt eine Kopie der Software,</w:t>
      </w:r>
      <w:r w:rsidR="00940700">
        <w:rPr>
          <w:rFonts w:cs="Tahoma"/>
          <w:szCs w:val="18"/>
          <w:lang w:val="de-DE"/>
        </w:rPr>
        <w:t> </w:t>
      </w:r>
      <w:r w:rsidRPr="00C83DF5">
        <w:rPr>
          <w:rFonts w:cs="Tahoma"/>
          <w:szCs w:val="18"/>
          <w:lang w:val="de-DE"/>
        </w:rPr>
        <w:t>die mit Project Pro für Office 365 bereitgestellt wurde, auf einem der fünf gemäß den Produktbenutzungsrechten für Project Pro für Office 365 zulässigen Geräte zu installieren.</w:t>
      </w:r>
      <w:r w:rsidR="00E71F46" w:rsidRPr="00C83DF5">
        <w:rPr>
          <w:rFonts w:cs="Tahoma"/>
          <w:szCs w:val="18"/>
          <w:lang w:val="de-DE"/>
        </w:rPr>
        <w:t xml:space="preserve"> </w:t>
      </w:r>
      <w:r w:rsidRPr="00C83DF5">
        <w:rPr>
          <w:rFonts w:cs="Tahoma"/>
          <w:szCs w:val="18"/>
          <w:lang w:val="de-DE"/>
        </w:rPr>
        <w:t>Nach</w:t>
      </w:r>
      <w:r w:rsidR="00940700">
        <w:rPr>
          <w:rFonts w:cs="Tahoma"/>
          <w:szCs w:val="18"/>
          <w:lang w:val="de-DE"/>
        </w:rPr>
        <w:t> </w:t>
      </w:r>
      <w:r w:rsidRPr="00C83DF5">
        <w:rPr>
          <w:rFonts w:cs="Tahoma"/>
          <w:szCs w:val="18"/>
          <w:lang w:val="de-DE"/>
        </w:rPr>
        <w:t>Kündigung</w:t>
      </w:r>
      <w:r w:rsidR="00940700">
        <w:rPr>
          <w:rFonts w:cs="Tahoma"/>
          <w:szCs w:val="18"/>
          <w:lang w:val="de-DE"/>
        </w:rPr>
        <w:t> </w:t>
      </w:r>
      <w:r w:rsidRPr="00C83DF5">
        <w:rPr>
          <w:rFonts w:cs="Tahoma"/>
          <w:szCs w:val="18"/>
          <w:lang w:val="de-DE"/>
        </w:rPr>
        <w:t xml:space="preserve">Ihres Project Pro für Office 365-Abonnements müssen Sie die Project Professional 2013-Software vom Netzwerkserver deinstallieren. </w:t>
      </w:r>
    </w:p>
    <w:p w:rsidR="002202DB" w:rsidRPr="00940700" w:rsidRDefault="002202DB" w:rsidP="002202DB">
      <w:pPr>
        <w:ind w:left="720"/>
        <w:rPr>
          <w:rFonts w:cs="Tahoma"/>
          <w:bCs/>
          <w:szCs w:val="18"/>
          <w:lang w:val="de-DE"/>
        </w:rPr>
      </w:pPr>
    </w:p>
    <w:p w:rsidR="002202DB" w:rsidRPr="00C83DF5" w:rsidRDefault="002202DB" w:rsidP="002202DB">
      <w:pPr>
        <w:spacing w:after="60"/>
        <w:ind w:left="720"/>
        <w:rPr>
          <w:lang w:val="de-DE"/>
        </w:rPr>
      </w:pPr>
      <w:r w:rsidRPr="00C83DF5">
        <w:rPr>
          <w:rFonts w:cs="Tahoma"/>
          <w:b/>
          <w:lang w:val="de-DE"/>
        </w:rPr>
        <w:t>Downgraderechte</w:t>
      </w:r>
    </w:p>
    <w:p w:rsidR="002202DB" w:rsidRPr="00C83DF5" w:rsidRDefault="002202DB" w:rsidP="00940700">
      <w:pPr>
        <w:ind w:left="720"/>
        <w:rPr>
          <w:lang w:val="de-DE"/>
        </w:rPr>
      </w:pPr>
      <w:r w:rsidRPr="00C83DF5">
        <w:rPr>
          <w:rFonts w:cs="Tahoma"/>
          <w:bCs/>
          <w:szCs w:val="18"/>
          <w:lang w:val="de-DE"/>
        </w:rPr>
        <w:t>Der Project Pro für Office 365-Service umfasst keine Downgraderechte. Weitere Informationen zu</w:t>
      </w:r>
      <w:r w:rsidR="00940700">
        <w:rPr>
          <w:rFonts w:cs="Tahoma"/>
          <w:bCs/>
          <w:szCs w:val="18"/>
          <w:lang w:val="de-DE"/>
        </w:rPr>
        <w:t> </w:t>
      </w:r>
      <w:r w:rsidRPr="00C83DF5">
        <w:rPr>
          <w:rFonts w:cs="Tahoma"/>
          <w:bCs/>
          <w:szCs w:val="18"/>
          <w:lang w:val="de-DE"/>
        </w:rPr>
        <w:t>Onlinedienste-Upgradeanforderungen finden Sie in den Produktbenutzungsrechten (PUR) von Microsoft</w:t>
      </w:r>
      <w:r w:rsidR="00940700">
        <w:rPr>
          <w:rFonts w:cs="Tahoma"/>
          <w:bCs/>
          <w:szCs w:val="18"/>
          <w:lang w:val="de-DE"/>
        </w:rPr>
        <w:t> </w:t>
      </w:r>
      <w:r w:rsidRPr="00C83DF5">
        <w:rPr>
          <w:rFonts w:cs="Tahoma"/>
          <w:bCs/>
          <w:szCs w:val="18"/>
          <w:lang w:val="de-DE"/>
        </w:rPr>
        <w:t xml:space="preserve">unter </w:t>
      </w:r>
      <w:hyperlink r:id="rId38" w:history="1">
        <w:r w:rsidRPr="00C83DF5">
          <w:rPr>
            <w:rStyle w:val="Hyperlink"/>
            <w:rFonts w:cs="Tahoma"/>
            <w:bCs/>
            <w:szCs w:val="18"/>
            <w:lang w:val="de-DE"/>
          </w:rPr>
          <w:t>http://www.microsoftvolumelicensing.com/userights/PUR.aspx</w:t>
        </w:r>
      </w:hyperlink>
    </w:p>
    <w:p w:rsidR="002202DB" w:rsidRPr="00C83DF5" w:rsidRDefault="002202DB" w:rsidP="00AE5A9F">
      <w:pPr>
        <w:rPr>
          <w:lang w:val="de-DE"/>
        </w:rPr>
      </w:pPr>
    </w:p>
    <w:p w:rsidR="002202DB" w:rsidRPr="00C83DF5" w:rsidRDefault="002202DB" w:rsidP="00AE5A9F">
      <w:pPr>
        <w:rPr>
          <w:lang w:val="de-DE"/>
        </w:rPr>
      </w:pPr>
    </w:p>
    <w:p w:rsidR="00223A77" w:rsidRPr="00C83DF5" w:rsidRDefault="00A560B6" w:rsidP="002541AE">
      <w:pPr>
        <w:pStyle w:val="Heading3"/>
        <w:rPr>
          <w:lang w:val="de-DE"/>
        </w:rPr>
      </w:pPr>
      <w:bookmarkStart w:id="1040" w:name="_145_Rental_Rights"/>
      <w:bookmarkStart w:id="1041" w:name="_16_Rental_Rights"/>
      <w:bookmarkStart w:id="1042" w:name="_17_Vermietungsrechte_für"/>
      <w:bookmarkStart w:id="1043" w:name="_Toc336338272"/>
      <w:bookmarkStart w:id="1044" w:name="Aps_9RentalRightsOffice"/>
      <w:bookmarkStart w:id="1045" w:name="Srv_RentalRightsOffice"/>
      <w:bookmarkStart w:id="1046" w:name="Srv_9RentalRightsOffice"/>
      <w:bookmarkStart w:id="1047" w:name="_Toc370983383"/>
      <w:bookmarkEnd w:id="1040"/>
      <w:bookmarkEnd w:id="1041"/>
      <w:bookmarkEnd w:id="1042"/>
      <w:r w:rsidRPr="00C83DF5">
        <w:rPr>
          <w:rFonts w:ascii="Tahoma" w:hAnsi="Tahoma" w:cs="Tahoma"/>
          <w:caps/>
          <w:color w:val="E65D08"/>
          <w:sz w:val="22"/>
          <w:szCs w:val="22"/>
          <w:vertAlign w:val="superscript"/>
          <w:lang w:val="de-DE"/>
        </w:rPr>
        <w:t>17</w:t>
      </w:r>
      <w:r w:rsidRPr="00C83DF5">
        <w:rPr>
          <w:rFonts w:ascii="Tahoma" w:hAnsi="Tahoma" w:cs="Tahoma"/>
          <w:color w:val="E65D08"/>
          <w:sz w:val="22"/>
          <w:szCs w:val="22"/>
          <w:lang w:val="de-DE"/>
        </w:rPr>
        <w:t xml:space="preserve"> Vermietungsrechte für Office</w:t>
      </w:r>
      <w:bookmarkEnd w:id="1043"/>
      <w:bookmarkEnd w:id="1047"/>
    </w:p>
    <w:bookmarkEnd w:id="1044"/>
    <w:p w:rsidR="002541AE" w:rsidRPr="008B3D04" w:rsidRDefault="002541AE" w:rsidP="002541AE">
      <w:pPr>
        <w:rPr>
          <w:lang w:val="de-DE"/>
        </w:rPr>
      </w:pPr>
    </w:p>
    <w:bookmarkEnd w:id="1045"/>
    <w:bookmarkEnd w:id="1046"/>
    <w:p w:rsidR="000B0A08" w:rsidRPr="00C83DF5" w:rsidRDefault="000B0A08" w:rsidP="005E3B5E">
      <w:pPr>
        <w:pStyle w:val="FootnoteBulletLevel1"/>
        <w:tabs>
          <w:tab w:val="clear" w:pos="900"/>
        </w:tabs>
        <w:spacing w:before="0" w:after="0"/>
        <w:ind w:left="720" w:firstLine="0"/>
        <w:rPr>
          <w:lang w:val="de-DE"/>
        </w:rPr>
      </w:pPr>
      <w:r w:rsidRPr="00C83DF5">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 lizenziert sein.</w:t>
      </w:r>
    </w:p>
    <w:p w:rsidR="00980240" w:rsidRPr="008B3D04" w:rsidRDefault="00980240" w:rsidP="005E3B5E">
      <w:pPr>
        <w:ind w:left="720"/>
        <w:rPr>
          <w:rFonts w:cs="Tahoma"/>
          <w:color w:val="000000"/>
          <w:szCs w:val="18"/>
          <w:u w:val="single"/>
          <w:lang w:val="de-DE"/>
        </w:rPr>
      </w:pPr>
    </w:p>
    <w:p w:rsidR="00980240" w:rsidRPr="00C83DF5" w:rsidRDefault="000B0A08" w:rsidP="00864B8A">
      <w:pPr>
        <w:spacing w:after="60"/>
        <w:ind w:left="720"/>
        <w:rPr>
          <w:lang w:val="de-DE"/>
        </w:rPr>
      </w:pPr>
      <w:r w:rsidRPr="00C83DF5">
        <w:rPr>
          <w:rFonts w:cs="Tahoma"/>
          <w:b/>
          <w:lang w:val="de-DE"/>
        </w:rPr>
        <w:t>Regeln für qualifizierende Anwendungen</w:t>
      </w:r>
    </w:p>
    <w:p w:rsidR="000B0A08" w:rsidRPr="00C83DF5" w:rsidRDefault="000B0A08" w:rsidP="005E3B5E">
      <w:pPr>
        <w:ind w:left="720"/>
        <w:rPr>
          <w:lang w:val="de-DE"/>
        </w:rPr>
      </w:pPr>
      <w:r w:rsidRPr="00C83DF5">
        <w:rPr>
          <w:rFonts w:cs="Tahoma"/>
          <w:color w:val="000000"/>
          <w:szCs w:val="18"/>
          <w:lang w:val="de-DE"/>
        </w:rPr>
        <w:t>(Alle Bedingungen müssen erfüllt sein, damit die Basislizenz Sie für die Vermietungsrechtelizenz qualifiziert):</w:t>
      </w:r>
    </w:p>
    <w:p w:rsidR="005E3B5E" w:rsidRPr="008B3D04" w:rsidRDefault="005E3B5E" w:rsidP="005E3B5E">
      <w:pPr>
        <w:ind w:left="900"/>
        <w:rPr>
          <w:rFonts w:cs="Tahoma"/>
          <w:color w:val="000000"/>
          <w:szCs w:val="18"/>
          <w:lang w:val="de-DE"/>
        </w:rPr>
      </w:pPr>
    </w:p>
    <w:p w:rsidR="000B0A08" w:rsidRPr="00C83DF5" w:rsidRDefault="000B0A08" w:rsidP="005E3B5E">
      <w:pPr>
        <w:numPr>
          <w:ilvl w:val="0"/>
          <w:numId w:val="20"/>
        </w:numPr>
        <w:spacing w:after="60"/>
        <w:ind w:left="1440"/>
        <w:rPr>
          <w:lang w:val="de-DE"/>
        </w:rPr>
      </w:pPr>
      <w:r w:rsidRPr="00C83DF5">
        <w:rPr>
          <w:rFonts w:cs="Tahoma"/>
          <w:color w:val="000000"/>
          <w:szCs w:val="18"/>
          <w:lang w:val="de-DE"/>
        </w:rPr>
        <w:t>Die Lizenz für die qualifizierende Anwendung muss demselben Gerät zugewiesen sein wie die zuzuweisende VL-Vermietungsrechtelizenz.</w:t>
      </w:r>
    </w:p>
    <w:p w:rsidR="000B0A08" w:rsidRPr="00C83DF5" w:rsidRDefault="000B0A08" w:rsidP="005E3B5E">
      <w:pPr>
        <w:numPr>
          <w:ilvl w:val="0"/>
          <w:numId w:val="20"/>
        </w:numPr>
        <w:tabs>
          <w:tab w:val="left" w:pos="1440"/>
        </w:tabs>
        <w:spacing w:after="60"/>
        <w:ind w:left="1440"/>
        <w:rPr>
          <w:lang w:val="de-DE"/>
        </w:rPr>
      </w:pPr>
      <w:r w:rsidRPr="00C83DF5">
        <w:rPr>
          <w:rFonts w:cs="Tahoma"/>
          <w:color w:val="000000"/>
          <w:szCs w:val="18"/>
          <w:lang w:val="de-DE"/>
        </w:rPr>
        <w:t>Die qualifizierende Anwendung muss auf diesem Gerät installiert sein.</w:t>
      </w:r>
    </w:p>
    <w:p w:rsidR="000B0A08" w:rsidRPr="008B3D04" w:rsidRDefault="000B0A08" w:rsidP="005E3B5E">
      <w:pPr>
        <w:pStyle w:val="EndnoteText"/>
        <w:rPr>
          <w:rFonts w:ascii="Tahoma" w:hAnsi="Tahoma" w:cs="Tahoma"/>
          <w:color w:val="000000"/>
          <w:sz w:val="18"/>
          <w:szCs w:val="18"/>
          <w:lang w:val="de-DE"/>
        </w:rPr>
      </w:pPr>
    </w:p>
    <w:p w:rsidR="000B0A08" w:rsidRPr="00C83DF5" w:rsidRDefault="000B0A08" w:rsidP="005E3B5E">
      <w:pPr>
        <w:pStyle w:val="EndnoteText"/>
        <w:ind w:left="720"/>
        <w:rPr>
          <w:lang w:val="de-DE"/>
        </w:rPr>
      </w:pPr>
      <w:r w:rsidRPr="00C83DF5">
        <w:rPr>
          <w:rFonts w:ascii="Tahoma" w:hAnsi="Tahoma" w:cs="Tahoma"/>
          <w:color w:val="000000"/>
          <w:sz w:val="18"/>
          <w:szCs w:val="18"/>
          <w:lang w:val="de-DE"/>
        </w:rPr>
        <w:t>Die qualifizierenden Anwendungen nach Programmart sind:</w:t>
      </w:r>
    </w:p>
    <w:p w:rsidR="000B0A08" w:rsidRPr="008B3D04" w:rsidRDefault="000B0A08" w:rsidP="000B0A08">
      <w:pPr>
        <w:rPr>
          <w:rFonts w:cs="Tahoma"/>
          <w:b/>
          <w:bCs/>
          <w:color w:val="000000"/>
          <w:szCs w:val="18"/>
          <w:lang w:val="de-DE" w:eastAsia="ja-JP"/>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C83DF5"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C83DF5" w:rsidRDefault="00C4660F" w:rsidP="008C15CA">
            <w:pPr>
              <w:jc w:val="center"/>
              <w:rPr>
                <w:rFonts w:eastAsia="MS PGothic" w:cs="Tahoma"/>
                <w:b/>
                <w:bCs/>
                <w:color w:val="000000"/>
                <w:szCs w:val="18"/>
                <w:lang w:val="de-DE"/>
              </w:rPr>
            </w:pPr>
            <w:r w:rsidRPr="00C83DF5">
              <w:rPr>
                <w:rFonts w:cs="Tahoma"/>
                <w:b/>
                <w:bCs/>
                <w:color w:val="000000"/>
                <w:szCs w:val="18"/>
                <w:lang w:val="de-DE"/>
              </w:rPr>
              <w:t>Qualifizierende Anwendungen für den Erwerb von Vermietungsrechten für Office</w:t>
            </w:r>
            <w:r w:rsidR="008C15CA">
              <w:rPr>
                <w:rFonts w:cs="Tahoma"/>
                <w:b/>
                <w:bCs/>
                <w:color w:val="000000"/>
                <w:szCs w:val="18"/>
                <w:lang w:val="de-DE"/>
              </w:rPr>
              <w:t> </w:t>
            </w:r>
            <w:r w:rsidRPr="00C83DF5">
              <w:rPr>
                <w:rFonts w:cs="Tahoma"/>
                <w:b/>
                <w:bCs/>
                <w:color w:val="000000"/>
                <w:szCs w:val="18"/>
                <w:lang w:val="de-DE"/>
              </w:rPr>
              <w:t>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83DF5" w:rsidRDefault="00C4660F" w:rsidP="00AD69BD">
            <w:pPr>
              <w:jc w:val="center"/>
              <w:rPr>
                <w:rFonts w:cs="Tahoma"/>
                <w:b/>
                <w:bCs/>
                <w:color w:val="000000"/>
                <w:szCs w:val="18"/>
              </w:rPr>
            </w:pPr>
            <w:r w:rsidRPr="00C83DF5">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C83DF5" w:rsidRDefault="00C4660F" w:rsidP="00AD69BD">
            <w:pPr>
              <w:jc w:val="center"/>
            </w:pPr>
            <w:r w:rsidRPr="00C83DF5">
              <w:rPr>
                <w:rFonts w:cs="Tahoma"/>
                <w:b/>
                <w:bCs/>
                <w:color w:val="000000"/>
                <w:szCs w:val="18"/>
              </w:rPr>
              <w:t>PIPC</w:t>
            </w:r>
          </w:p>
          <w:p w:rsidR="00C4660F" w:rsidRPr="00C83DF5" w:rsidRDefault="00C4660F" w:rsidP="00AD69BD">
            <w:pPr>
              <w:jc w:val="center"/>
              <w:rPr>
                <w:rFonts w:cs="Tahoma"/>
                <w:b/>
                <w:bCs/>
                <w:color w:val="000000"/>
                <w:szCs w:val="18"/>
              </w:rPr>
            </w:pPr>
            <w:r w:rsidRPr="00C83DF5">
              <w:rPr>
                <w:rFonts w:cs="Tahoma"/>
                <w:b/>
                <w:bCs/>
                <w:color w:val="000000"/>
                <w:szCs w:val="18"/>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83DF5" w:rsidRDefault="00C4660F" w:rsidP="00AD69BD">
            <w:pPr>
              <w:jc w:val="center"/>
              <w:rPr>
                <w:rFonts w:cs="Tahoma"/>
                <w:b/>
                <w:bCs/>
                <w:color w:val="000000"/>
                <w:szCs w:val="18"/>
              </w:rPr>
            </w:pPr>
            <w:r w:rsidRPr="00C83DF5">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83DF5" w:rsidRDefault="00C4660F" w:rsidP="00AD69BD">
            <w:pPr>
              <w:jc w:val="center"/>
              <w:rPr>
                <w:rFonts w:cs="Tahoma"/>
                <w:b/>
                <w:bCs/>
                <w:color w:val="000000"/>
                <w:szCs w:val="18"/>
              </w:rPr>
            </w:pPr>
            <w:r w:rsidRPr="00C83DF5">
              <w:rPr>
                <w:rFonts w:cs="Tahoma"/>
                <w:b/>
                <w:bCs/>
                <w:color w:val="000000"/>
                <w:szCs w:val="18"/>
              </w:rPr>
              <w:t>Open-Lizenz</w:t>
            </w:r>
          </w:p>
        </w:tc>
      </w:tr>
      <w:tr w:rsidR="000B0A08" w:rsidRPr="00C83DF5"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83DF5" w:rsidRDefault="000B0A08" w:rsidP="00257298">
            <w:pPr>
              <w:rPr>
                <w:rFonts w:cs="Tahoma"/>
                <w:b/>
                <w:bCs/>
                <w:color w:val="000000"/>
                <w:szCs w:val="18"/>
              </w:rPr>
            </w:pPr>
            <w:r w:rsidRPr="00C83DF5">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C83DF5"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C83DF5"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color w:val="000000"/>
                <w:sz w:val="21"/>
                <w:szCs w:val="21"/>
              </w:rPr>
            </w:pPr>
            <w:r w:rsidRPr="00C83DF5">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color w:val="000000"/>
                <w:sz w:val="21"/>
                <w:szCs w:val="21"/>
              </w:rPr>
            </w:pPr>
            <w:r w:rsidRPr="00C83DF5">
              <w:rPr>
                <w:color w:val="000000"/>
              </w:rPr>
              <w:t>x</w:t>
            </w:r>
          </w:p>
        </w:tc>
      </w:tr>
      <w:tr w:rsidR="000B0A08" w:rsidRPr="00C83DF5"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83DF5" w:rsidRDefault="000B0A08" w:rsidP="00257298">
            <w:pPr>
              <w:rPr>
                <w:rFonts w:cs="Tahoma"/>
                <w:b/>
                <w:bCs/>
                <w:color w:val="000000"/>
                <w:szCs w:val="18"/>
              </w:rPr>
            </w:pPr>
            <w:r w:rsidRPr="00C83DF5">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rsidR="000B0A08" w:rsidRPr="00C83DF5"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color w:val="000000"/>
                <w:sz w:val="21"/>
                <w:szCs w:val="21"/>
              </w:rPr>
            </w:pPr>
            <w:r w:rsidRPr="00C83DF5">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color w:val="000000"/>
                <w:sz w:val="21"/>
                <w:szCs w:val="21"/>
              </w:rPr>
            </w:pPr>
            <w:r w:rsidRPr="00C83DF5">
              <w:rPr>
                <w:color w:val="000000"/>
              </w:rPr>
              <w:t>x</w:t>
            </w:r>
          </w:p>
        </w:tc>
      </w:tr>
    </w:tbl>
    <w:p w:rsidR="00980240" w:rsidRPr="00C83DF5" w:rsidRDefault="00980240" w:rsidP="000B0A08"/>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C83DF5"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C83DF5" w:rsidRDefault="00C4660F" w:rsidP="00C4660F">
            <w:pPr>
              <w:ind w:left="5" w:firstLine="13"/>
              <w:jc w:val="center"/>
              <w:rPr>
                <w:rFonts w:eastAsia="MS PGothic" w:cs="Tahoma"/>
                <w:b/>
                <w:bCs/>
                <w:szCs w:val="18"/>
                <w:lang w:val="de-DE"/>
              </w:rPr>
            </w:pPr>
            <w:r w:rsidRPr="00C83DF5">
              <w:rPr>
                <w:rFonts w:cs="Tahoma"/>
                <w:b/>
                <w:bCs/>
                <w:szCs w:val="18"/>
                <w:lang w:val="de-DE"/>
              </w:rPr>
              <w:lastRenderedPageBreak/>
              <w:t>Qualifizierende Anwendungen für den Erwerb von Vermietungsrechten für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C83DF5" w:rsidRDefault="00C4660F" w:rsidP="00AD69BD">
            <w:pPr>
              <w:jc w:val="center"/>
              <w:rPr>
                <w:rFonts w:cs="Tahoma"/>
                <w:b/>
                <w:bCs/>
                <w:szCs w:val="18"/>
              </w:rPr>
            </w:pPr>
            <w:r w:rsidRPr="00C83DF5">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C83DF5" w:rsidRDefault="00C4660F" w:rsidP="00AD69BD">
            <w:pPr>
              <w:jc w:val="center"/>
            </w:pPr>
            <w:r w:rsidRPr="00C83DF5">
              <w:rPr>
                <w:rFonts w:cs="Tahoma"/>
                <w:b/>
                <w:bCs/>
                <w:szCs w:val="18"/>
              </w:rPr>
              <w:t>PIPC</w:t>
            </w:r>
          </w:p>
          <w:p w:rsidR="00C4660F" w:rsidRPr="00C83DF5" w:rsidRDefault="00C4660F" w:rsidP="00AD69BD">
            <w:pPr>
              <w:jc w:val="center"/>
              <w:rPr>
                <w:rFonts w:cs="Tahoma"/>
                <w:b/>
                <w:bCs/>
                <w:szCs w:val="16"/>
                <w:lang w:eastAsia="ja-JP"/>
              </w:rPr>
            </w:pPr>
            <w:r w:rsidRPr="00C83DF5">
              <w:rPr>
                <w:rFonts w:cs="Tahoma"/>
                <w:b/>
                <w:bCs/>
                <w:szCs w:val="18"/>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83DF5" w:rsidRDefault="00C4660F" w:rsidP="00AD69BD">
            <w:pPr>
              <w:jc w:val="center"/>
              <w:rPr>
                <w:rFonts w:cs="Tahoma"/>
                <w:b/>
                <w:bCs/>
                <w:szCs w:val="18"/>
              </w:rPr>
            </w:pPr>
            <w:r w:rsidRPr="00C83DF5">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C83DF5" w:rsidRDefault="00C4660F" w:rsidP="00AD69BD">
            <w:pPr>
              <w:jc w:val="center"/>
              <w:rPr>
                <w:rFonts w:cs="Tahoma"/>
                <w:b/>
                <w:bCs/>
                <w:szCs w:val="18"/>
              </w:rPr>
            </w:pPr>
            <w:r w:rsidRPr="00C83DF5">
              <w:rPr>
                <w:rFonts w:cs="Tahoma"/>
                <w:b/>
                <w:bCs/>
                <w:szCs w:val="18"/>
              </w:rPr>
              <w:t>Open-Lizenz</w:t>
            </w:r>
          </w:p>
        </w:tc>
      </w:tr>
      <w:tr w:rsidR="000B0A08" w:rsidRPr="00C83DF5"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C83DF5" w:rsidRDefault="000B0A08" w:rsidP="00257298">
            <w:pPr>
              <w:rPr>
                <w:rFonts w:cs="Tahoma"/>
                <w:b/>
                <w:bCs/>
                <w:szCs w:val="18"/>
                <w:lang w:eastAsia="ja-JP"/>
              </w:rPr>
            </w:pPr>
            <w:r w:rsidRPr="00C83DF5">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AD6873" w:rsidP="00AD69BD">
            <w:pPr>
              <w:jc w:val="center"/>
              <w:rPr>
                <w:rFonts w:eastAsia="MS PGothic" w:cs="Tahoma"/>
                <w:szCs w:val="18"/>
              </w:rPr>
            </w:pPr>
            <w:r w:rsidRPr="00C83DF5">
              <w:rPr>
                <w:rFonts w:cs="Tahoma"/>
                <w:szCs w:val="18"/>
              </w:rPr>
              <w:t xml:space="preserve"> </w:t>
            </w:r>
          </w:p>
        </w:tc>
        <w:tc>
          <w:tcPr>
            <w:tcW w:w="1355" w:type="dxa"/>
            <w:tcBorders>
              <w:top w:val="nil"/>
              <w:left w:val="nil"/>
              <w:bottom w:val="single" w:sz="8" w:space="0" w:color="auto"/>
              <w:right w:val="single" w:sz="8" w:space="0" w:color="auto"/>
            </w:tcBorders>
          </w:tcPr>
          <w:p w:rsidR="000B0A08" w:rsidRPr="00C83DF5"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szCs w:val="18"/>
              </w:rPr>
            </w:pPr>
            <w:r w:rsidRPr="00C83DF5">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szCs w:val="18"/>
              </w:rPr>
            </w:pPr>
            <w:r w:rsidRPr="00C83DF5">
              <w:rPr>
                <w:rFonts w:cs="Tahoma"/>
                <w:szCs w:val="18"/>
              </w:rPr>
              <w:t>x</w:t>
            </w:r>
          </w:p>
        </w:tc>
      </w:tr>
      <w:tr w:rsidR="000B0A08" w:rsidRPr="00C83DF5"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83DF5" w:rsidRDefault="000B0A08" w:rsidP="00257298">
            <w:pPr>
              <w:rPr>
                <w:rFonts w:cs="Tahoma"/>
                <w:b/>
                <w:bCs/>
                <w:szCs w:val="18"/>
                <w:lang w:eastAsia="ja-JP"/>
              </w:rPr>
            </w:pPr>
            <w:r w:rsidRPr="00C83DF5">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AD6873" w:rsidP="00AD69BD">
            <w:pPr>
              <w:jc w:val="center"/>
              <w:rPr>
                <w:rFonts w:eastAsia="MS PGothic" w:cs="Tahoma"/>
                <w:szCs w:val="18"/>
              </w:rPr>
            </w:pPr>
            <w:r w:rsidRPr="00C83DF5">
              <w:rPr>
                <w:rFonts w:cs="Tahoma"/>
                <w:szCs w:val="18"/>
              </w:rPr>
              <w:t xml:space="preserve"> </w:t>
            </w:r>
          </w:p>
        </w:tc>
        <w:tc>
          <w:tcPr>
            <w:tcW w:w="1355" w:type="dxa"/>
            <w:tcBorders>
              <w:top w:val="nil"/>
              <w:left w:val="nil"/>
              <w:bottom w:val="single" w:sz="8" w:space="0" w:color="auto"/>
              <w:right w:val="single" w:sz="8" w:space="0" w:color="auto"/>
            </w:tcBorders>
          </w:tcPr>
          <w:p w:rsidR="000B0A08" w:rsidRPr="00C83DF5"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szCs w:val="18"/>
              </w:rPr>
            </w:pPr>
            <w:r w:rsidRPr="00C83DF5">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jc w:val="center"/>
              <w:rPr>
                <w:rFonts w:eastAsia="MS PGothic" w:cs="Tahoma"/>
                <w:szCs w:val="18"/>
              </w:rPr>
            </w:pPr>
            <w:r w:rsidRPr="00C83DF5">
              <w:rPr>
                <w:rFonts w:cs="Tahoma"/>
                <w:szCs w:val="18"/>
              </w:rPr>
              <w:t>x</w:t>
            </w:r>
          </w:p>
        </w:tc>
      </w:tr>
      <w:tr w:rsidR="000B0A08" w:rsidRPr="00C83DF5"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83DF5" w:rsidRDefault="000B0A08" w:rsidP="00257298">
            <w:pPr>
              <w:rPr>
                <w:rFonts w:cs="Tahoma"/>
                <w:b/>
                <w:bCs/>
                <w:szCs w:val="18"/>
              </w:rPr>
            </w:pPr>
            <w:r w:rsidRPr="00C83DF5">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C83DF5" w:rsidRDefault="000B0A08" w:rsidP="00AD69BD">
            <w:pPr>
              <w:jc w:val="center"/>
              <w:rPr>
                <w:rFonts w:eastAsia="MS PGothic" w:cs="Tahoma"/>
                <w:color w:val="000000"/>
                <w:szCs w:val="18"/>
              </w:rPr>
            </w:pPr>
            <w:r w:rsidRPr="00C83DF5">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szCs w:val="18"/>
              </w:rPr>
            </w:pPr>
          </w:p>
        </w:tc>
      </w:tr>
      <w:tr w:rsidR="000B0A08" w:rsidRPr="00C83DF5"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83DF5" w:rsidRDefault="000B0A08" w:rsidP="00257298">
            <w:pPr>
              <w:rPr>
                <w:rFonts w:cs="Tahoma"/>
                <w:b/>
                <w:bCs/>
                <w:szCs w:val="18"/>
              </w:rPr>
            </w:pPr>
            <w:r w:rsidRPr="00C83DF5">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C83DF5" w:rsidRDefault="000B0A08" w:rsidP="00AD69BD">
            <w:pPr>
              <w:jc w:val="center"/>
              <w:rPr>
                <w:rFonts w:eastAsia="MS PGothic" w:cs="Tahoma"/>
                <w:color w:val="000000"/>
                <w:szCs w:val="18"/>
              </w:rPr>
            </w:pPr>
            <w:r w:rsidRPr="00C83DF5">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szCs w:val="18"/>
              </w:rPr>
            </w:pPr>
          </w:p>
        </w:tc>
      </w:tr>
      <w:tr w:rsidR="000B0A08" w:rsidRPr="00C83DF5"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C83DF5" w:rsidRDefault="000B0A08" w:rsidP="00257298">
            <w:pPr>
              <w:rPr>
                <w:rFonts w:cs="Tahoma"/>
                <w:b/>
                <w:bCs/>
                <w:szCs w:val="18"/>
              </w:rPr>
            </w:pPr>
            <w:r w:rsidRPr="00C83DF5">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C83DF5" w:rsidRDefault="000B0A08" w:rsidP="00AD69BD">
            <w:pPr>
              <w:jc w:val="center"/>
              <w:rPr>
                <w:rFonts w:eastAsia="MS PGothic" w:cs="Tahoma"/>
                <w:color w:val="000000" w:themeColor="text1"/>
                <w:szCs w:val="18"/>
              </w:rPr>
            </w:pPr>
            <w:r w:rsidRPr="00C83DF5">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C83DF5" w:rsidRDefault="000B0A08" w:rsidP="00AD69BD">
            <w:pPr>
              <w:rPr>
                <w:rFonts w:eastAsia="Times New Roman" w:cs="Tahoma"/>
                <w:color w:val="000000" w:themeColor="text1"/>
                <w:szCs w:val="18"/>
              </w:rPr>
            </w:pPr>
          </w:p>
        </w:tc>
      </w:tr>
    </w:tbl>
    <w:p w:rsidR="000B0A08" w:rsidRPr="006C6A9F" w:rsidRDefault="000B0A08" w:rsidP="00980240">
      <w:pPr>
        <w:rPr>
          <w:rFonts w:cs="Tahoma"/>
          <w:szCs w:val="18"/>
          <w:lang w:eastAsia="ja-JP"/>
        </w:rPr>
      </w:pPr>
    </w:p>
    <w:p w:rsidR="000B0A08" w:rsidRPr="00C83DF5" w:rsidRDefault="000B0A08" w:rsidP="005C382A">
      <w:pPr>
        <w:ind w:left="720"/>
        <w:rPr>
          <w:lang w:val="de-DE"/>
        </w:rPr>
      </w:pPr>
      <w:r w:rsidRPr="00C83DF5">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rsidR="00223A77" w:rsidRPr="008B3D04" w:rsidRDefault="00223A77" w:rsidP="005C382A">
      <w:pPr>
        <w:ind w:left="720"/>
        <w:rPr>
          <w:rFonts w:cs="Tahoma"/>
          <w:color w:val="000000"/>
          <w:szCs w:val="18"/>
          <w:lang w:val="de-DE"/>
        </w:rPr>
      </w:pPr>
    </w:p>
    <w:p w:rsidR="00223A77" w:rsidRPr="00C83DF5" w:rsidRDefault="00223A77" w:rsidP="00864B8A">
      <w:pPr>
        <w:spacing w:after="60"/>
        <w:ind w:left="720"/>
        <w:rPr>
          <w:lang w:val="de-DE"/>
        </w:rPr>
      </w:pPr>
      <w:r w:rsidRPr="00C83DF5">
        <w:rPr>
          <w:rFonts w:cs="Tahoma"/>
          <w:b/>
          <w:lang w:val="de-DE"/>
        </w:rPr>
        <w:t>Software Assurance-Ausnahme</w:t>
      </w:r>
    </w:p>
    <w:p w:rsidR="009504CA" w:rsidRPr="00C83DF5" w:rsidRDefault="00223A77" w:rsidP="005C382A">
      <w:pPr>
        <w:ind w:left="720"/>
        <w:rPr>
          <w:lang w:val="de-DE"/>
        </w:rPr>
      </w:pPr>
      <w:r w:rsidRPr="00C83DF5">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rsidR="00413D8A" w:rsidRPr="008B3D04" w:rsidRDefault="00413D8A">
      <w:pPr>
        <w:rPr>
          <w:rFonts w:cs="Tahoma"/>
          <w:color w:val="000000"/>
          <w:szCs w:val="18"/>
          <w:lang w:val="de-DE"/>
        </w:rPr>
      </w:pPr>
    </w:p>
    <w:p w:rsidR="00980240" w:rsidRPr="008B3D04" w:rsidRDefault="00980240" w:rsidP="00980240">
      <w:pPr>
        <w:rPr>
          <w:rFonts w:cs="Tahoma"/>
          <w:color w:val="000000"/>
          <w:szCs w:val="18"/>
          <w:lang w:val="de-DE"/>
        </w:rPr>
      </w:pPr>
    </w:p>
    <w:p w:rsidR="00257298" w:rsidRPr="00C83DF5" w:rsidRDefault="00A560B6" w:rsidP="005C382A">
      <w:pPr>
        <w:pStyle w:val="Heading3"/>
        <w:rPr>
          <w:lang w:val="de-DE"/>
        </w:rPr>
      </w:pPr>
      <w:bookmarkStart w:id="1048" w:name="_15_Visio_Professional"/>
      <w:bookmarkStart w:id="1049" w:name="_17_Visio_Professional"/>
      <w:bookmarkStart w:id="1050" w:name="_18_Visio_Professional"/>
      <w:bookmarkStart w:id="1051" w:name="_Toc370983384"/>
      <w:bookmarkEnd w:id="1048"/>
      <w:bookmarkEnd w:id="1049"/>
      <w:bookmarkEnd w:id="1050"/>
      <w:r w:rsidRPr="00C83DF5">
        <w:rPr>
          <w:rFonts w:ascii="Tahoma" w:hAnsi="Tahoma"/>
          <w:caps/>
          <w:color w:val="F66400"/>
          <w:sz w:val="22"/>
          <w:vertAlign w:val="superscript"/>
          <w:lang w:val="de-DE"/>
        </w:rPr>
        <w:t>18</w:t>
      </w:r>
      <w:r w:rsidRPr="00C83DF5">
        <w:rPr>
          <w:rFonts w:ascii="Tahoma" w:hAnsi="Tahoma"/>
          <w:color w:val="F66400"/>
          <w:sz w:val="22"/>
          <w:lang w:val="de-DE"/>
        </w:rPr>
        <w:t xml:space="preserve"> Visio Professional 2013</w:t>
      </w:r>
      <w:bookmarkEnd w:id="1051"/>
    </w:p>
    <w:p w:rsidR="005C382A" w:rsidRPr="008B3D04" w:rsidRDefault="005C382A" w:rsidP="005C382A">
      <w:pPr>
        <w:rPr>
          <w:lang w:val="de-DE"/>
        </w:rPr>
      </w:pPr>
    </w:p>
    <w:p w:rsidR="00257298" w:rsidRPr="00C83DF5" w:rsidRDefault="00257298" w:rsidP="00864B8A">
      <w:pPr>
        <w:spacing w:after="60"/>
        <w:ind w:left="720"/>
        <w:rPr>
          <w:lang w:val="de-DE"/>
        </w:rPr>
      </w:pPr>
      <w:r w:rsidRPr="00C83DF5">
        <w:rPr>
          <w:rFonts w:cs="Tahoma"/>
          <w:b/>
          <w:lang w:val="de-DE"/>
        </w:rPr>
        <w:t xml:space="preserve">Software Assurance-Migrationspfad für </w:t>
      </w:r>
      <w:bookmarkStart w:id="1052" w:name="Srv_11VisioPremium2010"/>
      <w:bookmarkStart w:id="1053" w:name="Aps_11VisioPremium2010"/>
      <w:bookmarkStart w:id="1054" w:name="_Toc336338274"/>
      <w:bookmarkStart w:id="1055" w:name="Srv_VisioPremium2010"/>
      <w:r w:rsidRPr="00C83DF5">
        <w:rPr>
          <w:rFonts w:cs="Tahoma"/>
          <w:b/>
          <w:lang w:val="de-DE"/>
        </w:rPr>
        <w:t>Visio Premium 2010</w:t>
      </w:r>
      <w:bookmarkEnd w:id="1052"/>
      <w:bookmarkEnd w:id="1053"/>
      <w:bookmarkEnd w:id="1054"/>
    </w:p>
    <w:bookmarkEnd w:id="1055"/>
    <w:p w:rsidR="00257298" w:rsidRPr="00C83DF5" w:rsidRDefault="00257298" w:rsidP="006C6A9F">
      <w:pPr>
        <w:pStyle w:val="FootnoteBulletLevel1"/>
        <w:spacing w:before="0" w:after="0"/>
        <w:ind w:left="720" w:firstLine="0"/>
        <w:rPr>
          <w:lang w:val="de-DE"/>
        </w:rPr>
      </w:pPr>
      <w:r w:rsidRPr="00C83DF5">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w:t>
      </w:r>
      <w:r w:rsidR="006C6A9F">
        <w:rPr>
          <w:rFonts w:ascii="Tahoma" w:hAnsi="Tahoma" w:cs="Tahoma"/>
          <w:sz w:val="18"/>
          <w:lang w:val="de-DE"/>
        </w:rPr>
        <w:t> </w:t>
      </w:r>
      <w:r w:rsidRPr="00C83DF5">
        <w:rPr>
          <w:rFonts w:ascii="Tahoma" w:hAnsi="Tahoma" w:cs="Tahoma"/>
          <w:sz w:val="18"/>
          <w:lang w:val="de-DE"/>
        </w:rPr>
        <w:t>Premium 2010 zu nutzen. Das Recht zur Nutzung von Visio Professional 2013 im Rahmen dieses Angebots gilt bis zum Ablauf des Rechts zur Nutzung von Visio Premium 2010 gemäß den qualifizierenden Lizenzen.</w:t>
      </w:r>
      <w:r w:rsidR="00E71F46" w:rsidRPr="00C83DF5">
        <w:rPr>
          <w:rFonts w:ascii="Tahoma" w:hAnsi="Tahoma" w:cs="Tahoma"/>
          <w:sz w:val="18"/>
          <w:lang w:val="de-DE"/>
        </w:rPr>
        <w:t xml:space="preserve"> </w:t>
      </w:r>
      <w:r w:rsidRPr="00C83DF5">
        <w:rPr>
          <w:rFonts w:ascii="Tahoma" w:hAnsi="Tahoma" w:cs="Tahoma"/>
          <w:sz w:val="18"/>
          <w:lang w:val="de-DE"/>
        </w:rPr>
        <w:t>Die Nutzung von Visio Professional 2013 unterliegt den Nutzungsrechten für Visio Professional 2013 sowie den Bestimmungen des Volumenlizenzvertrages des Kunden.</w:t>
      </w:r>
      <w:r w:rsidR="00E71F46" w:rsidRPr="00C83DF5">
        <w:rPr>
          <w:rFonts w:ascii="Tahoma" w:hAnsi="Tahoma" w:cs="Tahoma"/>
          <w:sz w:val="18"/>
          <w:lang w:val="de-DE"/>
        </w:rPr>
        <w:t xml:space="preserve"> </w:t>
      </w:r>
      <w:r w:rsidRPr="00C83DF5">
        <w:rPr>
          <w:rFonts w:ascii="Tahoma" w:hAnsi="Tahoma" w:cs="Tahoma"/>
          <w:sz w:val="18"/>
          <w:lang w:val="de-DE"/>
        </w:rPr>
        <w:t>Dieser Hinweis auf die Produktbedingungen belegt gemeinsam mit dem Nachweis des Kunden der entsprechenden qualifizierenden Lizenz das Recht, Visio Professional 2013 im Rahmen dieses Angebots zu nutzen.</w:t>
      </w:r>
      <w:r w:rsidR="00E71F46" w:rsidRPr="00C83DF5">
        <w:rPr>
          <w:rFonts w:ascii="Tahoma" w:hAnsi="Tahoma" w:cs="Tahoma"/>
          <w:sz w:val="18"/>
          <w:lang w:val="de-DE"/>
        </w:rPr>
        <w:t xml:space="preserve"> </w:t>
      </w:r>
      <w:r w:rsidRPr="00C83DF5">
        <w:rPr>
          <w:rFonts w:ascii="Tahoma" w:hAnsi="Tahoma" w:cs="Tahoma"/>
          <w:sz w:val="18"/>
          <w:lang w:val="de-DE"/>
        </w:rPr>
        <w:t>Nach Ablauf von Software</w:t>
      </w:r>
      <w:r w:rsidR="006C6A9F">
        <w:rPr>
          <w:rFonts w:ascii="Tahoma" w:hAnsi="Tahoma" w:cs="Tahoma"/>
          <w:sz w:val="18"/>
          <w:lang w:val="de-DE"/>
        </w:rPr>
        <w:t> </w:t>
      </w:r>
      <w:r w:rsidRPr="00C83DF5">
        <w:rPr>
          <w:rFonts w:ascii="Tahoma" w:hAnsi="Tahoma" w:cs="Tahoma"/>
          <w:sz w:val="18"/>
          <w:lang w:val="de-DE"/>
        </w:rPr>
        <w:t>Assurance für Visio Premium 2010 kann der Kunde Software Assurance für Visio Professional 2013 erwerben, ohne separat eine neue Lizenz erwerben zu müssen.</w:t>
      </w:r>
    </w:p>
    <w:p w:rsidR="005C382A" w:rsidRPr="008B3D04" w:rsidRDefault="005C382A" w:rsidP="005C382A">
      <w:pPr>
        <w:pStyle w:val="FootnoteBulletLevel1"/>
        <w:spacing w:before="0" w:after="0"/>
        <w:ind w:left="720" w:firstLine="0"/>
        <w:rPr>
          <w:rFonts w:ascii="Tahoma" w:hAnsi="Tahoma" w:cs="Tahoma"/>
          <w:sz w:val="18"/>
          <w:lang w:val="de-DE"/>
        </w:rPr>
      </w:pPr>
    </w:p>
    <w:p w:rsidR="00DF3CEE" w:rsidRPr="00C83DF5" w:rsidRDefault="00DF3CEE" w:rsidP="00864B8A">
      <w:pPr>
        <w:spacing w:after="60"/>
        <w:ind w:left="720"/>
        <w:rPr>
          <w:lang w:val="de-DE"/>
        </w:rPr>
      </w:pPr>
      <w:r w:rsidRPr="00C83DF5">
        <w:rPr>
          <w:rFonts w:cs="Tahoma"/>
          <w:b/>
          <w:lang w:val="de-DE"/>
        </w:rPr>
        <w:t>Downgraderechte für Visio Professional 2013</w:t>
      </w:r>
    </w:p>
    <w:p w:rsidR="00DF3CEE" w:rsidRPr="00C83DF5" w:rsidRDefault="00DF3CEE" w:rsidP="005C382A">
      <w:pPr>
        <w:pStyle w:val="FootnoteBulletLevel1"/>
        <w:spacing w:before="0" w:after="0"/>
        <w:ind w:left="720" w:firstLine="0"/>
        <w:rPr>
          <w:lang w:val="de-DE"/>
        </w:rPr>
      </w:pPr>
      <w:r w:rsidRPr="00C83DF5">
        <w:rPr>
          <w:rFonts w:ascii="Tahoma" w:hAnsi="Tahoma" w:cs="Tahoma"/>
          <w:sz w:val="18"/>
          <w:lang w:val="de-DE"/>
        </w:rPr>
        <w:t>Software Assurance-Kunden, die nur Visio Premium 2010 bereitgestellt haben (d. h., sie verwenden in ihrer Organisation keine andere Visio-Edition) und zusätzliche Arbeitsplätze mit Visio Premium 2010 benötigen, sind berechtigt, Lizenzen für Visio Professional 2013 zu erwerben und ein Downgrade auf Visio Premium 2010 durchzuführen. Es sind keine anderen Downgrades von Visio Professional 2013 auf Visio Premium 2010 zulässig.</w:t>
      </w:r>
    </w:p>
    <w:p w:rsidR="005C382A" w:rsidRPr="008B3D04" w:rsidRDefault="005C382A" w:rsidP="005C382A">
      <w:pPr>
        <w:rPr>
          <w:lang w:val="de-DE"/>
        </w:rPr>
      </w:pPr>
    </w:p>
    <w:p w:rsidR="00676723" w:rsidRPr="008B3D04" w:rsidRDefault="00676723" w:rsidP="005C382A">
      <w:pPr>
        <w:rPr>
          <w:lang w:val="de-DE"/>
        </w:rPr>
      </w:pPr>
    </w:p>
    <w:p w:rsidR="00BE4D27" w:rsidRDefault="00A560B6" w:rsidP="00BE4D27">
      <w:pPr>
        <w:pStyle w:val="Heading3"/>
        <w:rPr>
          <w:rFonts w:ascii="Tahoma" w:hAnsi="Tahoma"/>
          <w:color w:val="F66400"/>
          <w:sz w:val="22"/>
          <w:lang w:val="de-DE"/>
        </w:rPr>
      </w:pPr>
      <w:bookmarkStart w:id="1056" w:name="_18_Visio_Pro"/>
      <w:bookmarkStart w:id="1057" w:name="_19_Visio_Pro"/>
      <w:bookmarkStart w:id="1058" w:name="_Toc370983385"/>
      <w:bookmarkEnd w:id="1056"/>
      <w:bookmarkEnd w:id="1057"/>
      <w:r w:rsidRPr="00C83DF5">
        <w:rPr>
          <w:rFonts w:ascii="Tahoma" w:hAnsi="Tahoma"/>
          <w:caps/>
          <w:color w:val="F66400"/>
          <w:sz w:val="22"/>
          <w:vertAlign w:val="superscript"/>
          <w:lang w:val="de-DE"/>
        </w:rPr>
        <w:t>19</w:t>
      </w:r>
      <w:r w:rsidRPr="00C83DF5">
        <w:rPr>
          <w:rFonts w:ascii="Tahoma" w:hAnsi="Tahoma"/>
          <w:color w:val="F66400"/>
          <w:sz w:val="22"/>
          <w:lang w:val="de-DE"/>
        </w:rPr>
        <w:t xml:space="preserve"> Visio Pro für Office 365</w:t>
      </w:r>
      <w:bookmarkEnd w:id="1058"/>
      <w:r w:rsidRPr="00C83DF5">
        <w:rPr>
          <w:rFonts w:ascii="Tahoma" w:hAnsi="Tahoma"/>
          <w:color w:val="F66400"/>
          <w:sz w:val="22"/>
          <w:lang w:val="de-DE"/>
        </w:rPr>
        <w:t xml:space="preserve"> </w:t>
      </w:r>
    </w:p>
    <w:p w:rsidR="006C6A9F" w:rsidRPr="006C6A9F" w:rsidRDefault="006C6A9F" w:rsidP="006C6A9F">
      <w:pPr>
        <w:rPr>
          <w:lang w:val="de-DE"/>
        </w:rPr>
      </w:pPr>
    </w:p>
    <w:p w:rsidR="00BE4D27" w:rsidRPr="00C83DF5" w:rsidRDefault="00BE4D27" w:rsidP="00BE4D27">
      <w:pPr>
        <w:spacing w:after="60"/>
        <w:ind w:left="720"/>
        <w:rPr>
          <w:lang w:val="de-DE"/>
        </w:rPr>
      </w:pPr>
      <w:r w:rsidRPr="00C83DF5">
        <w:rPr>
          <w:rFonts w:cs="Tahoma"/>
          <w:b/>
          <w:lang w:val="de-DE"/>
        </w:rPr>
        <w:t>Medienberechtigung mit Remotedesktopdiensten (RDS)</w:t>
      </w:r>
    </w:p>
    <w:p w:rsidR="00BE4D27" w:rsidRPr="00C83DF5" w:rsidRDefault="00BE4D27" w:rsidP="00BE4D27">
      <w:pPr>
        <w:ind w:left="720"/>
        <w:rPr>
          <w:lang w:val="de-DE"/>
        </w:rPr>
      </w:pPr>
      <w:r w:rsidRPr="00C83DF5">
        <w:rPr>
          <w:rFonts w:cs="Tahoma"/>
          <w:szCs w:val="18"/>
          <w:lang w:val="de-DE"/>
        </w:rPr>
        <w:t>Wenn der Nutzer, dem Sie eine Visio Pro für Office 365-Lizenz zugewiesen haben, die Software bei aktivierter RDS-Rolle auf einem Netzwerkserver nutzt, ist dieser Nutzer berechtigt, 1) eine Kopie der Visio 2013 Professional-Software auf einem Netzwerkserver zu installieren und 2) auf die Visio 2013 Professional-Software von jedem beliebigen Gerät aus zuzugreifen, anstatt eine Kopie der Software, die mit Visio Pro für Office 365 bereitgestellt wurde, auf einem der fünf gemäß den Produktbenutzungsrechten für Visio Pro für Office 365 zulässigen Geräte zu installieren.</w:t>
      </w:r>
      <w:r w:rsidR="00E71F46" w:rsidRPr="00C83DF5">
        <w:rPr>
          <w:rFonts w:cs="Tahoma"/>
          <w:szCs w:val="18"/>
          <w:lang w:val="de-DE"/>
        </w:rPr>
        <w:t xml:space="preserve"> </w:t>
      </w:r>
      <w:r w:rsidRPr="00C83DF5">
        <w:rPr>
          <w:rFonts w:cs="Tahoma"/>
          <w:szCs w:val="18"/>
          <w:lang w:val="de-DE"/>
        </w:rPr>
        <w:t xml:space="preserve">Nach Kündigung Ihres Visio Pro für Office 365-Abonnements müssen Sie die Visio 2013 Professional-Software vom Netzwerkserver deinstallieren. </w:t>
      </w:r>
    </w:p>
    <w:p w:rsidR="00BE4D27" w:rsidRPr="008B3D04" w:rsidRDefault="00BE4D27" w:rsidP="00BE4D27">
      <w:pPr>
        <w:ind w:left="720"/>
        <w:rPr>
          <w:rFonts w:cs="Tahoma"/>
          <w:bCs/>
          <w:szCs w:val="18"/>
          <w:lang w:val="de-DE"/>
        </w:rPr>
      </w:pPr>
    </w:p>
    <w:p w:rsidR="006C6A9F" w:rsidRPr="008B3D04" w:rsidRDefault="006C6A9F" w:rsidP="00BE4D27">
      <w:pPr>
        <w:ind w:left="720"/>
        <w:rPr>
          <w:rFonts w:cs="Tahoma"/>
          <w:bCs/>
          <w:szCs w:val="18"/>
          <w:lang w:val="de-DE"/>
        </w:rPr>
      </w:pPr>
    </w:p>
    <w:p w:rsidR="006C6A9F" w:rsidRPr="008B3D04" w:rsidRDefault="006C6A9F" w:rsidP="00BE4D27">
      <w:pPr>
        <w:ind w:left="720"/>
        <w:rPr>
          <w:rFonts w:cs="Tahoma"/>
          <w:bCs/>
          <w:szCs w:val="18"/>
          <w:lang w:val="de-DE"/>
        </w:rPr>
      </w:pPr>
    </w:p>
    <w:p w:rsidR="006C6A9F" w:rsidRPr="008B3D04" w:rsidRDefault="006C6A9F" w:rsidP="00BE4D27">
      <w:pPr>
        <w:ind w:left="720"/>
        <w:rPr>
          <w:rFonts w:cs="Tahoma"/>
          <w:bCs/>
          <w:szCs w:val="18"/>
          <w:lang w:val="de-DE"/>
        </w:rPr>
      </w:pPr>
    </w:p>
    <w:p w:rsidR="00BE4D27" w:rsidRPr="00C83DF5" w:rsidRDefault="00BE4D27" w:rsidP="00BE4D27">
      <w:pPr>
        <w:spacing w:after="60"/>
        <w:ind w:left="720"/>
        <w:rPr>
          <w:lang w:val="de-DE"/>
        </w:rPr>
      </w:pPr>
      <w:r w:rsidRPr="00C83DF5">
        <w:rPr>
          <w:rFonts w:cs="Tahoma"/>
          <w:b/>
          <w:lang w:val="de-DE"/>
        </w:rPr>
        <w:lastRenderedPageBreak/>
        <w:t>Downgraderechte</w:t>
      </w:r>
    </w:p>
    <w:p w:rsidR="00BE4D27" w:rsidRPr="00C83DF5" w:rsidRDefault="00BE4D27" w:rsidP="00BE4D27">
      <w:pPr>
        <w:ind w:left="720"/>
        <w:rPr>
          <w:lang w:val="de-DE"/>
        </w:rPr>
      </w:pPr>
      <w:r w:rsidRPr="00C83DF5">
        <w:rPr>
          <w:rFonts w:cs="Tahoma"/>
          <w:bCs/>
          <w:szCs w:val="18"/>
          <w:lang w:val="de-DE"/>
        </w:rPr>
        <w:t xml:space="preserve">Der Visio Pro für Office 365-Service umfasst keine Downgraderechte. Weitere Informationen zu Onlinedienste-Upgradeanforderungen finden Sie in den Produktbenutzungsrechten (PUR) von Microsoft unter </w:t>
      </w:r>
      <w:hyperlink r:id="rId39" w:history="1">
        <w:r w:rsidRPr="00C83DF5">
          <w:rPr>
            <w:rStyle w:val="Hyperlink"/>
            <w:rFonts w:cs="Tahoma"/>
            <w:bCs/>
            <w:szCs w:val="18"/>
            <w:lang w:val="de-DE"/>
          </w:rPr>
          <w:t>http://www.microsoftvolumelicensing.com/userights/PUR.aspx</w:t>
        </w:r>
      </w:hyperlink>
    </w:p>
    <w:p w:rsidR="00BE4D27" w:rsidRPr="008B3D04" w:rsidRDefault="00BE4D27" w:rsidP="005C382A">
      <w:pPr>
        <w:rPr>
          <w:lang w:val="de-DE"/>
        </w:rPr>
      </w:pPr>
    </w:p>
    <w:p w:rsidR="005C382A" w:rsidRPr="008B3D04" w:rsidRDefault="005C382A" w:rsidP="005C382A">
      <w:pPr>
        <w:rPr>
          <w:lang w:val="de-DE"/>
        </w:rPr>
      </w:pPr>
    </w:p>
    <w:p w:rsidR="00223A77" w:rsidRPr="00C83DF5" w:rsidRDefault="00A560B6" w:rsidP="00223A77">
      <w:pPr>
        <w:pStyle w:val="Heading3"/>
        <w:rPr>
          <w:lang w:val="de-DE"/>
        </w:rPr>
      </w:pPr>
      <w:bookmarkStart w:id="1059" w:name="_19_Visual_Studio"/>
      <w:bookmarkStart w:id="1060" w:name="_Toc336338275"/>
      <w:bookmarkStart w:id="1061" w:name="Aps_12VS2010Professional"/>
      <w:bookmarkStart w:id="1062" w:name="_Toc252341836"/>
      <w:bookmarkStart w:id="1063" w:name="_Toc370983386"/>
      <w:bookmarkEnd w:id="1059"/>
      <w:r w:rsidRPr="00C83DF5">
        <w:rPr>
          <w:rFonts w:ascii="Tahoma" w:hAnsi="Tahoma"/>
          <w:caps/>
          <w:color w:val="F66400"/>
          <w:sz w:val="22"/>
          <w:vertAlign w:val="superscript"/>
          <w:lang w:val="de-DE"/>
        </w:rPr>
        <w:t>20</w:t>
      </w:r>
      <w:r w:rsidRPr="00C83DF5">
        <w:rPr>
          <w:rFonts w:ascii="Tahoma" w:hAnsi="Tahoma"/>
          <w:color w:val="F66400"/>
          <w:sz w:val="22"/>
          <w:lang w:val="de-DE"/>
        </w:rPr>
        <w:t xml:space="preserve"> Visual Studio Professional 2012</w:t>
      </w:r>
      <w:bookmarkEnd w:id="1060"/>
      <w:bookmarkEnd w:id="1063"/>
    </w:p>
    <w:bookmarkEnd w:id="1061"/>
    <w:p w:rsidR="009275A3" w:rsidRPr="008B3D04" w:rsidRDefault="009275A3" w:rsidP="009275A3">
      <w:pPr>
        <w:pStyle w:val="FootnoteBulletLevel1"/>
        <w:tabs>
          <w:tab w:val="clear" w:pos="900"/>
        </w:tabs>
        <w:spacing w:before="0" w:after="0"/>
        <w:ind w:left="0" w:firstLine="0"/>
        <w:rPr>
          <w:rFonts w:ascii="Tahoma" w:hAnsi="Tahoma" w:cs="Tahoma"/>
          <w:sz w:val="18"/>
          <w:u w:val="single"/>
          <w:lang w:val="de-DE"/>
        </w:rPr>
      </w:pPr>
    </w:p>
    <w:p w:rsidR="006D58DB" w:rsidRPr="00C83DF5" w:rsidRDefault="006D58DB" w:rsidP="00864B8A">
      <w:pPr>
        <w:spacing w:after="60"/>
        <w:ind w:left="720"/>
        <w:rPr>
          <w:lang w:val="de-DE"/>
        </w:rPr>
      </w:pPr>
      <w:r w:rsidRPr="00C83DF5">
        <w:rPr>
          <w:rFonts w:cs="Tahoma"/>
          <w:b/>
          <w:lang w:val="de-DE"/>
        </w:rPr>
        <w:t>Software Assurance-Migrationspfad für Visual Studio LightSwitch 2011</w:t>
      </w:r>
    </w:p>
    <w:p w:rsidR="006D58DB" w:rsidRPr="00C83DF5" w:rsidRDefault="006D58DB" w:rsidP="006C6A9F">
      <w:pPr>
        <w:pStyle w:val="FootnoteBulletLevel1"/>
        <w:tabs>
          <w:tab w:val="clear" w:pos="900"/>
        </w:tabs>
        <w:spacing w:before="0" w:after="0"/>
        <w:ind w:left="720" w:firstLine="0"/>
        <w:rPr>
          <w:lang w:val="de-DE"/>
        </w:rPr>
      </w:pPr>
      <w:r w:rsidRPr="00C83DF5">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w:t>
      </w:r>
      <w:r w:rsidR="006C6A9F">
        <w:rPr>
          <w:rFonts w:ascii="Tahoma" w:hAnsi="Tahoma" w:cs="Tahoma"/>
          <w:sz w:val="18"/>
          <w:lang w:val="de-DE"/>
        </w:rPr>
        <w:t> </w:t>
      </w:r>
      <w:r w:rsidRPr="00C83DF5">
        <w:rPr>
          <w:rFonts w:ascii="Tahoma" w:hAnsi="Tahoma" w:cs="Tahoma"/>
          <w:sz w:val="18"/>
          <w:lang w:val="de-DE"/>
        </w:rPr>
        <w:t>bis zum Ablauf des Rechts zur Nutzung von Visual Studio LightSwitch 2011 gemäß den qualifizierenden Lizenzen.</w:t>
      </w:r>
      <w:r w:rsidR="00E71F46" w:rsidRPr="00C83DF5">
        <w:rPr>
          <w:rFonts w:ascii="Tahoma" w:hAnsi="Tahoma" w:cs="Tahoma"/>
          <w:sz w:val="18"/>
          <w:lang w:val="de-DE"/>
        </w:rPr>
        <w:t xml:space="preserve"> </w:t>
      </w:r>
      <w:r w:rsidRPr="00C83DF5">
        <w:rPr>
          <w:rFonts w:ascii="Tahoma" w:hAnsi="Tahoma" w:cs="Tahoma"/>
          <w:sz w:val="18"/>
          <w:lang w:val="de-DE"/>
        </w:rPr>
        <w:t>Die Nutzung von Visual Studio Professional 2012 unterliegt den Nutzungsrechten für Visual Studio Professional 2012 sowie den Bestimmungen des Volumenlizenzvertrages des Kunden.</w:t>
      </w:r>
      <w:r w:rsidR="00E71F46" w:rsidRPr="00C83DF5">
        <w:rPr>
          <w:rFonts w:ascii="Tahoma" w:hAnsi="Tahoma" w:cs="Tahoma"/>
          <w:sz w:val="18"/>
          <w:lang w:val="de-DE"/>
        </w:rPr>
        <w:t xml:space="preserve"> </w:t>
      </w:r>
      <w:r w:rsidRPr="00C83DF5">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00E71F46" w:rsidRPr="00C83DF5">
        <w:rPr>
          <w:rFonts w:ascii="Tahoma" w:hAnsi="Tahoma" w:cs="Tahoma"/>
          <w:sz w:val="18"/>
          <w:lang w:val="de-DE"/>
        </w:rPr>
        <w:t xml:space="preserve"> </w:t>
      </w:r>
    </w:p>
    <w:p w:rsidR="00223A77" w:rsidRPr="008B3D04" w:rsidRDefault="00223A77" w:rsidP="006C6A9F">
      <w:pPr>
        <w:rPr>
          <w:lang w:val="de-DE"/>
        </w:rPr>
      </w:pPr>
    </w:p>
    <w:p w:rsidR="00691648" w:rsidRPr="00C83DF5" w:rsidRDefault="00691648" w:rsidP="00691648">
      <w:pPr>
        <w:spacing w:after="60"/>
        <w:ind w:left="720"/>
        <w:rPr>
          <w:lang w:val="de-DE"/>
        </w:rPr>
      </w:pPr>
      <w:r w:rsidRPr="00C83DF5">
        <w:rPr>
          <w:b/>
          <w:bCs/>
          <w:lang w:val="de-DE"/>
        </w:rPr>
        <w:t>Software Assurance-Migrationspfad für Expression Studio Ultimate 4</w:t>
      </w:r>
    </w:p>
    <w:p w:rsidR="00691648" w:rsidRPr="00C83DF5" w:rsidRDefault="00691648" w:rsidP="00691648">
      <w:pPr>
        <w:ind w:left="720"/>
        <w:rPr>
          <w:lang w:val="de-DE"/>
        </w:rPr>
      </w:pPr>
      <w:r w:rsidRPr="00C83DF5">
        <w:rPr>
          <w:lang w:val="de-DE"/>
        </w:rPr>
        <w:t>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w:t>
      </w:r>
      <w:r w:rsidR="00E71F46" w:rsidRPr="00C83DF5">
        <w:rPr>
          <w:lang w:val="de-DE"/>
        </w:rPr>
        <w:t xml:space="preserve"> </w:t>
      </w:r>
      <w:r w:rsidRPr="00C83DF5">
        <w:rPr>
          <w:lang w:val="de-DE"/>
        </w:rPr>
        <w:t>Die Nutzung von Visual Studio Professional 2012 unterliegt den Nutzungsrechten für Visual Studio Professional 2012 sowie den Bestimmungen des Volumenlizenzvertrages des Kunden.</w:t>
      </w:r>
      <w:r w:rsidR="00E71F46" w:rsidRPr="00C83DF5">
        <w:rPr>
          <w:lang w:val="de-DE"/>
        </w:rPr>
        <w:t xml:space="preserve"> </w:t>
      </w:r>
      <w:r w:rsidRPr="00C83DF5">
        <w:rPr>
          <w:lang w:val="de-DE"/>
        </w:rPr>
        <w:t>Dieser Hinweis auf die Produktbedingungen belegt gemeinsam mit dem Nachweis des Kunden der entsprechenden qualifizierenden Lizenz das Recht, Visual Studio Professional 2012 im Rahmen dieses Angebots zu nutzen.</w:t>
      </w:r>
      <w:r w:rsidR="00E71F46" w:rsidRPr="00C83DF5">
        <w:rPr>
          <w:lang w:val="de-DE"/>
        </w:rPr>
        <w:t xml:space="preserve"> </w:t>
      </w:r>
    </w:p>
    <w:p w:rsidR="009275A3" w:rsidRPr="008B3D04" w:rsidRDefault="009275A3" w:rsidP="009275A3">
      <w:pPr>
        <w:rPr>
          <w:lang w:val="de-DE"/>
        </w:rPr>
      </w:pPr>
    </w:p>
    <w:p w:rsidR="00F73587" w:rsidRPr="008B3D04" w:rsidRDefault="00F73587" w:rsidP="009275A3">
      <w:pPr>
        <w:rPr>
          <w:lang w:val="de-DE"/>
        </w:rPr>
      </w:pPr>
    </w:p>
    <w:p w:rsidR="00223A77" w:rsidRPr="00C83DF5" w:rsidRDefault="00A560B6" w:rsidP="00223A77">
      <w:pPr>
        <w:pStyle w:val="Heading3"/>
      </w:pPr>
      <w:bookmarkStart w:id="1064" w:name="_20_Visual_Studio"/>
      <w:bookmarkStart w:id="1065" w:name="_Toc336338276"/>
      <w:bookmarkStart w:id="1066" w:name="Aps_13VS2010ProfessionalMSDN"/>
      <w:bookmarkStart w:id="1067" w:name="_Toc370983387"/>
      <w:bookmarkEnd w:id="1064"/>
      <w:r w:rsidRPr="00C83DF5">
        <w:rPr>
          <w:rFonts w:ascii="Tahoma" w:hAnsi="Tahoma"/>
          <w:caps/>
          <w:color w:val="F66400"/>
          <w:sz w:val="22"/>
          <w:vertAlign w:val="superscript"/>
        </w:rPr>
        <w:t>21</w:t>
      </w:r>
      <w:r w:rsidRPr="00C83DF5">
        <w:rPr>
          <w:rFonts w:ascii="Tahoma" w:hAnsi="Tahoma"/>
          <w:color w:val="F66400"/>
          <w:sz w:val="22"/>
        </w:rPr>
        <w:t xml:space="preserve"> Visual Studio Professional 2013 mit MSDN</w:t>
      </w:r>
      <w:bookmarkEnd w:id="1065"/>
      <w:bookmarkEnd w:id="1067"/>
      <w:r w:rsidRPr="00C83DF5">
        <w:rPr>
          <w:rFonts w:ascii="Tahoma" w:hAnsi="Tahoma"/>
          <w:color w:val="F66400"/>
          <w:sz w:val="22"/>
        </w:rPr>
        <w:t xml:space="preserve"> </w:t>
      </w:r>
      <w:bookmarkEnd w:id="1062"/>
    </w:p>
    <w:p w:rsidR="00F6352F" w:rsidRPr="00C83DF5" w:rsidRDefault="00F6352F" w:rsidP="005B0791">
      <w:pPr>
        <w:ind w:left="720"/>
      </w:pPr>
    </w:p>
    <w:bookmarkEnd w:id="1066"/>
    <w:p w:rsidR="001026FD" w:rsidRPr="00C83DF5" w:rsidRDefault="001026FD" w:rsidP="00864B8A">
      <w:pPr>
        <w:spacing w:after="60"/>
        <w:ind w:left="720"/>
      </w:pPr>
      <w:r w:rsidRPr="00C83DF5">
        <w:rPr>
          <w:rFonts w:cs="Tahoma"/>
          <w:b/>
        </w:rPr>
        <w:t>Visual Studio Team Foundation Server 2013</w:t>
      </w:r>
    </w:p>
    <w:p w:rsidR="001026FD" w:rsidRPr="00C83DF5" w:rsidRDefault="001026FD" w:rsidP="005B0791">
      <w:pPr>
        <w:pStyle w:val="EndnoteText"/>
        <w:tabs>
          <w:tab w:val="num" w:pos="1350"/>
        </w:tabs>
        <w:ind w:left="720"/>
        <w:rPr>
          <w:lang w:val="de-DE"/>
        </w:rPr>
      </w:pPr>
      <w:r w:rsidRPr="00C83DF5">
        <w:rPr>
          <w:rFonts w:ascii="Tahoma" w:hAnsi="Tahoma" w:cs="Tahoma"/>
          <w:sz w:val="18"/>
          <w:lang w:val="de-DE"/>
        </w:rPr>
        <w:t>Der Abonnent ist zu einer Serverlizenz für Visual Studio Team Foundation Server 2013 und zu einer Nutzer-CAL für Team Foundation Server berechtigt.</w:t>
      </w:r>
      <w:r w:rsidR="00E71F46" w:rsidRPr="00C83DF5">
        <w:rPr>
          <w:rFonts w:ascii="Tahoma" w:hAnsi="Tahoma" w:cs="Tahoma"/>
          <w:sz w:val="18"/>
          <w:lang w:val="de-DE"/>
        </w:rPr>
        <w:t xml:space="preserve"> </w:t>
      </w:r>
      <w:r w:rsidRPr="00C83DF5">
        <w:rPr>
          <w:rFonts w:ascii="Tahoma" w:hAnsi="Tahoma" w:cs="Tahoma"/>
          <w:sz w:val="18"/>
          <w:lang w:val="de-DE"/>
        </w:rPr>
        <w:t>Die Verwendung der CAL ist ausschließlich dem Abonnenten vorbehalten.</w:t>
      </w:r>
    </w:p>
    <w:p w:rsidR="001026FD" w:rsidRPr="008B3D04" w:rsidRDefault="001026FD" w:rsidP="005B0791">
      <w:pPr>
        <w:pStyle w:val="EndnoteText"/>
        <w:tabs>
          <w:tab w:val="num" w:pos="1350"/>
        </w:tabs>
        <w:ind w:left="720"/>
        <w:rPr>
          <w:rFonts w:ascii="Tahoma" w:hAnsi="Tahoma" w:cs="Tahoma"/>
          <w:sz w:val="18"/>
          <w:lang w:val="de-DE"/>
        </w:rPr>
      </w:pPr>
    </w:p>
    <w:p w:rsidR="001026FD" w:rsidRPr="00C83DF5" w:rsidRDefault="001026FD" w:rsidP="00864B8A">
      <w:pPr>
        <w:spacing w:after="60"/>
        <w:ind w:left="720"/>
        <w:rPr>
          <w:lang w:val="de-DE"/>
        </w:rPr>
      </w:pPr>
      <w:r w:rsidRPr="00C83DF5">
        <w:rPr>
          <w:rFonts w:cs="Tahoma"/>
          <w:b/>
          <w:lang w:val="de-DE"/>
        </w:rPr>
        <w:t>SQL Server Parallel Data Warehouse Developer</w:t>
      </w:r>
    </w:p>
    <w:p w:rsidR="001026FD" w:rsidRPr="00C83DF5" w:rsidRDefault="001026FD" w:rsidP="005B0791">
      <w:pPr>
        <w:pStyle w:val="EndnoteText"/>
        <w:tabs>
          <w:tab w:val="num" w:pos="1350"/>
        </w:tabs>
        <w:ind w:left="720"/>
        <w:rPr>
          <w:lang w:val="de-DE"/>
        </w:rPr>
      </w:pPr>
      <w:r w:rsidRPr="00C83DF5">
        <w:rPr>
          <w:rFonts w:ascii="Tahoma" w:hAnsi="Tahoma" w:cs="Tahoma"/>
          <w:sz w:val="18"/>
          <w:lang w:val="de-DE"/>
        </w:rPr>
        <w:t>Der Abonnent ist zu einer Lizenz für SQL Server 2012 Parallel Data Warehouse Developer berechtigt.</w:t>
      </w:r>
    </w:p>
    <w:p w:rsidR="005B0791" w:rsidRPr="008B3D04" w:rsidRDefault="005B0791" w:rsidP="005B0791">
      <w:pPr>
        <w:pStyle w:val="FootnoteBulletLevel1"/>
        <w:tabs>
          <w:tab w:val="clear" w:pos="900"/>
          <w:tab w:val="num" w:pos="1350"/>
        </w:tabs>
        <w:spacing w:before="0" w:after="0"/>
        <w:ind w:left="720" w:firstLine="0"/>
        <w:rPr>
          <w:rFonts w:ascii="Tahoma" w:hAnsi="Tahoma" w:cs="Tahoma"/>
          <w:sz w:val="18"/>
          <w:u w:val="single"/>
          <w:lang w:val="de-DE"/>
        </w:rPr>
      </w:pPr>
    </w:p>
    <w:p w:rsidR="00223A77" w:rsidRPr="00C83DF5" w:rsidRDefault="00223A77" w:rsidP="00864B8A">
      <w:pPr>
        <w:spacing w:after="60"/>
        <w:ind w:left="720"/>
      </w:pPr>
      <w:r w:rsidRPr="00C83DF5">
        <w:rPr>
          <w:rFonts w:cs="Tahoma"/>
          <w:b/>
        </w:rPr>
        <w:t>Software Assurance-Migrationspfad für Visual Studio 2010 Professional mit MSDN Embedded</w:t>
      </w:r>
    </w:p>
    <w:p w:rsidR="00223A77" w:rsidRPr="00767765" w:rsidRDefault="00223A77" w:rsidP="005B0791">
      <w:pPr>
        <w:pStyle w:val="FootnoteBulletLevel1"/>
        <w:tabs>
          <w:tab w:val="clear" w:pos="900"/>
          <w:tab w:val="num" w:pos="1350"/>
        </w:tabs>
        <w:spacing w:before="0" w:after="0"/>
        <w:ind w:left="720" w:firstLine="0"/>
        <w:rPr>
          <w:lang w:val="de-DE"/>
        </w:rPr>
      </w:pPr>
      <w:r w:rsidRPr="00767765">
        <w:rPr>
          <w:rFonts w:ascii="Tahoma" w:hAnsi="Tahoma" w:cs="Tahoma"/>
          <w:sz w:val="18"/>
          <w:lang w:val="de-DE"/>
        </w:rPr>
        <w:t xml:space="preserve">Die Folgeversion von Visual Studio 2010 Professional mit MSDN Embedded ist Visual Studio Professional 2012 mit MSDN. </w:t>
      </w:r>
    </w:p>
    <w:p w:rsidR="005B0791" w:rsidRPr="00767765" w:rsidRDefault="005B0791" w:rsidP="005B0791">
      <w:pPr>
        <w:pStyle w:val="FootnoteBulletLevel1"/>
        <w:tabs>
          <w:tab w:val="clear" w:pos="900"/>
          <w:tab w:val="num" w:pos="1350"/>
        </w:tabs>
        <w:spacing w:before="0" w:after="0"/>
        <w:ind w:left="720" w:firstLine="0"/>
        <w:rPr>
          <w:rFonts w:ascii="Tahoma" w:hAnsi="Tahoma" w:cs="Tahoma"/>
          <w:sz w:val="18"/>
          <w:u w:val="single"/>
          <w:lang w:val="de-DE"/>
        </w:rPr>
      </w:pPr>
    </w:p>
    <w:p w:rsidR="00223A77" w:rsidRPr="00C83DF5" w:rsidRDefault="00223A77" w:rsidP="00864B8A">
      <w:pPr>
        <w:spacing w:after="60"/>
        <w:ind w:left="720"/>
        <w:rPr>
          <w:lang w:val="de-DE"/>
        </w:rPr>
      </w:pPr>
      <w:r w:rsidRPr="00C83DF5">
        <w:rPr>
          <w:rFonts w:cs="Tahoma"/>
          <w:b/>
          <w:lang w:val="de-DE"/>
        </w:rPr>
        <w:t>Software Assurance-Berechtigung</w:t>
      </w:r>
    </w:p>
    <w:p w:rsidR="00BE4D27" w:rsidRPr="00C83DF5" w:rsidRDefault="00223A77" w:rsidP="000C6DBC">
      <w:pPr>
        <w:pStyle w:val="EndnoteText"/>
        <w:tabs>
          <w:tab w:val="left" w:pos="1170"/>
        </w:tabs>
        <w:ind w:left="720"/>
        <w:rPr>
          <w:lang w:val="de-DE"/>
        </w:rPr>
      </w:pPr>
      <w:r w:rsidRPr="00C83DF5">
        <w:rPr>
          <w:rFonts w:ascii="Tahoma" w:hAnsi="Tahoma" w:cs="Tahoma"/>
          <w:sz w:val="18"/>
          <w:lang w:val="de-DE"/>
        </w:rPr>
        <w:t>Kunden, deren Software Assurance für Lizenzen für die folgenden Produkte abläuft, sind berechtigt, diese als Software Assurance für Visual Studio Professional 2013 mit MSDN zu verlängern.</w:t>
      </w:r>
      <w:r w:rsidRPr="00C83DF5">
        <w:rPr>
          <w:rFonts w:cs="Tahoma"/>
          <w:lang w:val="de-DE"/>
        </w:rPr>
        <w:t xml:space="preserve"> </w:t>
      </w:r>
      <w:r w:rsidRPr="00C83DF5">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rsidR="00223A77" w:rsidRPr="008B3D04" w:rsidRDefault="00223A77" w:rsidP="00223A77">
      <w:pPr>
        <w:pStyle w:val="EndnoteText"/>
        <w:rPr>
          <w:rFonts w:ascii="Tahoma" w:hAnsi="Tahoma" w:cs="Tahoma"/>
          <w:sz w:val="18"/>
          <w:lang w:val="de-DE" w:eastAsia="ja-JP"/>
        </w:rPr>
      </w:pP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Ultimate mit MSDN</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Premium mit MSDN</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Professional mit MSDN</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Professional mit MSDN Embedded</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Professional mit MSDN Professional</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Professional mit MSDN Premium</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lastRenderedPageBreak/>
        <w:t>Visual Studio Team System Team Suite mit MSDN Premium</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Team System Test Edition mit MSDN Premium</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Team System Development Edition mit MSDN Premium</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 xml:space="preserve">Visual Studio Team System Architecture Edition mit MSDN Premium </w:t>
      </w:r>
    </w:p>
    <w:p w:rsidR="00223A77" w:rsidRPr="00C83DF5" w:rsidRDefault="00223A77" w:rsidP="005B0791">
      <w:pPr>
        <w:pStyle w:val="FootnoteBulletLevel2"/>
        <w:numPr>
          <w:ilvl w:val="0"/>
          <w:numId w:val="4"/>
        </w:numPr>
        <w:spacing w:before="0" w:after="60"/>
        <w:ind w:left="1440"/>
      </w:pPr>
      <w:r w:rsidRPr="00C83DF5">
        <w:rPr>
          <w:rFonts w:ascii="Tahoma" w:hAnsi="Tahoma" w:cs="Tahoma"/>
          <w:sz w:val="18"/>
        </w:rPr>
        <w:t>Visual Studio Team System Database Edition mit MSDN Premium</w:t>
      </w:r>
    </w:p>
    <w:p w:rsidR="00223A77" w:rsidRPr="00C83DF5" w:rsidRDefault="00223A77" w:rsidP="005B0791">
      <w:pPr>
        <w:pStyle w:val="FootnoteBulletLevel2"/>
        <w:numPr>
          <w:ilvl w:val="0"/>
          <w:numId w:val="4"/>
        </w:numPr>
        <w:spacing w:before="0" w:after="60"/>
        <w:ind w:left="1440"/>
        <w:rPr>
          <w:lang w:val="de-DE"/>
        </w:rPr>
      </w:pPr>
      <w:r w:rsidRPr="00C83DF5">
        <w:rPr>
          <w:rFonts w:ascii="Tahoma" w:hAnsi="Tahoma" w:cs="Tahoma"/>
          <w:sz w:val="18"/>
          <w:lang w:val="de-DE"/>
        </w:rPr>
        <w:t>Aktives Einzelhandelsabonnement für eine der oben genannten Softwareversionen</w:t>
      </w:r>
    </w:p>
    <w:p w:rsidR="00223A77" w:rsidRPr="00C83DF5" w:rsidRDefault="00223A77" w:rsidP="005B0791">
      <w:pPr>
        <w:pStyle w:val="FootnoteBulletLevel2"/>
        <w:numPr>
          <w:ilvl w:val="0"/>
          <w:numId w:val="4"/>
        </w:numPr>
        <w:spacing w:before="0" w:after="60"/>
        <w:ind w:left="1440"/>
        <w:rPr>
          <w:lang w:val="de-DE"/>
        </w:rPr>
      </w:pPr>
      <w:r w:rsidRPr="00C83DF5">
        <w:rPr>
          <w:rFonts w:ascii="Tahoma" w:hAnsi="Tahoma" w:cs="Tahoma"/>
          <w:sz w:val="18"/>
          <w:lang w:val="de-DE"/>
        </w:rPr>
        <w:t>MSDN Essentials (mit Einzelhandelslizenz für Visual Studio 2010 Professional erworben)</w:t>
      </w:r>
    </w:p>
    <w:p w:rsidR="00223A77" w:rsidRPr="00C83DF5" w:rsidRDefault="00223A77" w:rsidP="005B0791">
      <w:pPr>
        <w:pStyle w:val="FootnoteBulletLevel1"/>
        <w:spacing w:before="0" w:after="0"/>
        <w:ind w:left="0" w:firstLine="0"/>
        <w:rPr>
          <w:lang w:val="de-DE"/>
        </w:rPr>
      </w:pPr>
    </w:p>
    <w:p w:rsidR="00223A77" w:rsidRPr="00C83DF5" w:rsidRDefault="00223A77" w:rsidP="006C6A9F">
      <w:pPr>
        <w:pStyle w:val="FootnoteBulletLevel1"/>
        <w:tabs>
          <w:tab w:val="clear" w:pos="900"/>
        </w:tabs>
        <w:spacing w:before="0" w:after="0"/>
        <w:ind w:left="720" w:firstLine="0"/>
        <w:rPr>
          <w:lang w:val="de-DE"/>
        </w:rPr>
      </w:pPr>
      <w:r w:rsidRPr="00C83DF5">
        <w:rPr>
          <w:rFonts w:ascii="Tahoma" w:hAnsi="Tahoma" w:cs="Tahoma"/>
          <w:sz w:val="18"/>
          <w:lang w:val="de-DE"/>
        </w:rPr>
        <w:t xml:space="preserve">Konzern-, Select- oder Open Value-Kunden mit aktiver Software Assurance für Visual Studio Professional 2013 mit MSDN können </w:t>
      </w:r>
      <w:hyperlink w:anchor="Step_Up" w:history="1">
        <w:r w:rsidRPr="00C83DF5">
          <w:rPr>
            <w:rFonts w:ascii="Tahoma" w:hAnsi="Tahoma" w:cs="Tahoma"/>
            <w:sz w:val="18"/>
            <w:lang w:val="de-DE"/>
          </w:rPr>
          <w:t>Step Up-SKUs</w:t>
        </w:r>
      </w:hyperlink>
      <w:r w:rsidRPr="00C83DF5">
        <w:rPr>
          <w:rFonts w:ascii="Tahoma" w:hAnsi="Tahoma" w:cs="Tahoma"/>
          <w:sz w:val="18"/>
          <w:lang w:val="de-DE"/>
        </w:rPr>
        <w:t>für Visual Studio Premium 2013 mit MSDN oder Visual Studio Ultimate</w:t>
      </w:r>
      <w:r w:rsidR="006C6A9F">
        <w:rPr>
          <w:rFonts w:ascii="Tahoma" w:hAnsi="Tahoma" w:cs="Tahoma"/>
          <w:sz w:val="18"/>
          <w:lang w:val="de-DE"/>
        </w:rPr>
        <w:t> </w:t>
      </w:r>
      <w:r w:rsidRPr="00C83DF5">
        <w:rPr>
          <w:rFonts w:ascii="Tahoma" w:hAnsi="Tahoma" w:cs="Tahoma"/>
          <w:sz w:val="18"/>
          <w:lang w:val="de-DE"/>
        </w:rPr>
        <w:t>2013 mit MSDN erwerben.</w:t>
      </w:r>
    </w:p>
    <w:p w:rsidR="005B0791" w:rsidRPr="00C83DF5" w:rsidRDefault="005B0791" w:rsidP="005B0791">
      <w:pPr>
        <w:pStyle w:val="FootnoteBulletLevel2"/>
        <w:tabs>
          <w:tab w:val="clear" w:pos="1260"/>
        </w:tabs>
        <w:spacing w:before="0"/>
        <w:ind w:left="720" w:firstLine="0"/>
        <w:rPr>
          <w:lang w:val="de-DE"/>
        </w:rPr>
      </w:pPr>
    </w:p>
    <w:p w:rsidR="0055611F" w:rsidRPr="00C83DF5" w:rsidRDefault="009B2474" w:rsidP="001760D6">
      <w:pPr>
        <w:keepNext/>
        <w:spacing w:after="60"/>
        <w:ind w:left="720"/>
        <w:rPr>
          <w:lang w:val="de-DE"/>
        </w:rPr>
      </w:pPr>
      <w:r w:rsidRPr="00C83DF5">
        <w:rPr>
          <w:rFonts w:cs="Tahoma"/>
          <w:b/>
          <w:lang w:val="de-DE"/>
        </w:rPr>
        <w:t>Abonnementdienste</w:t>
      </w:r>
    </w:p>
    <w:p w:rsidR="0055611F" w:rsidRPr="00C83DF5" w:rsidRDefault="0055611F" w:rsidP="005B0791">
      <w:pPr>
        <w:pStyle w:val="FootnoteBulletLevel2"/>
        <w:tabs>
          <w:tab w:val="clear" w:pos="1260"/>
        </w:tabs>
        <w:spacing w:before="0"/>
        <w:ind w:left="720" w:firstLine="0"/>
        <w:rPr>
          <w:lang w:val="de-DE"/>
        </w:rPr>
      </w:pPr>
      <w:r w:rsidRPr="00C83DF5">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C83DF5" w:rsidRDefault="0055611F" w:rsidP="005B0791">
      <w:pPr>
        <w:pStyle w:val="FootnoteBulletLevel1"/>
        <w:tabs>
          <w:tab w:val="clear" w:pos="900"/>
        </w:tabs>
        <w:spacing w:before="0" w:after="0"/>
        <w:ind w:left="720" w:firstLine="0"/>
        <w:rPr>
          <w:lang w:val="de-DE"/>
        </w:rPr>
      </w:pPr>
    </w:p>
    <w:p w:rsidR="0055611F" w:rsidRPr="00C83DF5" w:rsidRDefault="009B2474" w:rsidP="00864B8A">
      <w:pPr>
        <w:spacing w:after="60"/>
        <w:ind w:left="720"/>
        <w:rPr>
          <w:lang w:val="de-DE"/>
        </w:rPr>
      </w:pPr>
      <w:r w:rsidRPr="00C83DF5">
        <w:rPr>
          <w:rFonts w:cs="Tahoma"/>
          <w:b/>
          <w:lang w:val="de-DE"/>
        </w:rPr>
        <w:t>Windows Azure Platform-Dienste</w:t>
      </w:r>
    </w:p>
    <w:p w:rsidR="0055611F" w:rsidRPr="00C83DF5" w:rsidRDefault="0055611F" w:rsidP="005B0791">
      <w:pPr>
        <w:pStyle w:val="FootnoteBulletLevel2"/>
        <w:tabs>
          <w:tab w:val="clear" w:pos="1260"/>
        </w:tabs>
        <w:spacing w:before="0"/>
        <w:ind w:left="720" w:firstLine="0"/>
        <w:rPr>
          <w:lang w:val="de-DE"/>
        </w:rPr>
      </w:pPr>
      <w:r w:rsidRPr="00C83DF5">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5B0791" w:rsidRPr="008B3D04" w:rsidRDefault="005B0791" w:rsidP="005B0791">
      <w:pPr>
        <w:pStyle w:val="FootnoteBulletLevel2"/>
        <w:tabs>
          <w:tab w:val="clear" w:pos="1260"/>
        </w:tabs>
        <w:spacing w:before="0"/>
        <w:ind w:left="0" w:firstLine="0"/>
        <w:rPr>
          <w:rFonts w:ascii="Tahoma" w:hAnsi="Tahoma" w:cs="Tahoma"/>
          <w:sz w:val="18"/>
          <w:lang w:val="de-DE"/>
        </w:rPr>
      </w:pPr>
    </w:p>
    <w:p w:rsidR="005B0791" w:rsidRPr="008B3D04" w:rsidRDefault="005B0791" w:rsidP="005B0791">
      <w:pPr>
        <w:pStyle w:val="FootnoteBulletLevel2"/>
        <w:tabs>
          <w:tab w:val="clear" w:pos="1260"/>
        </w:tabs>
        <w:spacing w:before="0"/>
        <w:ind w:left="0" w:firstLine="0"/>
        <w:rPr>
          <w:rFonts w:ascii="Tahoma" w:hAnsi="Tahoma" w:cs="Tahoma"/>
          <w:sz w:val="18"/>
          <w:lang w:val="de-DE"/>
        </w:rPr>
      </w:pPr>
    </w:p>
    <w:p w:rsidR="00223A77" w:rsidRPr="00C83DF5" w:rsidRDefault="00A560B6" w:rsidP="00223A77">
      <w:pPr>
        <w:pStyle w:val="Heading3"/>
      </w:pPr>
      <w:bookmarkStart w:id="1068" w:name="_21_Visual_Studio"/>
      <w:bookmarkStart w:id="1069" w:name="_Toc336338277"/>
      <w:bookmarkStart w:id="1070" w:name="_Toc252341837"/>
      <w:bookmarkStart w:id="1071" w:name="Aps_16VS2010PremiumMSDN"/>
      <w:bookmarkStart w:id="1072" w:name="_Toc370983388"/>
      <w:bookmarkEnd w:id="1068"/>
      <w:r w:rsidRPr="00C83DF5">
        <w:rPr>
          <w:rFonts w:ascii="Tahoma" w:hAnsi="Tahoma"/>
          <w:caps/>
          <w:color w:val="F66400"/>
          <w:sz w:val="22"/>
          <w:vertAlign w:val="superscript"/>
        </w:rPr>
        <w:t>22</w:t>
      </w:r>
      <w:r w:rsidRPr="00C83DF5">
        <w:rPr>
          <w:rFonts w:ascii="Tahoma" w:hAnsi="Tahoma"/>
          <w:color w:val="F66400"/>
          <w:sz w:val="22"/>
        </w:rPr>
        <w:t xml:space="preserve"> Visual Studio Premium 2013 mit MSDN</w:t>
      </w:r>
      <w:bookmarkEnd w:id="1069"/>
      <w:bookmarkEnd w:id="1072"/>
      <w:r w:rsidRPr="00C83DF5">
        <w:rPr>
          <w:rFonts w:ascii="Tahoma" w:hAnsi="Tahoma"/>
          <w:color w:val="F66400"/>
          <w:sz w:val="22"/>
        </w:rPr>
        <w:t xml:space="preserve"> </w:t>
      </w:r>
      <w:bookmarkEnd w:id="1070"/>
    </w:p>
    <w:bookmarkEnd w:id="1071"/>
    <w:p w:rsidR="00CB436E" w:rsidRPr="002202D0" w:rsidRDefault="00CB436E" w:rsidP="00CB436E">
      <w:pPr>
        <w:pStyle w:val="FootnoteBulletLevel1"/>
        <w:tabs>
          <w:tab w:val="clear" w:pos="900"/>
        </w:tabs>
        <w:spacing w:before="0" w:after="0"/>
        <w:ind w:left="720" w:firstLine="0"/>
        <w:rPr>
          <w:rFonts w:ascii="Tahoma" w:hAnsi="Tahoma" w:cs="Tahoma"/>
          <w:sz w:val="18"/>
          <w:u w:val="single"/>
        </w:rPr>
      </w:pPr>
    </w:p>
    <w:p w:rsidR="001026FD" w:rsidRPr="00C83DF5" w:rsidRDefault="001026FD" w:rsidP="00864B8A">
      <w:pPr>
        <w:spacing w:after="60"/>
        <w:ind w:left="720"/>
      </w:pPr>
      <w:r w:rsidRPr="00C83DF5">
        <w:rPr>
          <w:rFonts w:cs="Tahoma"/>
          <w:b/>
        </w:rPr>
        <w:t>Visual Studio Team Foundation Server 2013</w:t>
      </w:r>
    </w:p>
    <w:p w:rsidR="001026FD" w:rsidRPr="00C83DF5" w:rsidRDefault="001026FD" w:rsidP="00CB436E">
      <w:pPr>
        <w:pStyle w:val="EndnoteText"/>
        <w:ind w:left="720"/>
        <w:rPr>
          <w:lang w:val="de-DE"/>
        </w:rPr>
      </w:pPr>
      <w:r w:rsidRPr="00C83DF5">
        <w:rPr>
          <w:rFonts w:ascii="Tahoma" w:hAnsi="Tahoma" w:cs="Tahoma"/>
          <w:sz w:val="18"/>
          <w:lang w:val="de-DE"/>
        </w:rPr>
        <w:t xml:space="preserve">Der Abonnent ist zu einer Serverlizenz für Visual Studio Team Foundation Server 2013 und zu einer </w:t>
      </w:r>
      <w:r w:rsidR="00C066FD">
        <w:rPr>
          <w:rFonts w:ascii="Tahoma" w:hAnsi="Tahoma" w:cs="Tahoma"/>
          <w:sz w:val="18"/>
          <w:lang w:val="de-DE"/>
        </w:rPr>
        <w:br/>
      </w:r>
      <w:r w:rsidRPr="00C83DF5">
        <w:rPr>
          <w:rFonts w:ascii="Tahoma" w:hAnsi="Tahoma" w:cs="Tahoma"/>
          <w:sz w:val="18"/>
          <w:lang w:val="de-DE"/>
        </w:rPr>
        <w:t>Nutzer-CAL für Team Foundation Server berechtigt.</w:t>
      </w:r>
      <w:r w:rsidR="00E71F46" w:rsidRPr="00C83DF5">
        <w:rPr>
          <w:rFonts w:ascii="Tahoma" w:hAnsi="Tahoma" w:cs="Tahoma"/>
          <w:sz w:val="18"/>
          <w:lang w:val="de-DE"/>
        </w:rPr>
        <w:t xml:space="preserve"> </w:t>
      </w:r>
      <w:r w:rsidRPr="00C83DF5">
        <w:rPr>
          <w:rFonts w:ascii="Tahoma" w:hAnsi="Tahoma" w:cs="Tahoma"/>
          <w:sz w:val="18"/>
          <w:lang w:val="de-DE"/>
        </w:rPr>
        <w:t>Die Verwendung der CAL ist ausschließlich dem Abonnenten vorbehalten.</w:t>
      </w:r>
    </w:p>
    <w:p w:rsidR="001026FD" w:rsidRPr="008B3D04" w:rsidRDefault="001026FD" w:rsidP="00CB436E">
      <w:pPr>
        <w:pStyle w:val="EndnoteText"/>
        <w:ind w:left="720"/>
        <w:rPr>
          <w:rFonts w:ascii="Tahoma" w:hAnsi="Tahoma" w:cs="Tahoma"/>
          <w:sz w:val="18"/>
          <w:lang w:val="de-DE"/>
        </w:rPr>
      </w:pPr>
    </w:p>
    <w:p w:rsidR="001026FD" w:rsidRPr="00C83DF5" w:rsidRDefault="001026FD" w:rsidP="00864B8A">
      <w:pPr>
        <w:spacing w:after="60"/>
        <w:ind w:left="720"/>
        <w:rPr>
          <w:lang w:val="de-DE"/>
        </w:rPr>
      </w:pPr>
      <w:r w:rsidRPr="00C83DF5">
        <w:rPr>
          <w:rFonts w:cs="Tahoma"/>
          <w:b/>
          <w:lang w:val="de-DE"/>
        </w:rPr>
        <w:t>SQL Server Parallel Data Warehouse Developer</w:t>
      </w:r>
    </w:p>
    <w:p w:rsidR="001026FD" w:rsidRPr="00C83DF5" w:rsidRDefault="001026FD" w:rsidP="00CB436E">
      <w:pPr>
        <w:pStyle w:val="EndnoteText"/>
        <w:ind w:left="720"/>
        <w:rPr>
          <w:lang w:val="de-DE"/>
        </w:rPr>
      </w:pPr>
      <w:r w:rsidRPr="00C83DF5">
        <w:rPr>
          <w:rFonts w:ascii="Tahoma" w:hAnsi="Tahoma" w:cs="Tahoma"/>
          <w:sz w:val="18"/>
          <w:lang w:val="de-DE"/>
        </w:rPr>
        <w:t>Der Abonnent ist zu einer Lizenz für SQL Server 2012 Parallel Data Warehouse Developer berechtigt.</w:t>
      </w:r>
    </w:p>
    <w:p w:rsidR="00CB436E" w:rsidRPr="008B3D04" w:rsidRDefault="00CB436E" w:rsidP="002202D0">
      <w:pPr>
        <w:pStyle w:val="FootnoteBulletLevel1"/>
        <w:tabs>
          <w:tab w:val="clear" w:pos="900"/>
        </w:tabs>
        <w:spacing w:before="0" w:after="0"/>
        <w:ind w:left="720" w:firstLine="0"/>
        <w:rPr>
          <w:rFonts w:ascii="Tahoma" w:hAnsi="Tahoma" w:cs="Tahoma"/>
          <w:sz w:val="18"/>
          <w:u w:val="single"/>
          <w:lang w:val="de-DE"/>
        </w:rPr>
      </w:pPr>
    </w:p>
    <w:p w:rsidR="00223A77" w:rsidRPr="00C83DF5" w:rsidRDefault="009B2474" w:rsidP="00864B8A">
      <w:pPr>
        <w:spacing w:after="60"/>
        <w:ind w:left="720"/>
        <w:rPr>
          <w:lang w:val="de-DE"/>
        </w:rPr>
      </w:pPr>
      <w:r w:rsidRPr="00C83DF5">
        <w:rPr>
          <w:rFonts w:cs="Tahoma"/>
          <w:b/>
          <w:lang w:val="de-DE"/>
        </w:rPr>
        <w:t>Software Assurance-Berechtigung</w:t>
      </w:r>
    </w:p>
    <w:p w:rsidR="00BE4D27" w:rsidRPr="00C83DF5" w:rsidRDefault="00223A77" w:rsidP="000C6DBC">
      <w:pPr>
        <w:pStyle w:val="EndnoteText"/>
        <w:tabs>
          <w:tab w:val="left" w:pos="1080"/>
        </w:tabs>
        <w:ind w:left="720"/>
        <w:rPr>
          <w:lang w:val="de-DE"/>
        </w:rPr>
      </w:pPr>
      <w:r w:rsidRPr="00C83DF5">
        <w:rPr>
          <w:rFonts w:ascii="Tahoma" w:hAnsi="Tahoma" w:cs="Tahoma"/>
          <w:sz w:val="18"/>
          <w:lang w:val="de-DE"/>
        </w:rPr>
        <w:t>Kunden, deren Software Assurance für eines der folgenden Produkte abläuft, sind berechtigt, diese als Software Assurance für Visual Studio Premium 2013 mit MSDN zu verlängern. Bei Verlängerung auf einer anderen MSDN-Abonnementebene ersetzen die neuen Nutzungsbestimmungen die alten, und jegliche Software, die nicht im neuen MSDN-Abonnement enthalten ist, muss entfernt werden.</w:t>
      </w:r>
    </w:p>
    <w:p w:rsidR="00223A77" w:rsidRPr="008B3D04" w:rsidRDefault="00223A77" w:rsidP="007E466C">
      <w:pPr>
        <w:pStyle w:val="EndnoteText"/>
        <w:ind w:left="720"/>
        <w:rPr>
          <w:rFonts w:ascii="Tahoma" w:hAnsi="Tahoma" w:cs="Tahoma"/>
          <w:sz w:val="18"/>
          <w:lang w:val="de-DE" w:eastAsia="ja-JP"/>
        </w:rPr>
      </w:pP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Visual Studio Ultimate mit MSDN</w:t>
      </w: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Visual Studio Premium mit MSDN</w:t>
      </w: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Visual Studio Professional mit MSDN Premium</w:t>
      </w: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Visual Studio Team System Team Suite mit MSDN Premium</w:t>
      </w: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Visual Studio Team System Test Edition mit MSDN Premium</w:t>
      </w: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Visual Studio Team System Development Edition mit MSDN Premium</w:t>
      </w: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 xml:space="preserve">Visual Studio Team System Architecture Edition mit MSDN Premium </w:t>
      </w: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Visual Studio Team System Database Edition mit MSDN Premium</w:t>
      </w:r>
    </w:p>
    <w:p w:rsidR="00223A77" w:rsidRPr="00C83DF5" w:rsidRDefault="00223A77" w:rsidP="00CB436E">
      <w:pPr>
        <w:pStyle w:val="FootnoteBulletLevel2"/>
        <w:numPr>
          <w:ilvl w:val="0"/>
          <w:numId w:val="6"/>
        </w:numPr>
        <w:spacing w:before="0" w:after="60"/>
        <w:ind w:left="1440"/>
        <w:rPr>
          <w:lang w:val="de-DE"/>
        </w:rPr>
      </w:pPr>
      <w:r w:rsidRPr="00C83DF5">
        <w:rPr>
          <w:rFonts w:ascii="Tahoma" w:hAnsi="Tahoma" w:cs="Tahoma"/>
          <w:sz w:val="18"/>
          <w:lang w:val="de-DE"/>
        </w:rPr>
        <w:t>Aktives Einzelhandelsabonnement für eine der oben genannten Softwareversionen</w:t>
      </w:r>
    </w:p>
    <w:p w:rsidR="00413D8A" w:rsidRPr="00C83DF5" w:rsidRDefault="00413D8A">
      <w:pPr>
        <w:rPr>
          <w:lang w:val="de-DE"/>
        </w:rPr>
      </w:pPr>
    </w:p>
    <w:p w:rsidR="00223A77" w:rsidRPr="00C83DF5" w:rsidRDefault="00223A77" w:rsidP="00AF1D88">
      <w:pPr>
        <w:pStyle w:val="FootnoteBulletLevel1"/>
        <w:keepNext/>
        <w:tabs>
          <w:tab w:val="clear" w:pos="900"/>
        </w:tabs>
        <w:spacing w:before="0" w:after="0"/>
        <w:ind w:left="720" w:firstLine="0"/>
        <w:rPr>
          <w:lang w:val="de-DE"/>
        </w:rPr>
      </w:pPr>
      <w:r w:rsidRPr="00C83DF5">
        <w:rPr>
          <w:rFonts w:ascii="Tahoma" w:hAnsi="Tahoma" w:cs="Tahoma"/>
          <w:sz w:val="18"/>
          <w:lang w:val="de-DE"/>
        </w:rPr>
        <w:lastRenderedPageBreak/>
        <w:t xml:space="preserve">Kunden, deren Software Assurance für Visual Studio Premium 2013 mit MSDN abläuft, sind berechtigt, diese als Software Assurance für Folgendes zu verlängern: </w:t>
      </w:r>
    </w:p>
    <w:p w:rsidR="00CB436E" w:rsidRPr="00C83DF5" w:rsidRDefault="00CB436E" w:rsidP="00AF1D88">
      <w:pPr>
        <w:pStyle w:val="FootnoteBulletLevel1"/>
        <w:keepNext/>
        <w:spacing w:before="0" w:after="0"/>
        <w:ind w:left="907" w:firstLine="0"/>
        <w:rPr>
          <w:lang w:val="de-DE"/>
        </w:rPr>
      </w:pPr>
    </w:p>
    <w:p w:rsidR="00223A77" w:rsidRPr="00C83DF5" w:rsidRDefault="00223A77" w:rsidP="00AF1D88">
      <w:pPr>
        <w:pStyle w:val="FootnoteBulletLevel2"/>
        <w:keepNext/>
        <w:numPr>
          <w:ilvl w:val="0"/>
          <w:numId w:val="6"/>
        </w:numPr>
        <w:spacing w:before="0" w:after="60"/>
        <w:ind w:left="1440"/>
      </w:pPr>
      <w:r w:rsidRPr="00C83DF5">
        <w:rPr>
          <w:rFonts w:ascii="Tahoma" w:hAnsi="Tahoma" w:cs="Tahoma"/>
          <w:sz w:val="18"/>
        </w:rPr>
        <w:t>Visual Studio Professional mit MSDN</w:t>
      </w:r>
    </w:p>
    <w:p w:rsidR="006771C8" w:rsidRPr="00C83DF5" w:rsidRDefault="006771C8" w:rsidP="00CB436E">
      <w:pPr>
        <w:pStyle w:val="FootnoteBulletLevel2"/>
        <w:numPr>
          <w:ilvl w:val="0"/>
          <w:numId w:val="6"/>
        </w:numPr>
        <w:spacing w:before="0" w:after="60"/>
        <w:ind w:left="1440"/>
      </w:pPr>
      <w:r w:rsidRPr="00C83DF5">
        <w:rPr>
          <w:rFonts w:ascii="Tahoma" w:hAnsi="Tahoma" w:cs="Tahoma"/>
          <w:sz w:val="18"/>
        </w:rPr>
        <w:t>Visual Studio Test Professional mit MSDN</w:t>
      </w:r>
    </w:p>
    <w:p w:rsidR="00223A77" w:rsidRPr="00C83DF5" w:rsidRDefault="00223A77" w:rsidP="00CB436E">
      <w:pPr>
        <w:pStyle w:val="FootnoteBulletLevel2"/>
        <w:numPr>
          <w:ilvl w:val="0"/>
          <w:numId w:val="6"/>
        </w:numPr>
        <w:spacing w:before="0" w:after="60"/>
        <w:ind w:left="1440"/>
      </w:pPr>
      <w:r w:rsidRPr="00C83DF5">
        <w:rPr>
          <w:rFonts w:ascii="Tahoma" w:hAnsi="Tahoma" w:cs="Tahoma"/>
          <w:sz w:val="18"/>
        </w:rPr>
        <w:t>MSDN-Betriebssysteme</w:t>
      </w:r>
    </w:p>
    <w:p w:rsidR="00223A77" w:rsidRPr="00C83DF5" w:rsidRDefault="00223A77" w:rsidP="00CB436E">
      <w:pPr>
        <w:pStyle w:val="FootnoteBulletLevel1"/>
        <w:spacing w:before="0" w:after="0"/>
        <w:ind w:left="907" w:firstLine="0"/>
      </w:pPr>
    </w:p>
    <w:p w:rsidR="0055611F" w:rsidRPr="00C83DF5" w:rsidRDefault="00223A77" w:rsidP="00076CB4">
      <w:pPr>
        <w:pStyle w:val="FootnoteBulletLevel1"/>
        <w:tabs>
          <w:tab w:val="clear" w:pos="900"/>
        </w:tabs>
        <w:spacing w:before="0" w:after="0"/>
        <w:ind w:left="720" w:firstLine="0"/>
      </w:pPr>
      <w:r w:rsidRPr="00C83DF5">
        <w:rPr>
          <w:rFonts w:ascii="Tahoma" w:hAnsi="Tahoma" w:cs="Tahoma"/>
          <w:sz w:val="18"/>
        </w:rPr>
        <w:t xml:space="preserve">Konzern-, Select- oder Open Value-Kunden mit aktiver Software Assurance für Visual Studio Premium 2013 mit MSDN können eine </w:t>
      </w:r>
      <w:hyperlink w:anchor="Step_Up" w:history="1">
        <w:r w:rsidRPr="00C83DF5">
          <w:rPr>
            <w:rFonts w:ascii="Tahoma" w:hAnsi="Tahoma" w:cs="Tahoma"/>
            <w:sz w:val="18"/>
            <w:szCs w:val="24"/>
          </w:rPr>
          <w:t>Step-Up SKU</w:t>
        </w:r>
      </w:hyperlink>
      <w:r w:rsidRPr="00C83DF5">
        <w:rPr>
          <w:rFonts w:ascii="Tahoma" w:hAnsi="Tahoma" w:cs="Tahoma"/>
          <w:sz w:val="18"/>
        </w:rPr>
        <w:t xml:space="preserve"> für Visual Studio 2013 Ultimate mit MSDN erwerben.</w:t>
      </w:r>
    </w:p>
    <w:p w:rsidR="00CB436E" w:rsidRPr="00C83DF5" w:rsidRDefault="00CB436E" w:rsidP="00076CB4">
      <w:pPr>
        <w:pStyle w:val="FootnoteBulletLevel2"/>
        <w:tabs>
          <w:tab w:val="clear" w:pos="1260"/>
        </w:tabs>
        <w:spacing w:before="0"/>
        <w:ind w:left="720" w:firstLine="0"/>
      </w:pPr>
    </w:p>
    <w:p w:rsidR="0055611F" w:rsidRPr="00C83DF5" w:rsidRDefault="0055611F" w:rsidP="00864B8A">
      <w:pPr>
        <w:spacing w:after="60"/>
        <w:ind w:left="720"/>
      </w:pPr>
      <w:r w:rsidRPr="00C83DF5">
        <w:rPr>
          <w:rFonts w:cs="Tahoma"/>
          <w:b/>
        </w:rPr>
        <w:t>Abonnementdienste</w:t>
      </w:r>
    </w:p>
    <w:p w:rsidR="0055611F" w:rsidRPr="00C83DF5" w:rsidRDefault="0055611F" w:rsidP="00076CB4">
      <w:pPr>
        <w:pStyle w:val="FootnoteBulletLevel2"/>
        <w:tabs>
          <w:tab w:val="clear" w:pos="1260"/>
        </w:tabs>
        <w:spacing w:before="0"/>
        <w:ind w:left="720" w:firstLine="0"/>
      </w:pPr>
      <w:r w:rsidRPr="00C83DF5">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C83DF5" w:rsidRDefault="0055611F" w:rsidP="00076CB4">
      <w:pPr>
        <w:pStyle w:val="FootnoteBulletLevel1"/>
        <w:tabs>
          <w:tab w:val="clear" w:pos="900"/>
        </w:tabs>
        <w:spacing w:before="0" w:after="0"/>
        <w:ind w:left="720" w:firstLine="0"/>
      </w:pPr>
    </w:p>
    <w:p w:rsidR="0055611F" w:rsidRPr="00C83DF5" w:rsidRDefault="009B2474" w:rsidP="00864B8A">
      <w:pPr>
        <w:spacing w:after="60"/>
        <w:ind w:left="720"/>
        <w:rPr>
          <w:lang w:val="de-DE"/>
        </w:rPr>
      </w:pPr>
      <w:r w:rsidRPr="00C83DF5">
        <w:rPr>
          <w:rFonts w:cs="Tahoma"/>
          <w:b/>
          <w:lang w:val="de-DE"/>
        </w:rPr>
        <w:t>Windows Azure Platform-Dienste</w:t>
      </w:r>
    </w:p>
    <w:p w:rsidR="00DB3ECB" w:rsidRPr="00C83DF5" w:rsidRDefault="0055611F" w:rsidP="001760D6">
      <w:pPr>
        <w:pStyle w:val="FootnoteBulletLevel2"/>
        <w:tabs>
          <w:tab w:val="clear" w:pos="1260"/>
        </w:tabs>
        <w:spacing w:before="0"/>
        <w:ind w:left="720" w:firstLine="0"/>
        <w:rPr>
          <w:lang w:val="de-DE"/>
        </w:rPr>
      </w:pPr>
      <w:r w:rsidRPr="00C83DF5">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55611F" w:rsidRPr="008B3D04" w:rsidRDefault="0055611F" w:rsidP="00CB436E">
      <w:pPr>
        <w:pStyle w:val="FootnoteBulletLevel2"/>
        <w:tabs>
          <w:tab w:val="clear" w:pos="1260"/>
        </w:tabs>
        <w:spacing w:before="0"/>
        <w:ind w:left="0" w:firstLine="0"/>
        <w:rPr>
          <w:rFonts w:ascii="Tahoma" w:hAnsi="Tahoma" w:cs="Tahoma"/>
          <w:sz w:val="18"/>
          <w:lang w:val="de-DE"/>
        </w:rPr>
      </w:pPr>
    </w:p>
    <w:p w:rsidR="00E03856" w:rsidRPr="008B3D04" w:rsidRDefault="00E03856" w:rsidP="00CB436E">
      <w:pPr>
        <w:pStyle w:val="FootnoteBulletLevel2"/>
        <w:tabs>
          <w:tab w:val="clear" w:pos="1260"/>
        </w:tabs>
        <w:spacing w:before="0"/>
        <w:ind w:left="0" w:firstLine="0"/>
        <w:rPr>
          <w:rFonts w:ascii="Tahoma" w:hAnsi="Tahoma" w:cs="Tahoma"/>
          <w:sz w:val="18"/>
          <w:lang w:val="de-DE"/>
        </w:rPr>
      </w:pPr>
    </w:p>
    <w:p w:rsidR="00223A77" w:rsidRPr="00C83DF5" w:rsidRDefault="00A560B6" w:rsidP="00223A77">
      <w:pPr>
        <w:pStyle w:val="Heading3"/>
        <w:rPr>
          <w:lang w:val="de-DE"/>
        </w:rPr>
      </w:pPr>
      <w:bookmarkStart w:id="1073" w:name="_22_Visual_Studio"/>
      <w:bookmarkStart w:id="1074" w:name="_Toc336338278"/>
      <w:bookmarkStart w:id="1075" w:name="Aps_18VS2010UltimateMSDN"/>
      <w:bookmarkStart w:id="1076" w:name="_Toc370983389"/>
      <w:bookmarkEnd w:id="1073"/>
      <w:r w:rsidRPr="00C83DF5">
        <w:rPr>
          <w:rFonts w:ascii="Tahoma" w:hAnsi="Tahoma"/>
          <w:caps/>
          <w:color w:val="F66400"/>
          <w:sz w:val="22"/>
          <w:vertAlign w:val="superscript"/>
          <w:lang w:val="de-DE"/>
        </w:rPr>
        <w:t>23</w:t>
      </w:r>
      <w:r w:rsidRPr="00C83DF5">
        <w:rPr>
          <w:rFonts w:ascii="Tahoma" w:hAnsi="Tahoma"/>
          <w:color w:val="F66400"/>
          <w:sz w:val="22"/>
          <w:lang w:val="de-DE"/>
        </w:rPr>
        <w:t xml:space="preserve"> Visual Studio Ultimate 2013 mit MSDN</w:t>
      </w:r>
      <w:bookmarkEnd w:id="1074"/>
      <w:bookmarkEnd w:id="1076"/>
      <w:r w:rsidRPr="00C83DF5">
        <w:rPr>
          <w:rFonts w:ascii="Tahoma" w:hAnsi="Tahoma"/>
          <w:color w:val="F66400"/>
          <w:sz w:val="22"/>
          <w:lang w:val="de-DE"/>
        </w:rPr>
        <w:t xml:space="preserve"> </w:t>
      </w:r>
    </w:p>
    <w:bookmarkEnd w:id="1075"/>
    <w:p w:rsidR="0032113C" w:rsidRPr="008B3D04" w:rsidRDefault="0032113C" w:rsidP="007A4659">
      <w:pPr>
        <w:adjustRightInd w:val="0"/>
        <w:ind w:left="540"/>
        <w:textAlignment w:val="baseline"/>
        <w:rPr>
          <w:rFonts w:cs="Tahoma"/>
          <w:szCs w:val="20"/>
          <w:lang w:val="de-DE"/>
        </w:rPr>
      </w:pPr>
    </w:p>
    <w:p w:rsidR="001026FD" w:rsidRPr="00C83DF5" w:rsidRDefault="001026FD" w:rsidP="00864B8A">
      <w:pPr>
        <w:spacing w:after="60"/>
        <w:ind w:left="720"/>
        <w:rPr>
          <w:lang w:val="de-DE"/>
        </w:rPr>
      </w:pPr>
      <w:r w:rsidRPr="00C83DF5">
        <w:rPr>
          <w:rFonts w:cs="Tahoma"/>
          <w:b/>
          <w:lang w:val="de-DE"/>
        </w:rPr>
        <w:t>Visual Studio Team Foundation Server 2013</w:t>
      </w:r>
    </w:p>
    <w:p w:rsidR="001026FD" w:rsidRPr="00C83DF5" w:rsidRDefault="001026FD" w:rsidP="007A4659">
      <w:pPr>
        <w:pStyle w:val="EndnoteText"/>
        <w:ind w:left="720"/>
        <w:rPr>
          <w:lang w:val="de-DE"/>
        </w:rPr>
      </w:pPr>
      <w:r w:rsidRPr="00C83DF5">
        <w:rPr>
          <w:rFonts w:ascii="Tahoma" w:hAnsi="Tahoma" w:cs="Tahoma"/>
          <w:sz w:val="18"/>
          <w:lang w:val="de-DE"/>
        </w:rPr>
        <w:t>Der Abonnent ist zu einer Serverlizenz für Visual Studio Team Foundation Server 2013 und zu einer Nutzer-CAL für Team Foundation Server berechtigt.</w:t>
      </w:r>
      <w:r w:rsidR="00E71F46" w:rsidRPr="00C83DF5">
        <w:rPr>
          <w:rFonts w:ascii="Tahoma" w:hAnsi="Tahoma" w:cs="Tahoma"/>
          <w:sz w:val="18"/>
          <w:lang w:val="de-DE"/>
        </w:rPr>
        <w:t xml:space="preserve"> </w:t>
      </w:r>
      <w:r w:rsidRPr="00C83DF5">
        <w:rPr>
          <w:rFonts w:ascii="Tahoma" w:hAnsi="Tahoma" w:cs="Tahoma"/>
          <w:sz w:val="18"/>
          <w:lang w:val="de-DE"/>
        </w:rPr>
        <w:t>Die Verwendung der CAL ist ausschließlich dem Abonnenten vorbehalten.</w:t>
      </w:r>
    </w:p>
    <w:p w:rsidR="001026FD" w:rsidRPr="008B3D04" w:rsidRDefault="001026FD" w:rsidP="00DF6D7B">
      <w:pPr>
        <w:pStyle w:val="EndnoteText"/>
        <w:ind w:left="720"/>
        <w:rPr>
          <w:rFonts w:ascii="Tahoma" w:hAnsi="Tahoma" w:cs="Tahoma"/>
          <w:sz w:val="18"/>
          <w:lang w:val="de-DE"/>
        </w:rPr>
      </w:pPr>
    </w:p>
    <w:p w:rsidR="001026FD" w:rsidRPr="008B3D04" w:rsidRDefault="001026FD" w:rsidP="00864B8A">
      <w:pPr>
        <w:spacing w:after="60"/>
        <w:ind w:left="720"/>
        <w:rPr>
          <w:lang w:val="de-DE"/>
        </w:rPr>
      </w:pPr>
      <w:r w:rsidRPr="008B3D04">
        <w:rPr>
          <w:rFonts w:cs="Tahoma"/>
          <w:b/>
          <w:lang w:val="de-DE"/>
        </w:rPr>
        <w:t>SQL Server Parallel Data Warehouse Developer</w:t>
      </w:r>
    </w:p>
    <w:p w:rsidR="001026FD" w:rsidRPr="00C83DF5" w:rsidRDefault="001026FD" w:rsidP="007A4659">
      <w:pPr>
        <w:pStyle w:val="EndnoteText"/>
        <w:ind w:left="720"/>
        <w:rPr>
          <w:lang w:val="de-DE"/>
        </w:rPr>
      </w:pPr>
      <w:r w:rsidRPr="00C83DF5">
        <w:rPr>
          <w:rFonts w:ascii="Tahoma" w:hAnsi="Tahoma" w:cs="Tahoma"/>
          <w:sz w:val="18"/>
          <w:lang w:val="de-DE"/>
        </w:rPr>
        <w:t>Der Abonnent ist zu einer Lizenz für SQL Server 2012 Parallel Data Warehouse Developer berechtigt.</w:t>
      </w:r>
    </w:p>
    <w:p w:rsidR="007A4659" w:rsidRPr="008B3D04" w:rsidRDefault="007A4659" w:rsidP="007A4659">
      <w:pPr>
        <w:adjustRightInd w:val="0"/>
        <w:ind w:left="720"/>
        <w:textAlignment w:val="baseline"/>
        <w:rPr>
          <w:rFonts w:cs="Tahoma"/>
          <w:szCs w:val="20"/>
          <w:u w:val="single"/>
          <w:lang w:val="de-DE"/>
        </w:rPr>
      </w:pPr>
    </w:p>
    <w:p w:rsidR="0032113C" w:rsidRPr="00C83DF5" w:rsidRDefault="0032113C" w:rsidP="00864B8A">
      <w:pPr>
        <w:spacing w:after="60"/>
        <w:ind w:left="720"/>
        <w:rPr>
          <w:lang w:val="de-DE"/>
        </w:rPr>
      </w:pPr>
      <w:r w:rsidRPr="00C83DF5">
        <w:rPr>
          <w:rFonts w:cs="Tahoma"/>
          <w:b/>
          <w:lang w:val="de-DE"/>
        </w:rPr>
        <w:t>Software Assurance-Berechtigung</w:t>
      </w:r>
    </w:p>
    <w:p w:rsidR="0032113C" w:rsidRPr="00C83DF5" w:rsidRDefault="0032113C" w:rsidP="000C6DBC">
      <w:pPr>
        <w:pStyle w:val="EndnoteText"/>
        <w:ind w:left="720"/>
        <w:rPr>
          <w:lang w:val="de-DE"/>
        </w:rPr>
      </w:pPr>
      <w:r w:rsidRPr="00C83DF5">
        <w:rPr>
          <w:rFonts w:ascii="Tahoma" w:hAnsi="Tahoma" w:cs="Tahoma"/>
          <w:sz w:val="18"/>
          <w:szCs w:val="18"/>
          <w:lang w:val="de-DE"/>
        </w:rPr>
        <w:t>Kunden, deren Software Assurance für eines der folgenden Produkte abläuft, sind berechtigt, diese als Software Assurance für Visual Studio Ultimate 2013 mit MSDN zu verlängern. Bei Verlängerung auf einer anderen MSDN-Abonnementebene ersetzen die neuen Nutzungsbestimmungen die alten, und jegliche Software, die nicht im neuen MSDN-Abonnement enthalten ist,</w:t>
      </w:r>
      <w:r w:rsidRPr="00C83DF5">
        <w:rPr>
          <w:rFonts w:ascii="Tahoma" w:hAnsi="Tahoma" w:cs="Tahoma"/>
          <w:sz w:val="18"/>
          <w:lang w:val="de-DE"/>
        </w:rPr>
        <w:t xml:space="preserve"> muss entfernt werden.</w:t>
      </w:r>
    </w:p>
    <w:p w:rsidR="0032113C" w:rsidRPr="008B3D04" w:rsidRDefault="0032113C" w:rsidP="0032113C">
      <w:pPr>
        <w:ind w:left="900"/>
        <w:rPr>
          <w:rFonts w:cs="Tahoma"/>
          <w:szCs w:val="24"/>
          <w:lang w:val="de-DE" w:eastAsia="ja-JP"/>
        </w:rPr>
      </w:pP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Visual Studio Ultimate mit MSDN</w:t>
      </w: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Visual Studio Team System Team Suite mit MSDN Premium</w:t>
      </w: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Visual Studio Team System Test Edition mit MSDN Premium</w:t>
      </w: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Visual Studio Team System Development Edition mit MSDN Premium</w:t>
      </w: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 xml:space="preserve">Visual Studio Team System Architecture Edition mit MSDN Premium </w:t>
      </w: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Visual Studio Team System Database Edition mit MSDN Premium</w:t>
      </w:r>
    </w:p>
    <w:p w:rsidR="0032113C" w:rsidRPr="00C83DF5" w:rsidRDefault="0032113C" w:rsidP="007A4659">
      <w:pPr>
        <w:numPr>
          <w:ilvl w:val="0"/>
          <w:numId w:val="6"/>
        </w:numPr>
        <w:adjustRightInd w:val="0"/>
        <w:snapToGrid w:val="0"/>
        <w:spacing w:after="60"/>
        <w:ind w:left="1440"/>
        <w:textAlignment w:val="baseline"/>
        <w:rPr>
          <w:lang w:val="de-DE"/>
        </w:rPr>
      </w:pPr>
      <w:r w:rsidRPr="00C83DF5">
        <w:rPr>
          <w:rFonts w:cs="Tahoma"/>
          <w:szCs w:val="24"/>
          <w:lang w:val="de-DE"/>
        </w:rPr>
        <w:t>Aktives Einzelhandelsabonnement für eine der oben genannten Softwareversionen</w:t>
      </w:r>
    </w:p>
    <w:p w:rsidR="0032113C" w:rsidRPr="008B3D04" w:rsidRDefault="0032113C" w:rsidP="007A4659">
      <w:pPr>
        <w:tabs>
          <w:tab w:val="num" w:pos="900"/>
        </w:tabs>
        <w:adjustRightInd w:val="0"/>
        <w:ind w:left="1440"/>
        <w:textAlignment w:val="baseline"/>
        <w:rPr>
          <w:rFonts w:cs="Tahoma"/>
          <w:szCs w:val="20"/>
          <w:u w:val="single"/>
          <w:lang w:val="de-DE"/>
        </w:rPr>
      </w:pPr>
    </w:p>
    <w:p w:rsidR="0032113C" w:rsidRPr="00C83DF5" w:rsidRDefault="0032113C" w:rsidP="007A4659">
      <w:pPr>
        <w:adjustRightInd w:val="0"/>
        <w:ind w:left="720"/>
        <w:textAlignment w:val="baseline"/>
        <w:rPr>
          <w:lang w:val="de-DE"/>
        </w:rPr>
      </w:pPr>
      <w:r w:rsidRPr="00C83DF5">
        <w:rPr>
          <w:rFonts w:cs="Tahoma"/>
          <w:szCs w:val="20"/>
          <w:lang w:val="de-DE"/>
        </w:rPr>
        <w:t xml:space="preserve">Kunden, deren Software Assurance für Visual Studio Ultimate 2013 mit MSDN abläuft, sind berechtigt, diese als Software Assurance für Folgendes zu verlängern: </w:t>
      </w:r>
    </w:p>
    <w:p w:rsidR="007A4659" w:rsidRPr="008B3D04" w:rsidRDefault="007A4659" w:rsidP="007A4659">
      <w:pPr>
        <w:adjustRightInd w:val="0"/>
        <w:ind w:left="720"/>
        <w:textAlignment w:val="baseline"/>
        <w:rPr>
          <w:rFonts w:cs="Tahoma"/>
          <w:szCs w:val="20"/>
          <w:lang w:val="de-DE"/>
        </w:rPr>
      </w:pP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Visual Studio Premium mit MSDN</w:t>
      </w: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Visual Studio Professional mit MSDN</w:t>
      </w: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Visual Studio Test Professional mit MSDN</w:t>
      </w:r>
    </w:p>
    <w:p w:rsidR="0032113C" w:rsidRPr="00C83DF5" w:rsidRDefault="0032113C" w:rsidP="007A4659">
      <w:pPr>
        <w:numPr>
          <w:ilvl w:val="0"/>
          <w:numId w:val="6"/>
        </w:numPr>
        <w:adjustRightInd w:val="0"/>
        <w:snapToGrid w:val="0"/>
        <w:spacing w:after="60"/>
        <w:ind w:left="1440"/>
        <w:textAlignment w:val="baseline"/>
      </w:pPr>
      <w:r w:rsidRPr="00C83DF5">
        <w:rPr>
          <w:rFonts w:cs="Tahoma"/>
          <w:szCs w:val="24"/>
        </w:rPr>
        <w:t>MSDN-Betriebssysteme</w:t>
      </w:r>
    </w:p>
    <w:p w:rsidR="00413D8A" w:rsidRPr="00C83DF5" w:rsidRDefault="00413D8A"/>
    <w:p w:rsidR="0055611F" w:rsidRPr="00C83DF5" w:rsidRDefault="009B2474" w:rsidP="007B35CE">
      <w:pPr>
        <w:keepNext/>
        <w:spacing w:after="60"/>
        <w:ind w:left="720"/>
      </w:pPr>
      <w:r w:rsidRPr="00C83DF5">
        <w:rPr>
          <w:rFonts w:cs="Tahoma"/>
          <w:b/>
        </w:rPr>
        <w:lastRenderedPageBreak/>
        <w:t>Abonnementdienste</w:t>
      </w:r>
    </w:p>
    <w:p w:rsidR="0055611F" w:rsidRPr="00C83DF5" w:rsidRDefault="0055611F" w:rsidP="007A4659">
      <w:pPr>
        <w:pStyle w:val="FootnoteBulletLevel2"/>
        <w:tabs>
          <w:tab w:val="clear" w:pos="1260"/>
        </w:tabs>
        <w:spacing w:before="0"/>
        <w:ind w:left="720" w:firstLine="0"/>
      </w:pPr>
      <w:r w:rsidRPr="00C83DF5">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980D5C" w:rsidRDefault="0055611F" w:rsidP="007A4659">
      <w:pPr>
        <w:pStyle w:val="FootnoteBulletLevel1"/>
        <w:spacing w:before="0" w:after="0"/>
        <w:ind w:left="720" w:firstLine="0"/>
        <w:rPr>
          <w:rFonts w:ascii="Tahoma" w:hAnsi="Tahoma" w:cs="Tahoma"/>
          <w:sz w:val="18"/>
        </w:rPr>
      </w:pPr>
    </w:p>
    <w:p w:rsidR="0055611F" w:rsidRPr="00C83DF5" w:rsidRDefault="0055611F" w:rsidP="00864B8A">
      <w:pPr>
        <w:spacing w:after="60"/>
        <w:ind w:left="720"/>
        <w:rPr>
          <w:lang w:val="de-DE"/>
        </w:rPr>
      </w:pPr>
      <w:r w:rsidRPr="00C83DF5">
        <w:rPr>
          <w:rFonts w:cs="Tahoma"/>
          <w:b/>
          <w:lang w:val="de-DE"/>
        </w:rPr>
        <w:t>Windows Azure Platform-Dienste</w:t>
      </w:r>
    </w:p>
    <w:p w:rsidR="007A4659" w:rsidRPr="00C83DF5" w:rsidRDefault="0055611F" w:rsidP="007B35CE">
      <w:pPr>
        <w:adjustRightInd w:val="0"/>
        <w:snapToGrid w:val="0"/>
        <w:ind w:left="720"/>
        <w:textAlignment w:val="baseline"/>
        <w:rPr>
          <w:lang w:val="de-DE"/>
        </w:rPr>
      </w:pPr>
      <w:r w:rsidRPr="00C83DF5">
        <w:rPr>
          <w:rFonts w:cs="Tahoma"/>
          <w:lang w:val="de-DE"/>
        </w:rPr>
        <w:t>Windows Azure-Vergünstigungen aus mehreren MSDN-Abonnements können nicht in einem Windows Azure-Account kombiniert werden. Die Verwendung von Windows Azure unterliegt den Nutzungsbestimmungen für Windows Azure.</w:t>
      </w:r>
      <w:bookmarkStart w:id="1077" w:name="Aps_19VS2010TestMSDN"/>
    </w:p>
    <w:p w:rsidR="00F40C90" w:rsidRPr="008B3D04" w:rsidRDefault="00F40C90" w:rsidP="007A4659">
      <w:pPr>
        <w:adjustRightInd w:val="0"/>
        <w:snapToGrid w:val="0"/>
        <w:textAlignment w:val="baseline"/>
        <w:rPr>
          <w:rFonts w:cs="Tahoma"/>
          <w:lang w:val="de-DE"/>
        </w:rPr>
      </w:pPr>
    </w:p>
    <w:p w:rsidR="007A4659" w:rsidRPr="008B3D04" w:rsidRDefault="007A4659" w:rsidP="007A4659">
      <w:pPr>
        <w:adjustRightInd w:val="0"/>
        <w:snapToGrid w:val="0"/>
        <w:textAlignment w:val="baseline"/>
        <w:rPr>
          <w:rFonts w:cs="Tahoma"/>
          <w:lang w:val="de-DE"/>
        </w:rPr>
      </w:pPr>
    </w:p>
    <w:p w:rsidR="00223A77" w:rsidRPr="00C83DF5" w:rsidRDefault="00A560B6" w:rsidP="00D824E9">
      <w:pPr>
        <w:pStyle w:val="Heading3"/>
        <w:keepNext/>
      </w:pPr>
      <w:bookmarkStart w:id="1078" w:name="_23_Visual_Studio"/>
      <w:bookmarkStart w:id="1079" w:name="_24_Visual_Studio"/>
      <w:bookmarkStart w:id="1080" w:name="_Toc336338279"/>
      <w:bookmarkStart w:id="1081" w:name="_Toc370983390"/>
      <w:bookmarkEnd w:id="1078"/>
      <w:bookmarkEnd w:id="1079"/>
      <w:r w:rsidRPr="00C83DF5">
        <w:rPr>
          <w:rFonts w:ascii="Tahoma" w:hAnsi="Tahoma"/>
          <w:caps/>
          <w:color w:val="F66400"/>
          <w:sz w:val="22"/>
          <w:vertAlign w:val="superscript"/>
        </w:rPr>
        <w:t>24</w:t>
      </w:r>
      <w:r w:rsidRPr="00C83DF5">
        <w:rPr>
          <w:rFonts w:ascii="Tahoma" w:hAnsi="Tahoma"/>
          <w:color w:val="F66400"/>
          <w:sz w:val="22"/>
        </w:rPr>
        <w:t xml:space="preserve"> Visual Studio Test Professional 2013 mit </w:t>
      </w:r>
      <w:bookmarkEnd w:id="1077"/>
      <w:r w:rsidRPr="00C83DF5">
        <w:rPr>
          <w:rFonts w:ascii="Tahoma" w:hAnsi="Tahoma"/>
          <w:color w:val="F66400"/>
          <w:sz w:val="22"/>
        </w:rPr>
        <w:t>MSDN</w:t>
      </w:r>
      <w:bookmarkEnd w:id="1080"/>
      <w:bookmarkEnd w:id="1081"/>
      <w:r w:rsidRPr="00C83DF5">
        <w:rPr>
          <w:rFonts w:ascii="Tahoma" w:hAnsi="Tahoma"/>
          <w:color w:val="F66400"/>
          <w:sz w:val="22"/>
        </w:rPr>
        <w:t xml:space="preserve"> </w:t>
      </w:r>
    </w:p>
    <w:p w:rsidR="00AC4485" w:rsidRPr="00980D5C" w:rsidRDefault="00AC4485" w:rsidP="00D824E9">
      <w:pPr>
        <w:pStyle w:val="FootnoteBulletLevel1"/>
        <w:keepNext/>
        <w:spacing w:before="0" w:after="0"/>
        <w:rPr>
          <w:rFonts w:ascii="Tahoma" w:hAnsi="Tahoma" w:cs="Tahoma"/>
          <w:sz w:val="18"/>
          <w:u w:val="single"/>
        </w:rPr>
      </w:pPr>
    </w:p>
    <w:p w:rsidR="001026FD" w:rsidRPr="00C83DF5" w:rsidRDefault="001026FD" w:rsidP="00D824E9">
      <w:pPr>
        <w:keepNext/>
        <w:spacing w:after="60"/>
        <w:ind w:left="720"/>
      </w:pPr>
      <w:r w:rsidRPr="00C83DF5">
        <w:rPr>
          <w:rFonts w:cs="Tahoma"/>
          <w:b/>
        </w:rPr>
        <w:t>Visual Studio Team Foundation Server 2013</w:t>
      </w:r>
    </w:p>
    <w:p w:rsidR="001026FD" w:rsidRPr="00C83DF5" w:rsidRDefault="001026FD" w:rsidP="00E7500D">
      <w:pPr>
        <w:pStyle w:val="EndnoteText"/>
        <w:ind w:left="720"/>
        <w:rPr>
          <w:lang w:val="de-DE"/>
        </w:rPr>
      </w:pPr>
      <w:r w:rsidRPr="00C83DF5">
        <w:rPr>
          <w:rFonts w:ascii="Tahoma" w:hAnsi="Tahoma" w:cs="Tahoma"/>
          <w:sz w:val="18"/>
          <w:lang w:val="de-DE"/>
        </w:rPr>
        <w:t>Der Abonnent ist zu einer Serverlizenz für Visual Studio Team Foundation Server 2013 und zu einer Nutzer-CAL für Team Foundation Server berechtigt.</w:t>
      </w:r>
      <w:r w:rsidR="00E71F46" w:rsidRPr="00C83DF5">
        <w:rPr>
          <w:rFonts w:ascii="Tahoma" w:hAnsi="Tahoma" w:cs="Tahoma"/>
          <w:sz w:val="18"/>
          <w:lang w:val="de-DE"/>
        </w:rPr>
        <w:t xml:space="preserve"> </w:t>
      </w:r>
      <w:r w:rsidRPr="00C83DF5">
        <w:rPr>
          <w:rFonts w:ascii="Tahoma" w:hAnsi="Tahoma" w:cs="Tahoma"/>
          <w:sz w:val="18"/>
          <w:lang w:val="de-DE"/>
        </w:rPr>
        <w:t>Die Verwendung der CAL ist ausschließlich dem Abonnenten vorbehalten.</w:t>
      </w:r>
    </w:p>
    <w:p w:rsidR="001026FD" w:rsidRPr="008B3D04" w:rsidRDefault="001026FD" w:rsidP="00E7500D">
      <w:pPr>
        <w:pStyle w:val="EndnoteText"/>
        <w:ind w:left="720"/>
        <w:rPr>
          <w:rFonts w:ascii="Tahoma" w:hAnsi="Tahoma" w:cs="Tahoma"/>
          <w:sz w:val="18"/>
          <w:lang w:val="de-DE"/>
        </w:rPr>
      </w:pPr>
    </w:p>
    <w:p w:rsidR="001026FD" w:rsidRPr="00C83DF5" w:rsidRDefault="001026FD" w:rsidP="00864B8A">
      <w:pPr>
        <w:spacing w:after="60"/>
        <w:ind w:left="720"/>
        <w:rPr>
          <w:lang w:val="de-DE"/>
        </w:rPr>
      </w:pPr>
      <w:r w:rsidRPr="00C83DF5">
        <w:rPr>
          <w:rFonts w:cs="Tahoma"/>
          <w:b/>
          <w:lang w:val="de-DE"/>
        </w:rPr>
        <w:t>SQL Server Parallel Data Warehouse Developer</w:t>
      </w:r>
    </w:p>
    <w:p w:rsidR="001026FD" w:rsidRPr="00C83DF5" w:rsidRDefault="001026FD" w:rsidP="00E7500D">
      <w:pPr>
        <w:pStyle w:val="EndnoteText"/>
        <w:ind w:left="720"/>
        <w:rPr>
          <w:lang w:val="de-DE"/>
        </w:rPr>
      </w:pPr>
      <w:r w:rsidRPr="00C83DF5">
        <w:rPr>
          <w:rFonts w:ascii="Tahoma" w:hAnsi="Tahoma" w:cs="Tahoma"/>
          <w:sz w:val="18"/>
          <w:lang w:val="de-DE"/>
        </w:rPr>
        <w:t>Der Abonnent ist zu einer Lizenz für SQL Server 2012 Parallel Data Warehouse Developer berechtigt.</w:t>
      </w:r>
    </w:p>
    <w:p w:rsidR="00E7500D" w:rsidRPr="008B3D04" w:rsidRDefault="00E7500D" w:rsidP="00980D5C">
      <w:pPr>
        <w:pStyle w:val="EndnoteText"/>
        <w:ind w:left="720"/>
        <w:rPr>
          <w:rFonts w:ascii="Tahoma" w:hAnsi="Tahoma" w:cs="Tahoma"/>
          <w:sz w:val="18"/>
          <w:lang w:val="de-DE"/>
        </w:rPr>
      </w:pPr>
    </w:p>
    <w:p w:rsidR="00223A77" w:rsidRPr="00C83DF5" w:rsidRDefault="00223A77" w:rsidP="001760D6">
      <w:pPr>
        <w:keepNext/>
        <w:spacing w:after="60"/>
        <w:ind w:left="720"/>
        <w:rPr>
          <w:lang w:val="de-DE"/>
        </w:rPr>
      </w:pPr>
      <w:r w:rsidRPr="00C83DF5">
        <w:rPr>
          <w:rFonts w:cs="Tahoma"/>
          <w:b/>
          <w:lang w:val="de-DE"/>
        </w:rPr>
        <w:t>Software Assurance-Berechtigung</w:t>
      </w:r>
    </w:p>
    <w:p w:rsidR="00223A77" w:rsidRPr="00C83DF5" w:rsidRDefault="00223A77" w:rsidP="00980D5C">
      <w:pPr>
        <w:tabs>
          <w:tab w:val="num" w:pos="1170"/>
        </w:tabs>
        <w:ind w:left="720"/>
        <w:rPr>
          <w:lang w:val="de-DE"/>
        </w:rPr>
      </w:pPr>
      <w:r w:rsidRPr="00C83DF5">
        <w:rPr>
          <w:rFonts w:cs="Tahoma"/>
          <w:lang w:val="de-DE"/>
        </w:rPr>
        <w:t>Kunden, deren Software Assurance für eines der folgenden Produkte abläuft, sind berechtigt, diese als Software Assurance für Visual Studio Test Professional 2013 mit MSDN zu verlängern</w:t>
      </w:r>
      <w:r w:rsidRPr="00C83DF5">
        <w:rPr>
          <w:rFonts w:cs="Tahoma"/>
          <w:szCs w:val="24"/>
          <w:lang w:val="de-DE"/>
        </w:rPr>
        <w:t xml:space="preserve">. </w:t>
      </w:r>
      <w:r w:rsidRPr="00C83DF5">
        <w:rPr>
          <w:rFonts w:cs="Tahoma"/>
          <w:lang w:val="de-DE"/>
        </w:rPr>
        <w:t>Bei Verlängerung auf</w:t>
      </w:r>
      <w:r w:rsidR="00980D5C">
        <w:rPr>
          <w:rFonts w:cs="Tahoma"/>
          <w:lang w:val="de-DE"/>
        </w:rPr>
        <w:t> </w:t>
      </w:r>
      <w:r w:rsidRPr="00C83DF5">
        <w:rPr>
          <w:rFonts w:cs="Tahoma"/>
          <w:lang w:val="de-DE"/>
        </w:rPr>
        <w:t>einer anderen MSDN-Abonnementebene ersetzen die neuen Nutzungsbestimmungen die alten, und</w:t>
      </w:r>
      <w:r w:rsidR="00980D5C">
        <w:rPr>
          <w:rFonts w:cs="Tahoma"/>
          <w:lang w:val="de-DE"/>
        </w:rPr>
        <w:t> </w:t>
      </w:r>
      <w:r w:rsidRPr="00C83DF5">
        <w:rPr>
          <w:rFonts w:cs="Tahoma"/>
          <w:lang w:val="de-DE"/>
        </w:rPr>
        <w:t>jegliche Software, die nicht im neuen MSDN-Abonnement enthalten ist, muss entfernt werden.</w:t>
      </w:r>
    </w:p>
    <w:p w:rsidR="00223A77" w:rsidRPr="00980D5C" w:rsidRDefault="00223A77" w:rsidP="00980D5C">
      <w:pPr>
        <w:pStyle w:val="EndnoteText"/>
        <w:ind w:left="720"/>
        <w:rPr>
          <w:rFonts w:ascii="Tahoma" w:hAnsi="Tahoma" w:cs="Tahoma"/>
          <w:sz w:val="18"/>
          <w:lang w:val="de-DE"/>
        </w:rPr>
      </w:pPr>
    </w:p>
    <w:p w:rsidR="00223A77" w:rsidRPr="00C83DF5" w:rsidRDefault="00223A77" w:rsidP="00E7500D">
      <w:pPr>
        <w:pStyle w:val="FootnoteBulletLevel2"/>
        <w:numPr>
          <w:ilvl w:val="0"/>
          <w:numId w:val="5"/>
        </w:numPr>
        <w:spacing w:before="0" w:after="60"/>
        <w:ind w:left="1440"/>
      </w:pPr>
      <w:r w:rsidRPr="00C83DF5">
        <w:rPr>
          <w:rFonts w:ascii="Tahoma" w:hAnsi="Tahoma" w:cs="Tahoma"/>
          <w:sz w:val="18"/>
        </w:rPr>
        <w:t>Visual Studio Ultimate mit MSDN</w:t>
      </w:r>
    </w:p>
    <w:p w:rsidR="00061A45" w:rsidRPr="00C83DF5" w:rsidRDefault="00BE4D27" w:rsidP="00E7500D">
      <w:pPr>
        <w:pStyle w:val="FootnoteBulletLevel2"/>
        <w:numPr>
          <w:ilvl w:val="0"/>
          <w:numId w:val="5"/>
        </w:numPr>
        <w:spacing w:before="0" w:after="60"/>
        <w:ind w:left="1440"/>
      </w:pPr>
      <w:r w:rsidRPr="00C83DF5">
        <w:rPr>
          <w:rFonts w:ascii="Tahoma" w:hAnsi="Tahoma" w:cs="Tahoma"/>
          <w:sz w:val="18"/>
        </w:rPr>
        <w:t>Visual Studio Premium mit MSDN</w:t>
      </w:r>
    </w:p>
    <w:p w:rsidR="00223A77" w:rsidRPr="00C83DF5" w:rsidRDefault="00223A77" w:rsidP="00E7500D">
      <w:pPr>
        <w:pStyle w:val="FootnoteBulletLevel2"/>
        <w:numPr>
          <w:ilvl w:val="0"/>
          <w:numId w:val="5"/>
        </w:numPr>
        <w:spacing w:before="0" w:after="60"/>
        <w:ind w:left="1440"/>
      </w:pPr>
      <w:r w:rsidRPr="00C83DF5">
        <w:rPr>
          <w:rFonts w:ascii="Tahoma" w:hAnsi="Tahoma" w:cs="Tahoma"/>
          <w:sz w:val="18"/>
        </w:rPr>
        <w:t>Visual Studio Test Professional mit MSDN</w:t>
      </w:r>
    </w:p>
    <w:p w:rsidR="00223A77" w:rsidRPr="00C83DF5" w:rsidRDefault="00223A77" w:rsidP="00E7500D">
      <w:pPr>
        <w:pStyle w:val="FootnoteBulletLevel2"/>
        <w:numPr>
          <w:ilvl w:val="0"/>
          <w:numId w:val="5"/>
        </w:numPr>
        <w:spacing w:before="0" w:after="60"/>
        <w:ind w:left="1440"/>
        <w:rPr>
          <w:lang w:val="de-DE"/>
        </w:rPr>
      </w:pPr>
      <w:r w:rsidRPr="00C83DF5">
        <w:rPr>
          <w:rFonts w:ascii="Tahoma" w:hAnsi="Tahoma" w:cs="Tahoma"/>
          <w:sz w:val="18"/>
          <w:lang w:val="de-DE"/>
        </w:rPr>
        <w:t>Aktives Einzelhandelsabonnement für eine der oben genannten Softwareversionen</w:t>
      </w:r>
    </w:p>
    <w:p w:rsidR="00223A77" w:rsidRPr="008B3D04" w:rsidRDefault="00223A77" w:rsidP="00980D5C">
      <w:pPr>
        <w:pStyle w:val="EndnoteText"/>
        <w:ind w:left="720"/>
        <w:rPr>
          <w:rFonts w:ascii="Tahoma" w:hAnsi="Tahoma" w:cs="Tahoma"/>
          <w:sz w:val="18"/>
          <w:lang w:val="de-DE"/>
        </w:rPr>
      </w:pPr>
    </w:p>
    <w:p w:rsidR="00E7500D" w:rsidRPr="00C83DF5" w:rsidRDefault="00223A77" w:rsidP="00E7500D">
      <w:pPr>
        <w:pStyle w:val="FootnoteBulletLevel2"/>
        <w:tabs>
          <w:tab w:val="clear" w:pos="1260"/>
        </w:tabs>
        <w:spacing w:before="0"/>
        <w:ind w:left="720" w:firstLine="0"/>
        <w:rPr>
          <w:lang w:val="de-DE"/>
        </w:rPr>
      </w:pPr>
      <w:r w:rsidRPr="00C83DF5">
        <w:rPr>
          <w:rFonts w:ascii="Tahoma" w:hAnsi="Tahoma" w:cs="Tahoma"/>
          <w:sz w:val="18"/>
          <w:lang w:val="de-DE"/>
        </w:rPr>
        <w:t xml:space="preserve">Konzern-, Select- oder Open Value-Kunden mit aktiver Software Assurance für Visual Studio Test Professional 2013 mit MSDN können </w:t>
      </w:r>
      <w:hyperlink w:anchor="Step_Up" w:history="1">
        <w:r w:rsidRPr="00C83DF5">
          <w:rPr>
            <w:rFonts w:ascii="Tahoma" w:hAnsi="Tahoma" w:cs="Tahoma"/>
            <w:sz w:val="18"/>
            <w:lang w:val="de-DE"/>
          </w:rPr>
          <w:t>Step Up-SKUs</w:t>
        </w:r>
      </w:hyperlink>
      <w:r w:rsidRPr="00C83DF5">
        <w:rPr>
          <w:lang w:val="de-DE"/>
        </w:rPr>
        <w:t xml:space="preserve"> für Visual Studio Premium 2013 mit MSDN erwerben.</w:t>
      </w:r>
    </w:p>
    <w:p w:rsidR="00101859" w:rsidRPr="008B3D04" w:rsidRDefault="00101859" w:rsidP="00980D5C">
      <w:pPr>
        <w:pStyle w:val="EndnoteText"/>
        <w:ind w:left="720"/>
        <w:rPr>
          <w:rFonts w:ascii="Tahoma" w:hAnsi="Tahoma" w:cs="Tahoma"/>
          <w:sz w:val="18"/>
          <w:lang w:val="de-DE"/>
        </w:rPr>
      </w:pPr>
    </w:p>
    <w:p w:rsidR="005C11D1" w:rsidRPr="00C83DF5" w:rsidRDefault="009B2474" w:rsidP="00864B8A">
      <w:pPr>
        <w:spacing w:after="60"/>
        <w:ind w:left="720"/>
        <w:rPr>
          <w:lang w:val="de-DE"/>
        </w:rPr>
      </w:pPr>
      <w:r w:rsidRPr="00C83DF5">
        <w:rPr>
          <w:rFonts w:cs="Tahoma"/>
          <w:b/>
          <w:lang w:val="de-DE"/>
        </w:rPr>
        <w:t>Abonnementdienste</w:t>
      </w:r>
    </w:p>
    <w:p w:rsidR="001051D1" w:rsidRPr="00C83DF5" w:rsidRDefault="005C11D1" w:rsidP="00E7500D">
      <w:pPr>
        <w:ind w:left="720"/>
        <w:rPr>
          <w:lang w:val="de-DE"/>
        </w:rPr>
      </w:pPr>
      <w:r w:rsidRPr="00C83DF5">
        <w:rPr>
          <w:lang w:val="de-DE"/>
        </w:rPr>
        <w:t xml:space="preserve">MSDN-Abonnementdienste, die Downloads, Product Keys, Windows Azure-Vergünstigungen, </w:t>
      </w:r>
      <w:r w:rsidR="00750ADD">
        <w:rPr>
          <w:lang w:val="de-DE"/>
        </w:rPr>
        <w:br/>
      </w:r>
      <w:r w:rsidRPr="00C83DF5">
        <w:rPr>
          <w:rFonts w:cs="Tahoma"/>
          <w:lang w:val="de-DE"/>
        </w:rPr>
        <w:t xml:space="preserve">Office 365 Developer-Vergünstigungen, </w:t>
      </w:r>
      <w:r w:rsidRPr="00C83DF5">
        <w:rPr>
          <w:lang w:val="de-DE"/>
        </w:rPr>
        <w:t>E-Learning, technischen Support, Windows Store-Vergünstigungen und andere Services umfassen können, sind nur verfügbar, während das Abonnement aktiv ist.</w:t>
      </w:r>
      <w:bookmarkStart w:id="1082" w:name="_14_Operating_System"/>
      <w:bookmarkEnd w:id="1082"/>
    </w:p>
    <w:p w:rsidR="00E03856" w:rsidRPr="00C83DF5" w:rsidRDefault="001051D1">
      <w:pPr>
        <w:rPr>
          <w:lang w:val="de-DE"/>
        </w:rPr>
      </w:pPr>
      <w:r w:rsidRPr="00C83DF5">
        <w:rPr>
          <w:lang w:val="de-DE"/>
        </w:rPr>
        <w:br w:type="page"/>
      </w:r>
      <w:bookmarkStart w:id="1083" w:name="_Toc336338280"/>
    </w:p>
    <w:p w:rsidR="00023FE7" w:rsidRPr="00C83DF5" w:rsidRDefault="00023FE7" w:rsidP="002E57CF">
      <w:pPr>
        <w:pStyle w:val="Heading2"/>
        <w:ind w:left="0"/>
        <w:rPr>
          <w:lang w:val="de-DE"/>
        </w:rPr>
      </w:pPr>
      <w:bookmarkStart w:id="1084" w:name="_Toc370983391"/>
      <w:r w:rsidRPr="00C83DF5">
        <w:rPr>
          <w:rFonts w:ascii="Tahoma" w:hAnsi="Tahoma" w:cs="Tahoma"/>
          <w:sz w:val="28"/>
          <w:lang w:val="de-DE"/>
        </w:rPr>
        <w:lastRenderedPageBreak/>
        <w:t>System-Pool</w:t>
      </w:r>
      <w:bookmarkEnd w:id="1083"/>
      <w:bookmarkEnd w:id="1084"/>
    </w:p>
    <w:p w:rsidR="00023FE7" w:rsidRPr="008B3D04" w:rsidRDefault="00023FE7">
      <w:pPr>
        <w:rPr>
          <w:rFonts w:cs="Tahoma"/>
          <w:lang w:val="de-DE"/>
        </w:rPr>
      </w:pPr>
    </w:p>
    <w:p w:rsidR="009C2B6B" w:rsidRPr="008B3D04" w:rsidRDefault="009C2B6B">
      <w:pPr>
        <w:rPr>
          <w:rFonts w:cs="Tahoma"/>
          <w:lang w:val="de-DE"/>
        </w:rPr>
      </w:pPr>
    </w:p>
    <w:p w:rsidR="00E14FF2" w:rsidRPr="00C83DF5" w:rsidRDefault="00A560B6" w:rsidP="00A53269">
      <w:pPr>
        <w:pStyle w:val="Heading3"/>
        <w:rPr>
          <w:lang w:val="de-DE"/>
        </w:rPr>
      </w:pPr>
      <w:bookmarkStart w:id="1085" w:name="_24_Microsoft_Desktop"/>
      <w:bookmarkStart w:id="1086" w:name="_25_Microsoft_Desktop"/>
      <w:bookmarkStart w:id="1087" w:name="_Toc336338283"/>
      <w:bookmarkStart w:id="1088" w:name="Sys_21MDOPforSA"/>
      <w:bookmarkStart w:id="1089" w:name="Sys_25MDOPforSA"/>
      <w:bookmarkStart w:id="1090" w:name="_Toc370983392"/>
      <w:bookmarkEnd w:id="1085"/>
      <w:bookmarkEnd w:id="1086"/>
      <w:r w:rsidRPr="00C83DF5">
        <w:rPr>
          <w:rFonts w:ascii="Tahoma" w:hAnsi="Tahoma"/>
          <w:caps/>
          <w:color w:val="F66400"/>
          <w:sz w:val="22"/>
          <w:vertAlign w:val="superscript"/>
          <w:lang w:val="de-DE"/>
        </w:rPr>
        <w:t>25</w:t>
      </w:r>
      <w:r w:rsidRPr="00C83DF5">
        <w:rPr>
          <w:rFonts w:ascii="Tahoma" w:hAnsi="Tahoma"/>
          <w:color w:val="F66400"/>
          <w:sz w:val="22"/>
          <w:lang w:val="de-DE"/>
        </w:rPr>
        <w:t xml:space="preserve"> Microsoft Desktop Optimization Pack für Software Assurance</w:t>
      </w:r>
      <w:bookmarkEnd w:id="1087"/>
      <w:bookmarkEnd w:id="1090"/>
    </w:p>
    <w:bookmarkEnd w:id="1088"/>
    <w:p w:rsidR="007A73DF" w:rsidRPr="008B3D04" w:rsidRDefault="007A73DF" w:rsidP="00483B3D">
      <w:pPr>
        <w:rPr>
          <w:rFonts w:eastAsia="Calibri" w:cs="Tahoma"/>
          <w:color w:val="000000"/>
          <w:szCs w:val="18"/>
          <w:lang w:val="de-DE"/>
        </w:rPr>
      </w:pPr>
    </w:p>
    <w:p w:rsidR="00475147" w:rsidRPr="00C83DF5" w:rsidRDefault="0037362E" w:rsidP="00483B3D">
      <w:pPr>
        <w:ind w:left="720"/>
        <w:rPr>
          <w:lang w:val="de-DE"/>
        </w:rPr>
      </w:pPr>
      <w:r w:rsidRPr="00C83DF5">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rsidR="00676723" w:rsidRPr="008B3D04" w:rsidRDefault="00676723" w:rsidP="00483B3D">
      <w:pPr>
        <w:ind w:left="720"/>
        <w:rPr>
          <w:rFonts w:eastAsia="Calibri" w:cs="Tahoma"/>
          <w:color w:val="000000"/>
          <w:szCs w:val="18"/>
          <w:lang w:val="de-DE"/>
        </w:rPr>
      </w:pPr>
    </w:p>
    <w:p w:rsidR="00475147" w:rsidRPr="00C83DF5" w:rsidRDefault="00475147" w:rsidP="00346F4B">
      <w:pPr>
        <w:numPr>
          <w:ilvl w:val="0"/>
          <w:numId w:val="49"/>
        </w:numPr>
        <w:tabs>
          <w:tab w:val="left" w:pos="1440"/>
        </w:tabs>
        <w:ind w:left="1440" w:hanging="446"/>
        <w:rPr>
          <w:lang w:val="de-DE"/>
        </w:rPr>
      </w:pPr>
      <w:r w:rsidRPr="00C83DF5">
        <w:rPr>
          <w:rFonts w:eastAsia="Calibri" w:cs="Tahoma"/>
          <w:color w:val="000000"/>
          <w:szCs w:val="18"/>
          <w:lang w:val="de-DE"/>
        </w:rPr>
        <w:t>aktive Software Assurance für das Windows Desktop-Betriebssystem oder</w:t>
      </w:r>
    </w:p>
    <w:p w:rsidR="00475147" w:rsidRPr="00C83DF5" w:rsidRDefault="00475147" w:rsidP="00F40C90">
      <w:pPr>
        <w:numPr>
          <w:ilvl w:val="0"/>
          <w:numId w:val="49"/>
        </w:numPr>
        <w:tabs>
          <w:tab w:val="left" w:pos="1440"/>
        </w:tabs>
        <w:ind w:left="1440" w:hanging="446"/>
      </w:pPr>
      <w:r w:rsidRPr="00C83DF5">
        <w:rPr>
          <w:rFonts w:eastAsia="Calibri" w:cs="Tahoma"/>
          <w:color w:val="000000"/>
          <w:szCs w:val="18"/>
        </w:rPr>
        <w:t>eine Windows Virtual Desktop Access-Lizenz oder</w:t>
      </w:r>
    </w:p>
    <w:p w:rsidR="00475147" w:rsidRPr="00C83DF5" w:rsidRDefault="00475147" w:rsidP="00346F4B">
      <w:pPr>
        <w:numPr>
          <w:ilvl w:val="0"/>
          <w:numId w:val="49"/>
        </w:numPr>
        <w:tabs>
          <w:tab w:val="left" w:pos="1440"/>
        </w:tabs>
        <w:ind w:left="1440" w:hanging="446"/>
        <w:rPr>
          <w:lang w:val="de-DE"/>
        </w:rPr>
      </w:pPr>
      <w:r w:rsidRPr="00C83DF5">
        <w:rPr>
          <w:rFonts w:eastAsia="Calibri" w:cs="Tahoma"/>
          <w:color w:val="000000"/>
          <w:szCs w:val="18"/>
          <w:lang w:val="de-DE"/>
        </w:rPr>
        <w:t xml:space="preserve">ein aktives Abonnement für Windows Intune </w:t>
      </w:r>
      <w:r w:rsidRPr="00C83DF5">
        <w:rPr>
          <w:rFonts w:cs="Tahoma"/>
          <w:szCs w:val="18"/>
          <w:lang w:val="de-DE"/>
        </w:rPr>
        <w:t>(Pro Gerät)</w:t>
      </w:r>
      <w:r w:rsidRPr="00C83DF5">
        <w:rPr>
          <w:rFonts w:eastAsia="Calibri" w:cs="Tahoma"/>
          <w:color w:val="000000"/>
          <w:szCs w:val="18"/>
          <w:lang w:val="de-DE"/>
        </w:rPr>
        <w:t>.</w:t>
      </w:r>
    </w:p>
    <w:p w:rsidR="00475147" w:rsidRPr="00C83DF5" w:rsidRDefault="00475147" w:rsidP="00B37D3C">
      <w:pPr>
        <w:spacing w:before="120"/>
        <w:ind w:left="720"/>
        <w:rPr>
          <w:lang w:val="de-DE"/>
        </w:rPr>
      </w:pPr>
      <w:r w:rsidRPr="00C83DF5">
        <w:rPr>
          <w:rFonts w:eastAsia="Calibri" w:cs="Tahoma"/>
          <w:color w:val="000000"/>
          <w:szCs w:val="18"/>
          <w:lang w:val="de-DE"/>
        </w:rPr>
        <w:t>Geräte, die durch eine aktive Windows Companion-Abonnementlizenz abgedeckt sind, sind ebenfalls</w:t>
      </w:r>
      <w:r w:rsidR="00B37D3C">
        <w:rPr>
          <w:rFonts w:eastAsia="Calibri" w:cs="Tahoma"/>
          <w:color w:val="000000"/>
          <w:szCs w:val="18"/>
          <w:lang w:val="de-DE"/>
        </w:rPr>
        <w:t> </w:t>
      </w:r>
      <w:r w:rsidRPr="00C83DF5">
        <w:rPr>
          <w:rFonts w:eastAsia="Calibri" w:cs="Tahoma"/>
          <w:color w:val="000000"/>
          <w:szCs w:val="18"/>
          <w:lang w:val="de-DE"/>
        </w:rPr>
        <w:t>zulässig.</w:t>
      </w:r>
    </w:p>
    <w:p w:rsidR="007A73DF" w:rsidRPr="00DC03A1" w:rsidRDefault="007A73DF" w:rsidP="00483B3D">
      <w:pPr>
        <w:ind w:left="720"/>
        <w:rPr>
          <w:rFonts w:eastAsia="Calibri" w:cs="Tahoma"/>
          <w:color w:val="000000"/>
          <w:szCs w:val="18"/>
          <w:lang w:val="de-DE"/>
        </w:rPr>
      </w:pPr>
    </w:p>
    <w:p w:rsidR="00F7027D" w:rsidRPr="00C83DF5" w:rsidRDefault="00F7027D" w:rsidP="00B37D3C">
      <w:pPr>
        <w:ind w:left="720"/>
        <w:rPr>
          <w:lang w:val="de-DE"/>
        </w:rPr>
      </w:pPr>
      <w:r w:rsidRPr="00C83DF5">
        <w:rPr>
          <w:rFonts w:eastAsia="Calibri" w:cs="Tahoma"/>
          <w:color w:val="000000"/>
          <w:szCs w:val="18"/>
          <w:lang w:val="de-DE"/>
        </w:rPr>
        <w:t>Kunden mit Volumenlizenzverträgen, die aktive Lizenzen für MDOP besitzen, erhalten die folgende Software</w:t>
      </w:r>
      <w:r w:rsidR="00B37D3C">
        <w:rPr>
          <w:rFonts w:eastAsia="Calibri" w:cs="Tahoma"/>
          <w:color w:val="000000"/>
          <w:szCs w:val="18"/>
          <w:lang w:val="de-DE"/>
        </w:rPr>
        <w:t> </w:t>
      </w:r>
      <w:r w:rsidRPr="00C83DF5">
        <w:rPr>
          <w:rFonts w:eastAsia="Calibri" w:cs="Tahoma"/>
          <w:color w:val="000000"/>
          <w:szCs w:val="18"/>
          <w:lang w:val="de-DE"/>
        </w:rPr>
        <w:t>(sobald sie verfügbar ist):</w:t>
      </w:r>
    </w:p>
    <w:p w:rsidR="007A73DF" w:rsidRPr="00B37D3C" w:rsidRDefault="007A73DF" w:rsidP="00483B3D">
      <w:pPr>
        <w:ind w:left="720"/>
        <w:rPr>
          <w:rFonts w:eastAsia="Calibri" w:cs="Tahoma"/>
          <w:color w:val="000000"/>
          <w:szCs w:val="18"/>
          <w:lang w:val="de-DE"/>
        </w:rPr>
      </w:pPr>
    </w:p>
    <w:p w:rsidR="00E52A26" w:rsidRPr="00C83DF5" w:rsidRDefault="00E52A26" w:rsidP="00346F4B">
      <w:pPr>
        <w:numPr>
          <w:ilvl w:val="0"/>
          <w:numId w:val="49"/>
        </w:numPr>
        <w:tabs>
          <w:tab w:val="left" w:pos="1440"/>
        </w:tabs>
        <w:spacing w:after="60"/>
        <w:ind w:left="1440" w:hanging="446"/>
      </w:pPr>
      <w:r w:rsidRPr="00C83DF5">
        <w:rPr>
          <w:rFonts w:eastAsia="Calibri" w:cs="Tahoma"/>
          <w:color w:val="000000"/>
          <w:szCs w:val="18"/>
        </w:rPr>
        <w:t>Microsoft Application Virtualization für Windows Desktops (App-V)</w:t>
      </w:r>
    </w:p>
    <w:p w:rsidR="00E52A26" w:rsidRPr="00C83DF5" w:rsidRDefault="00E52A26" w:rsidP="00346F4B">
      <w:pPr>
        <w:numPr>
          <w:ilvl w:val="0"/>
          <w:numId w:val="49"/>
        </w:numPr>
        <w:tabs>
          <w:tab w:val="left" w:pos="1440"/>
        </w:tabs>
        <w:spacing w:after="60"/>
        <w:ind w:left="1440" w:hanging="446"/>
      </w:pPr>
      <w:r w:rsidRPr="00C83DF5">
        <w:rPr>
          <w:rFonts w:eastAsia="Calibri" w:cs="Tahoma"/>
          <w:color w:val="000000"/>
          <w:szCs w:val="18"/>
        </w:rPr>
        <w:t>Microsoft Advanced Group Policy Management (AGPM)</w:t>
      </w:r>
    </w:p>
    <w:p w:rsidR="00E52A26" w:rsidRPr="00C83DF5" w:rsidRDefault="00E52A26" w:rsidP="00346F4B">
      <w:pPr>
        <w:numPr>
          <w:ilvl w:val="0"/>
          <w:numId w:val="49"/>
        </w:numPr>
        <w:tabs>
          <w:tab w:val="left" w:pos="1440"/>
        </w:tabs>
        <w:spacing w:after="60"/>
        <w:ind w:left="1440" w:hanging="446"/>
        <w:rPr>
          <w:lang w:val="de-DE"/>
        </w:rPr>
      </w:pPr>
      <w:r w:rsidRPr="00C83DF5">
        <w:rPr>
          <w:rFonts w:eastAsia="Calibri" w:cs="Tahoma"/>
          <w:color w:val="000000"/>
          <w:szCs w:val="18"/>
          <w:lang w:val="de-DE"/>
        </w:rPr>
        <w:t>Microsoft Toolset für Diagnose und Wiederherstellung (DART)</w:t>
      </w:r>
    </w:p>
    <w:p w:rsidR="00E52A26" w:rsidRPr="00C83DF5" w:rsidRDefault="00E52A26" w:rsidP="00346F4B">
      <w:pPr>
        <w:numPr>
          <w:ilvl w:val="0"/>
          <w:numId w:val="49"/>
        </w:numPr>
        <w:tabs>
          <w:tab w:val="left" w:pos="1440"/>
        </w:tabs>
        <w:spacing w:after="60"/>
        <w:ind w:left="1440" w:hanging="446"/>
      </w:pPr>
      <w:r w:rsidRPr="00C83DF5">
        <w:rPr>
          <w:rFonts w:eastAsia="Calibri" w:cs="Tahoma"/>
          <w:color w:val="000000"/>
          <w:szCs w:val="18"/>
        </w:rPr>
        <w:t>Microsoft Enterprise Desktop Virtualization (MED-V)</w:t>
      </w:r>
    </w:p>
    <w:p w:rsidR="00E52A26" w:rsidRPr="00C83DF5" w:rsidRDefault="00E52A26" w:rsidP="00346F4B">
      <w:pPr>
        <w:numPr>
          <w:ilvl w:val="0"/>
          <w:numId w:val="49"/>
        </w:numPr>
        <w:tabs>
          <w:tab w:val="left" w:pos="1440"/>
        </w:tabs>
        <w:spacing w:after="60"/>
        <w:ind w:left="1440" w:hanging="446"/>
        <w:rPr>
          <w:lang w:val="de-DE"/>
        </w:rPr>
      </w:pPr>
      <w:r w:rsidRPr="00C83DF5">
        <w:rPr>
          <w:rFonts w:eastAsia="Calibri" w:cs="Tahoma"/>
          <w:color w:val="000000"/>
          <w:szCs w:val="18"/>
          <w:lang w:val="de-DE"/>
        </w:rPr>
        <w:t>Microsoft BitLocker</w:t>
      </w:r>
      <w:r w:rsidRPr="00C83DF5">
        <w:rPr>
          <w:rFonts w:eastAsia="Calibri" w:cs="Tahoma"/>
          <w:color w:val="000000"/>
          <w:szCs w:val="18"/>
          <w:vertAlign w:val="superscript"/>
          <w:lang w:val="de-DE"/>
        </w:rPr>
        <w:t>®</w:t>
      </w:r>
      <w:r w:rsidRPr="00C83DF5">
        <w:rPr>
          <w:rFonts w:eastAsia="Calibri" w:cs="Tahoma"/>
          <w:color w:val="000000"/>
          <w:szCs w:val="18"/>
          <w:lang w:val="de-DE"/>
        </w:rPr>
        <w:t xml:space="preserve"> Administration und Überwachung (MBAM)</w:t>
      </w:r>
    </w:p>
    <w:p w:rsidR="00670296" w:rsidRPr="00C83DF5" w:rsidRDefault="00670296" w:rsidP="00346F4B">
      <w:pPr>
        <w:numPr>
          <w:ilvl w:val="0"/>
          <w:numId w:val="49"/>
        </w:numPr>
        <w:tabs>
          <w:tab w:val="left" w:pos="1440"/>
        </w:tabs>
        <w:spacing w:after="60"/>
        <w:ind w:left="1440" w:hanging="446"/>
      </w:pPr>
      <w:r w:rsidRPr="00C83DF5">
        <w:rPr>
          <w:rFonts w:eastAsia="Calibri" w:cs="Tahoma"/>
          <w:color w:val="000000"/>
          <w:szCs w:val="18"/>
        </w:rPr>
        <w:t>Microsoft User Experience Virtualization (UE-V)</w:t>
      </w:r>
    </w:p>
    <w:p w:rsidR="007A73DF" w:rsidRPr="006D2592" w:rsidRDefault="007A73DF" w:rsidP="006D2592">
      <w:pPr>
        <w:tabs>
          <w:tab w:val="left" w:pos="1440"/>
        </w:tabs>
        <w:ind w:left="994"/>
        <w:rPr>
          <w:rFonts w:eastAsia="Calibri" w:cs="Tahoma"/>
          <w:color w:val="000000"/>
          <w:szCs w:val="18"/>
        </w:rPr>
      </w:pPr>
    </w:p>
    <w:p w:rsidR="007045C0" w:rsidRPr="00C83DF5" w:rsidRDefault="007045C0" w:rsidP="00483B3D">
      <w:pPr>
        <w:spacing w:after="60"/>
        <w:ind w:left="720"/>
      </w:pPr>
      <w:r w:rsidRPr="00C83DF5">
        <w:rPr>
          <w:rFonts w:eastAsia="Calibri" w:cs="Tahoma"/>
          <w:b/>
          <w:color w:val="000000"/>
          <w:szCs w:val="18"/>
        </w:rPr>
        <w:t>Windows Companion-Abonnementlizenz (CSL) und MDOP</w:t>
      </w:r>
    </w:p>
    <w:p w:rsidR="007045C0" w:rsidRPr="00C83DF5" w:rsidRDefault="007045C0" w:rsidP="00483B3D">
      <w:pPr>
        <w:tabs>
          <w:tab w:val="left" w:pos="1440"/>
        </w:tabs>
        <w:ind w:left="720"/>
        <w:rPr>
          <w:lang w:val="de-DE"/>
        </w:rPr>
      </w:pPr>
      <w:r w:rsidRPr="00C83DF5">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rsidR="007045C0" w:rsidRPr="008B3D04" w:rsidRDefault="007045C0" w:rsidP="00483B3D">
      <w:pPr>
        <w:tabs>
          <w:tab w:val="left" w:pos="1440"/>
        </w:tabs>
        <w:ind w:left="994"/>
        <w:rPr>
          <w:rFonts w:eastAsia="Calibri" w:cs="Tahoma"/>
          <w:color w:val="000000"/>
          <w:szCs w:val="18"/>
          <w:lang w:val="de-DE"/>
        </w:rPr>
      </w:pPr>
    </w:p>
    <w:p w:rsidR="0031394C" w:rsidRPr="00C83DF5" w:rsidRDefault="0031394C" w:rsidP="00483B3D">
      <w:pPr>
        <w:spacing w:after="60"/>
        <w:ind w:left="720"/>
        <w:rPr>
          <w:lang w:val="de-DE"/>
        </w:rPr>
      </w:pPr>
      <w:r w:rsidRPr="00C83DF5">
        <w:rPr>
          <w:rFonts w:eastAsia="Calibri" w:cs="Tahoma"/>
          <w:b/>
          <w:color w:val="000000"/>
          <w:szCs w:val="18"/>
          <w:lang w:val="de-DE"/>
        </w:rPr>
        <w:t>Windows Intune (Pro Gerät)-Angebot für Microsoft Desktop Optimization Pack (MDOP)-Kunden, die Asset Inventory Service verwenden</w:t>
      </w:r>
    </w:p>
    <w:p w:rsidR="006529B0" w:rsidRPr="00C83DF5" w:rsidRDefault="006529B0" w:rsidP="006529B0">
      <w:pPr>
        <w:ind w:left="720"/>
        <w:rPr>
          <w:lang w:val="de-DE"/>
        </w:rPr>
      </w:pPr>
      <w:r w:rsidRPr="00C83DF5">
        <w:rPr>
          <w:rFonts w:cs="Tahoma"/>
          <w:color w:val="000000"/>
          <w:szCs w:val="18"/>
          <w:lang w:val="de-DE"/>
        </w:rPr>
        <w:t>Nähere Informationen zu diesem Angebot finden Sie in der Produktliste von Oktober 2013.</w:t>
      </w:r>
    </w:p>
    <w:p w:rsidR="006714D8" w:rsidRPr="00C83DF5" w:rsidRDefault="006714D8" w:rsidP="001760D6">
      <w:pPr>
        <w:rPr>
          <w:lang w:val="de-DE"/>
        </w:rPr>
      </w:pPr>
      <w:bookmarkStart w:id="1091" w:name="_24_Windows®_Companion"/>
      <w:bookmarkStart w:id="1092" w:name="_24_Windows®_8"/>
      <w:bookmarkStart w:id="1093" w:name="Sys_22WindowsPartnersLearning"/>
      <w:bookmarkEnd w:id="1089"/>
      <w:bookmarkEnd w:id="1091"/>
      <w:bookmarkEnd w:id="1092"/>
    </w:p>
    <w:p w:rsidR="006714D8" w:rsidRPr="00C83DF5" w:rsidRDefault="006714D8" w:rsidP="001760D6">
      <w:pPr>
        <w:rPr>
          <w:lang w:val="de-DE"/>
        </w:rPr>
      </w:pPr>
    </w:p>
    <w:p w:rsidR="006714D8" w:rsidRPr="00C83DF5" w:rsidRDefault="00A560B6" w:rsidP="006D5161">
      <w:pPr>
        <w:pStyle w:val="Heading3"/>
        <w:rPr>
          <w:lang w:val="de-DE"/>
        </w:rPr>
      </w:pPr>
      <w:bookmarkStart w:id="1094" w:name="_25_Windows_Embedded"/>
      <w:bookmarkStart w:id="1095" w:name="_Toc370983393"/>
      <w:bookmarkEnd w:id="1094"/>
      <w:r w:rsidRPr="00C83DF5">
        <w:rPr>
          <w:rFonts w:ascii="Tahoma" w:hAnsi="Tahoma"/>
          <w:caps/>
          <w:color w:val="F66400"/>
          <w:sz w:val="22"/>
          <w:vertAlign w:val="superscript"/>
          <w:lang w:val="de-DE"/>
        </w:rPr>
        <w:t>26</w:t>
      </w:r>
      <w:r w:rsidRPr="00106236">
        <w:rPr>
          <w:rFonts w:ascii="Tahoma" w:hAnsi="Tahoma"/>
          <w:caps/>
          <w:color w:val="F66400"/>
          <w:sz w:val="22"/>
          <w:lang w:val="de-DE"/>
        </w:rPr>
        <w:t xml:space="preserve"> </w:t>
      </w:r>
      <w:r w:rsidRPr="00C83DF5">
        <w:rPr>
          <w:rFonts w:ascii="Tahoma" w:hAnsi="Tahoma"/>
          <w:color w:val="F66400"/>
          <w:sz w:val="22"/>
          <w:lang w:val="de-DE"/>
        </w:rPr>
        <w:t>Windows Embedded 8 Standard Enterprise Kit</w:t>
      </w:r>
      <w:bookmarkEnd w:id="1095"/>
    </w:p>
    <w:p w:rsidR="006714D8" w:rsidRPr="008B3D04" w:rsidRDefault="006714D8" w:rsidP="006714D8">
      <w:pPr>
        <w:pStyle w:val="FootnoteBulletLevel1"/>
        <w:tabs>
          <w:tab w:val="clear" w:pos="900"/>
        </w:tabs>
        <w:adjustRightInd/>
        <w:spacing w:before="0" w:after="0"/>
        <w:ind w:left="720" w:hanging="7"/>
        <w:textAlignment w:val="auto"/>
        <w:rPr>
          <w:rFonts w:ascii="Tahoma" w:hAnsi="Tahoma" w:cs="Tahoma"/>
          <w:sz w:val="18"/>
          <w:szCs w:val="22"/>
          <w:lang w:val="de-DE"/>
        </w:rPr>
      </w:pPr>
    </w:p>
    <w:p w:rsidR="006714D8" w:rsidRPr="00C83DF5" w:rsidRDefault="006714D8" w:rsidP="001608E7">
      <w:pPr>
        <w:pStyle w:val="FootnoteBulletLevel1"/>
        <w:tabs>
          <w:tab w:val="clear" w:pos="900"/>
        </w:tabs>
        <w:adjustRightInd/>
        <w:spacing w:before="0" w:after="0"/>
        <w:ind w:left="720" w:firstLine="0"/>
        <w:textAlignment w:val="auto"/>
        <w:rPr>
          <w:lang w:val="de-DE"/>
        </w:rPr>
      </w:pPr>
      <w:r w:rsidRPr="008B3D04">
        <w:rPr>
          <w:rFonts w:ascii="Tahoma" w:hAnsi="Tahoma" w:cs="Tahoma"/>
          <w:sz w:val="18"/>
          <w:szCs w:val="22"/>
          <w:lang w:val="de-DE"/>
        </w:rPr>
        <w:t>Kunden, die ein OEM-Gerät mit vorinstallierter Windows Embedded 8 Standard-Software erwerben, können</w:t>
      </w:r>
      <w:r w:rsidR="00DC03A1" w:rsidRPr="008B3D04">
        <w:rPr>
          <w:rFonts w:ascii="Tahoma" w:hAnsi="Tahoma" w:cs="Tahoma"/>
          <w:sz w:val="18"/>
          <w:szCs w:val="22"/>
          <w:lang w:val="de-DE"/>
        </w:rPr>
        <w:t> </w:t>
      </w:r>
      <w:r w:rsidRPr="008B3D04">
        <w:rPr>
          <w:rFonts w:ascii="Tahoma" w:hAnsi="Tahoma" w:cs="Tahoma"/>
          <w:sz w:val="18"/>
          <w:szCs w:val="22"/>
          <w:lang w:val="de-DE"/>
        </w:rPr>
        <w:t>eine Lizenz für Windows Embedded 8 Standard Enterprise Kit erwerben, um bestimmte Softwarefunktionen zu lizenzieren, zu entsperren und zu aktivieren (u. a. Windows DirectAccess, Enterprise</w:t>
      </w:r>
      <w:r w:rsidR="00DC03A1" w:rsidRPr="008B3D04">
        <w:rPr>
          <w:rFonts w:ascii="Tahoma" w:hAnsi="Tahoma" w:cs="Tahoma"/>
          <w:sz w:val="18"/>
          <w:szCs w:val="22"/>
          <w:lang w:val="de-DE"/>
        </w:rPr>
        <w:t> </w:t>
      </w:r>
      <w:r w:rsidRPr="008B3D04">
        <w:rPr>
          <w:rFonts w:ascii="Tahoma" w:hAnsi="Tahoma" w:cs="Tahoma"/>
          <w:sz w:val="18"/>
          <w:szCs w:val="22"/>
          <w:lang w:val="de-DE"/>
        </w:rPr>
        <w:t>Sideloading, BranchCache und AppLocker).</w:t>
      </w:r>
      <w:r w:rsidR="00E71F46" w:rsidRPr="008B3D04">
        <w:rPr>
          <w:rFonts w:ascii="Tahoma" w:hAnsi="Tahoma" w:cs="Tahoma"/>
          <w:sz w:val="18"/>
          <w:szCs w:val="22"/>
          <w:lang w:val="de-DE"/>
        </w:rPr>
        <w:t xml:space="preserve"> </w:t>
      </w:r>
      <w:r w:rsidRPr="00C83DF5">
        <w:rPr>
          <w:rFonts w:ascii="Tahoma" w:hAnsi="Tahoma" w:cs="Tahoma"/>
          <w:sz w:val="18"/>
          <w:szCs w:val="22"/>
          <w:lang w:val="de-DE"/>
        </w:rPr>
        <w:t>Die Nutzung der Softwarefunktionen, die durch die</w:t>
      </w:r>
      <w:r w:rsidR="00DC03A1">
        <w:rPr>
          <w:rFonts w:ascii="Tahoma" w:hAnsi="Tahoma" w:cs="Tahoma"/>
          <w:sz w:val="18"/>
          <w:szCs w:val="22"/>
          <w:lang w:val="de-DE"/>
        </w:rPr>
        <w:t> </w:t>
      </w:r>
      <w:r w:rsidRPr="00C83DF5">
        <w:rPr>
          <w:rFonts w:ascii="Tahoma" w:hAnsi="Tahoma" w:cs="Tahoma"/>
          <w:sz w:val="18"/>
          <w:szCs w:val="22"/>
          <w:lang w:val="de-DE"/>
        </w:rPr>
        <w:t>im</w:t>
      </w:r>
      <w:r w:rsidR="00DC03A1">
        <w:rPr>
          <w:rFonts w:ascii="Tahoma" w:hAnsi="Tahoma" w:cs="Tahoma"/>
          <w:sz w:val="18"/>
          <w:szCs w:val="22"/>
          <w:lang w:val="de-DE"/>
        </w:rPr>
        <w:t> </w:t>
      </w:r>
      <w:r w:rsidRPr="00C83DF5">
        <w:rPr>
          <w:rFonts w:ascii="Tahoma" w:hAnsi="Tahoma" w:cs="Tahoma"/>
          <w:sz w:val="18"/>
          <w:szCs w:val="22"/>
          <w:lang w:val="de-DE"/>
        </w:rPr>
        <w:t>Rahmen dieses Angebotes gewährte Lizenz aktiviert werden, unterliegt den Bestimmungen des Lizenzvertrags des Kunden und den Softwarelizenzbestimmungen für die zugrunde liegende Windows Embedded 8 Standard-Software.</w:t>
      </w:r>
      <w:r w:rsidR="00E71F46" w:rsidRPr="00C83DF5">
        <w:rPr>
          <w:rFonts w:ascii="Tahoma" w:hAnsi="Tahoma" w:cs="Tahoma"/>
          <w:sz w:val="18"/>
          <w:szCs w:val="22"/>
          <w:lang w:val="de-DE"/>
        </w:rPr>
        <w:t xml:space="preserve"> </w:t>
      </w:r>
      <w:r w:rsidRPr="00C83DF5">
        <w:rPr>
          <w:rFonts w:ascii="Tahoma" w:hAnsi="Tahoma" w:cs="Tahoma"/>
          <w:sz w:val="18"/>
          <w:szCs w:val="22"/>
          <w:lang w:val="de-DE"/>
        </w:rPr>
        <w:t>Das Recht zur Verwendung der Softwarefunktionen gilt bis zum Ablauf des</w:t>
      </w:r>
      <w:r w:rsidR="00DC03A1">
        <w:rPr>
          <w:rFonts w:ascii="Tahoma" w:hAnsi="Tahoma" w:cs="Tahoma"/>
          <w:sz w:val="18"/>
          <w:szCs w:val="22"/>
          <w:lang w:val="de-DE"/>
        </w:rPr>
        <w:t> </w:t>
      </w:r>
      <w:r w:rsidRPr="00C83DF5">
        <w:rPr>
          <w:rFonts w:ascii="Tahoma" w:hAnsi="Tahoma" w:cs="Tahoma"/>
          <w:sz w:val="18"/>
          <w:szCs w:val="22"/>
          <w:lang w:val="de-DE"/>
        </w:rPr>
        <w:t>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w:t>
      </w:r>
      <w:r w:rsidR="001608E7">
        <w:rPr>
          <w:rFonts w:ascii="Tahoma" w:hAnsi="Tahoma" w:cs="Tahoma"/>
          <w:sz w:val="18"/>
          <w:szCs w:val="22"/>
          <w:lang w:val="de-DE"/>
        </w:rPr>
        <w:t> </w:t>
      </w:r>
      <w:r w:rsidRPr="00C83DF5">
        <w:rPr>
          <w:rFonts w:ascii="Tahoma" w:hAnsi="Tahoma" w:cs="Tahoma"/>
          <w:sz w:val="18"/>
          <w:szCs w:val="22"/>
          <w:lang w:val="de-DE"/>
        </w:rPr>
        <w:t>Standard ist nur als Bestandteil des Windows Embedded 8 Standard Enterprise-Kits erhältlich.</w:t>
      </w:r>
      <w:r w:rsidR="00E71F46" w:rsidRPr="00C83DF5">
        <w:rPr>
          <w:rFonts w:ascii="Tahoma" w:hAnsi="Tahoma" w:cs="Tahoma"/>
          <w:sz w:val="18"/>
          <w:szCs w:val="22"/>
          <w:lang w:val="de-DE"/>
        </w:rPr>
        <w:t xml:space="preserve"> </w:t>
      </w:r>
    </w:p>
    <w:p w:rsidR="006714D8" w:rsidRPr="00E21A09" w:rsidRDefault="006714D8" w:rsidP="006714D8">
      <w:pPr>
        <w:contextualSpacing/>
        <w:rPr>
          <w:rFonts w:eastAsia="Calibri" w:cs="Tahoma"/>
          <w:color w:val="000000"/>
          <w:szCs w:val="18"/>
          <w:lang w:val="de-DE"/>
        </w:rPr>
      </w:pPr>
    </w:p>
    <w:p w:rsidR="006714D8" w:rsidRPr="00E21A09" w:rsidRDefault="006714D8" w:rsidP="006714D8">
      <w:pPr>
        <w:contextualSpacing/>
        <w:rPr>
          <w:rFonts w:eastAsia="Calibri" w:cs="Tahoma"/>
          <w:color w:val="000000"/>
          <w:szCs w:val="18"/>
          <w:lang w:val="de-DE"/>
        </w:rPr>
      </w:pPr>
    </w:p>
    <w:p w:rsidR="00DC03A1" w:rsidRPr="00E21A09" w:rsidRDefault="00DC03A1" w:rsidP="006714D8">
      <w:pPr>
        <w:contextualSpacing/>
        <w:rPr>
          <w:rFonts w:eastAsia="Calibri" w:cs="Tahoma"/>
          <w:color w:val="000000"/>
          <w:szCs w:val="18"/>
          <w:lang w:val="de-DE"/>
        </w:rPr>
      </w:pPr>
    </w:p>
    <w:p w:rsidR="00DC03A1" w:rsidRPr="00E21A09" w:rsidRDefault="00DC03A1" w:rsidP="006714D8">
      <w:pPr>
        <w:contextualSpacing/>
        <w:rPr>
          <w:rFonts w:eastAsia="Calibri" w:cs="Tahoma"/>
          <w:color w:val="000000"/>
          <w:szCs w:val="18"/>
          <w:lang w:val="de-DE"/>
        </w:rPr>
      </w:pPr>
    </w:p>
    <w:p w:rsidR="00DC03A1" w:rsidRPr="00E21A09" w:rsidRDefault="00DC03A1" w:rsidP="006714D8">
      <w:pPr>
        <w:contextualSpacing/>
        <w:rPr>
          <w:rFonts w:eastAsia="Calibri" w:cs="Tahoma"/>
          <w:color w:val="000000"/>
          <w:szCs w:val="18"/>
          <w:lang w:val="de-DE"/>
        </w:rPr>
      </w:pPr>
    </w:p>
    <w:p w:rsidR="00DC03A1" w:rsidRPr="00E21A09" w:rsidRDefault="00DC03A1" w:rsidP="006714D8">
      <w:pPr>
        <w:contextualSpacing/>
        <w:rPr>
          <w:rFonts w:eastAsia="Calibri" w:cs="Tahoma"/>
          <w:color w:val="000000"/>
          <w:szCs w:val="18"/>
          <w:lang w:val="de-DE"/>
        </w:rPr>
      </w:pPr>
    </w:p>
    <w:p w:rsidR="00DC03A1" w:rsidRPr="00E21A09" w:rsidRDefault="00DC03A1" w:rsidP="006714D8">
      <w:pPr>
        <w:contextualSpacing/>
        <w:rPr>
          <w:rFonts w:eastAsia="Calibri" w:cs="Tahoma"/>
          <w:color w:val="000000"/>
          <w:szCs w:val="18"/>
          <w:lang w:val="de-DE"/>
        </w:rPr>
      </w:pPr>
    </w:p>
    <w:p w:rsidR="00DC03A1" w:rsidRPr="00E21A09" w:rsidRDefault="00DC03A1" w:rsidP="006714D8">
      <w:pPr>
        <w:contextualSpacing/>
        <w:rPr>
          <w:rFonts w:eastAsia="Calibri" w:cs="Tahoma"/>
          <w:color w:val="000000"/>
          <w:szCs w:val="18"/>
          <w:lang w:val="de-DE"/>
        </w:rPr>
      </w:pPr>
    </w:p>
    <w:p w:rsidR="00DC03A1" w:rsidRPr="00E21A09" w:rsidRDefault="00DC03A1" w:rsidP="006714D8">
      <w:pPr>
        <w:contextualSpacing/>
        <w:rPr>
          <w:rFonts w:eastAsia="Calibri" w:cs="Tahoma"/>
          <w:color w:val="000000"/>
          <w:szCs w:val="18"/>
          <w:lang w:val="de-DE"/>
        </w:rPr>
      </w:pPr>
    </w:p>
    <w:p w:rsidR="006714D8" w:rsidRPr="00C83DF5" w:rsidRDefault="00A560B6" w:rsidP="006D5161">
      <w:pPr>
        <w:pStyle w:val="Heading3"/>
        <w:rPr>
          <w:lang w:val="de-DE"/>
        </w:rPr>
      </w:pPr>
      <w:bookmarkStart w:id="1096" w:name="_26_Windows_Embedded"/>
      <w:bookmarkStart w:id="1097" w:name="_27_Enterprise_Sideloading"/>
      <w:bookmarkStart w:id="1098" w:name="_Toc370983394"/>
      <w:bookmarkEnd w:id="1096"/>
      <w:bookmarkEnd w:id="1097"/>
      <w:r w:rsidRPr="00C83DF5">
        <w:rPr>
          <w:rFonts w:ascii="Tahoma" w:hAnsi="Tahoma"/>
          <w:caps/>
          <w:color w:val="F66400"/>
          <w:sz w:val="22"/>
          <w:vertAlign w:val="superscript"/>
          <w:lang w:val="de-DE"/>
        </w:rPr>
        <w:lastRenderedPageBreak/>
        <w:t>27</w:t>
      </w:r>
      <w:r w:rsidRPr="00106236">
        <w:rPr>
          <w:rFonts w:ascii="Tahoma" w:hAnsi="Tahoma"/>
          <w:caps/>
          <w:color w:val="F66400"/>
          <w:sz w:val="22"/>
          <w:lang w:val="de-DE"/>
        </w:rPr>
        <w:t xml:space="preserve"> </w:t>
      </w:r>
      <w:r w:rsidRPr="00C83DF5">
        <w:rPr>
          <w:rFonts w:ascii="Tahoma" w:hAnsi="Tahoma"/>
          <w:color w:val="F66400"/>
          <w:sz w:val="22"/>
          <w:lang w:val="de-DE"/>
        </w:rPr>
        <w:t>Enterprise Sideloading für Windows Embedded 8.1</w:t>
      </w:r>
      <w:bookmarkEnd w:id="1098"/>
      <w:r w:rsidRPr="00C83DF5">
        <w:rPr>
          <w:rFonts w:ascii="Tahoma" w:hAnsi="Tahoma"/>
          <w:caps/>
          <w:color w:val="F66400"/>
          <w:sz w:val="22"/>
          <w:vertAlign w:val="superscript"/>
          <w:lang w:val="de-DE"/>
        </w:rPr>
        <w:t xml:space="preserve"> </w:t>
      </w:r>
    </w:p>
    <w:p w:rsidR="006714D8" w:rsidRPr="00C83DF5" w:rsidRDefault="006714D8" w:rsidP="006714D8">
      <w:pPr>
        <w:spacing w:after="60"/>
        <w:ind w:left="720"/>
        <w:rPr>
          <w:lang w:val="de-DE"/>
        </w:rPr>
      </w:pPr>
    </w:p>
    <w:p w:rsidR="006714D8" w:rsidRPr="00C83DF5" w:rsidRDefault="006529B0" w:rsidP="006714D8">
      <w:pPr>
        <w:spacing w:after="60"/>
        <w:ind w:left="720"/>
        <w:rPr>
          <w:lang w:val="de-DE"/>
        </w:rPr>
      </w:pPr>
      <w:r w:rsidRPr="00C83DF5">
        <w:rPr>
          <w:rFonts w:cs="Tahoma"/>
          <w:b/>
          <w:szCs w:val="18"/>
          <w:lang w:val="de-DE"/>
        </w:rPr>
        <w:t>Enterprise Sideloading-Lizenzen für Windows Embedded 8.1 zum Erwerb verfügbar</w:t>
      </w:r>
    </w:p>
    <w:p w:rsidR="006529B0" w:rsidRPr="00C83DF5" w:rsidRDefault="006529B0" w:rsidP="00952FC2">
      <w:pPr>
        <w:ind w:left="720"/>
        <w:rPr>
          <w:lang w:val="de-DE"/>
        </w:rPr>
      </w:pPr>
      <w:r w:rsidRPr="00C83DF5">
        <w:rPr>
          <w:rFonts w:cs="Tahoma"/>
          <w:szCs w:val="18"/>
          <w:lang w:val="de-DE"/>
        </w:rPr>
        <w:t>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Enterprise Sideloading für Windows Embedded 8.1 kann auch auf Geräten unter Windows Embedded 8.1 Industry Enterprise aktiviert werden, die nicht über einen Beitritt zur Domäne verfügen, sowie auf Geräten unter Windows Embedded 8.1 Industry Pro über die</w:t>
      </w:r>
      <w:r w:rsidR="00EF0617">
        <w:rPr>
          <w:rFonts w:cs="Tahoma"/>
          <w:szCs w:val="18"/>
          <w:lang w:val="de-DE"/>
        </w:rPr>
        <w:t> </w:t>
      </w:r>
      <w:r w:rsidRPr="00C83DF5">
        <w:rPr>
          <w:rFonts w:cs="Tahoma"/>
          <w:szCs w:val="18"/>
          <w:lang w:val="de-DE"/>
        </w:rPr>
        <w:t>Verwendung eines Product Key. In jedem Fall darf Enterprise Sideloading nur zur Bereitstellung von Apps verwendet werden, die zu Gunsten des Volumenlizenzkunden verwendet werden. Die Enterprise Sideloading-Funktionalität ergänzt Windows Embedded 8.1 Industry Pro, und daher gelten die auf Windows</w:t>
      </w:r>
      <w:r w:rsidR="00952FC2">
        <w:rPr>
          <w:rFonts w:cs="Tahoma"/>
          <w:szCs w:val="18"/>
          <w:lang w:val="de-DE"/>
        </w:rPr>
        <w:t> </w:t>
      </w:r>
      <w:r w:rsidRPr="00C83DF5">
        <w:rPr>
          <w:rFonts w:cs="Tahoma"/>
          <w:szCs w:val="18"/>
          <w:lang w:val="de-DE"/>
        </w:rPr>
        <w:t>Embedded 8.1 Industry Pro anwendbaren Lizenzbestimmungen, wie hier ergänzt, für deren Verwendung durch den Kunden.</w:t>
      </w:r>
    </w:p>
    <w:p w:rsidR="006529B0" w:rsidRPr="008B3D04" w:rsidRDefault="006529B0" w:rsidP="006529B0">
      <w:pPr>
        <w:ind w:left="720"/>
        <w:rPr>
          <w:rFonts w:cs="Tahoma"/>
          <w:szCs w:val="18"/>
          <w:lang w:val="de-DE"/>
        </w:rPr>
      </w:pPr>
    </w:p>
    <w:p w:rsidR="00C205D1" w:rsidRPr="00C83DF5" w:rsidRDefault="006714D8" w:rsidP="001C55B1">
      <w:pPr>
        <w:spacing w:after="120"/>
        <w:ind w:left="720"/>
        <w:rPr>
          <w:lang w:val="de-DE"/>
        </w:rPr>
      </w:pPr>
      <w:r w:rsidRPr="00C83DF5">
        <w:rPr>
          <w:rFonts w:cs="Tahoma"/>
          <w:szCs w:val="18"/>
          <w:lang w:val="de-DE"/>
        </w:rPr>
        <w:t>Kunden können Enterprise Sideloading für Windows Embedded 8.1-Lizenzen für Geräte erwerben, die für Folgendes lizenziert sind:</w:t>
      </w:r>
    </w:p>
    <w:p w:rsidR="00C205D1" w:rsidRPr="00C83DF5" w:rsidRDefault="006714D8" w:rsidP="001C55B1">
      <w:pPr>
        <w:pStyle w:val="ListParagraph"/>
        <w:numPr>
          <w:ilvl w:val="0"/>
          <w:numId w:val="144"/>
        </w:numPr>
      </w:pPr>
      <w:r w:rsidRPr="00C83DF5">
        <w:rPr>
          <w:rFonts w:ascii="Tahoma" w:hAnsi="Tahoma" w:cs="Tahoma"/>
          <w:sz w:val="18"/>
          <w:szCs w:val="18"/>
        </w:rPr>
        <w:t>Windows Embedded 8 Industry Pro</w:t>
      </w:r>
    </w:p>
    <w:p w:rsidR="00C205D1" w:rsidRPr="00C83DF5" w:rsidRDefault="00C205D1" w:rsidP="001C55B1">
      <w:pPr>
        <w:pStyle w:val="ListParagraph"/>
        <w:numPr>
          <w:ilvl w:val="0"/>
          <w:numId w:val="144"/>
        </w:numPr>
      </w:pPr>
      <w:r w:rsidRPr="00C83DF5">
        <w:rPr>
          <w:rFonts w:ascii="Tahoma" w:hAnsi="Tahoma" w:cs="Tahoma"/>
          <w:sz w:val="18"/>
          <w:szCs w:val="18"/>
        </w:rPr>
        <w:t>Windows Embedded 8.1 Pro</w:t>
      </w:r>
    </w:p>
    <w:p w:rsidR="006714D8" w:rsidRPr="00C83DF5" w:rsidRDefault="006714D8" w:rsidP="00ED3897">
      <w:pPr>
        <w:spacing w:before="120"/>
        <w:ind w:left="720"/>
      </w:pPr>
      <w:r w:rsidRPr="00C83DF5">
        <w:rPr>
          <w:rFonts w:cs="Tahoma"/>
          <w:szCs w:val="18"/>
          <w:lang w:val="de-DE"/>
        </w:rPr>
        <w:t>Jede derartige Lizenz muss einem Gerät dauerhaft zugewiesen sein.</w:t>
      </w:r>
      <w:r w:rsidR="00E71F46" w:rsidRPr="00C83DF5">
        <w:rPr>
          <w:rFonts w:cs="Tahoma"/>
          <w:szCs w:val="18"/>
          <w:lang w:val="de-DE"/>
        </w:rPr>
        <w:t xml:space="preserve"> </w:t>
      </w:r>
      <w:r w:rsidRPr="00C83DF5">
        <w:rPr>
          <w:rFonts w:cs="Tahoma"/>
          <w:szCs w:val="18"/>
          <w:lang w:val="de-DE"/>
        </w:rPr>
        <w:t>Anmerkung: Sideloading-Lizenzen, die</w:t>
      </w:r>
      <w:r w:rsidR="00ED3897">
        <w:rPr>
          <w:rFonts w:cs="Tahoma"/>
          <w:szCs w:val="18"/>
          <w:lang w:val="de-DE"/>
        </w:rPr>
        <w:t> </w:t>
      </w:r>
      <w:r w:rsidRPr="00C83DF5">
        <w:rPr>
          <w:rFonts w:cs="Tahoma"/>
          <w:szCs w:val="18"/>
          <w:lang w:val="de-DE"/>
        </w:rPr>
        <w:t>für Windows Embedded 8 erworben wurden, dürfen nicht auf Geräten verwendet werden, die</w:t>
      </w:r>
      <w:r w:rsidR="00ED3897">
        <w:rPr>
          <w:rFonts w:cs="Tahoma"/>
          <w:szCs w:val="18"/>
          <w:lang w:val="de-DE"/>
        </w:rPr>
        <w:t> </w:t>
      </w:r>
      <w:r w:rsidRPr="00C83DF5">
        <w:rPr>
          <w:rFonts w:cs="Tahoma"/>
          <w:szCs w:val="18"/>
          <w:lang w:val="de-DE"/>
        </w:rPr>
        <w:t>Windows</w:t>
      </w:r>
      <w:r w:rsidR="00ED3897">
        <w:rPr>
          <w:rFonts w:cs="Tahoma"/>
          <w:szCs w:val="18"/>
          <w:lang w:val="de-DE"/>
        </w:rPr>
        <w:t> </w:t>
      </w:r>
      <w:r w:rsidRPr="00C83DF5">
        <w:rPr>
          <w:rFonts w:cs="Tahoma"/>
          <w:szCs w:val="18"/>
          <w:lang w:val="de-DE"/>
        </w:rPr>
        <w:t>Embedded 8 Industry Pro ausführen.</w:t>
      </w:r>
      <w:r w:rsidR="00E71F46" w:rsidRPr="00C83DF5">
        <w:rPr>
          <w:rFonts w:cs="Tahoma"/>
          <w:szCs w:val="18"/>
          <w:lang w:val="de-DE"/>
        </w:rPr>
        <w:t xml:space="preserve"> </w:t>
      </w:r>
      <w:r w:rsidRPr="00C83DF5">
        <w:rPr>
          <w:rFonts w:cs="Tahoma"/>
          <w:szCs w:val="18"/>
        </w:rPr>
        <w:t>Für Windows Embedded 8.1.</w:t>
      </w:r>
    </w:p>
    <w:p w:rsidR="006714D8" w:rsidRPr="008B3D04" w:rsidRDefault="006714D8" w:rsidP="006714D8">
      <w:pPr>
        <w:contextualSpacing/>
        <w:rPr>
          <w:rFonts w:eastAsia="Calibri" w:cs="Tahoma"/>
          <w:color w:val="000000"/>
          <w:szCs w:val="18"/>
        </w:rPr>
      </w:pPr>
    </w:p>
    <w:p w:rsidR="006714D8" w:rsidRPr="00C83DF5" w:rsidRDefault="006714D8" w:rsidP="006714D8">
      <w:pPr>
        <w:contextualSpacing/>
      </w:pPr>
    </w:p>
    <w:p w:rsidR="006714D8" w:rsidRPr="00C83DF5" w:rsidRDefault="00A560B6" w:rsidP="006714D8">
      <w:pPr>
        <w:pStyle w:val="Heading3"/>
      </w:pPr>
      <w:bookmarkStart w:id="1099" w:name="_27_Windows®_Embedded"/>
      <w:bookmarkStart w:id="1100" w:name="_28_Windows®_Embedded"/>
      <w:bookmarkStart w:id="1101" w:name="_Toc370983395"/>
      <w:bookmarkEnd w:id="1099"/>
      <w:bookmarkEnd w:id="1100"/>
      <w:r w:rsidRPr="00C83DF5">
        <w:rPr>
          <w:rFonts w:ascii="Tahoma" w:hAnsi="Tahoma"/>
          <w:caps/>
          <w:color w:val="F66400"/>
          <w:sz w:val="22"/>
          <w:vertAlign w:val="superscript"/>
        </w:rPr>
        <w:t>28</w:t>
      </w:r>
      <w:r w:rsidRPr="00106236">
        <w:rPr>
          <w:rFonts w:ascii="Tahoma" w:hAnsi="Tahoma"/>
          <w:caps/>
          <w:color w:val="F66400"/>
          <w:sz w:val="22"/>
        </w:rPr>
        <w:t xml:space="preserve"> </w:t>
      </w:r>
      <w:r w:rsidRPr="00C83DF5">
        <w:rPr>
          <w:rFonts w:ascii="Tahoma" w:hAnsi="Tahoma"/>
          <w:color w:val="F66400"/>
          <w:sz w:val="22"/>
        </w:rPr>
        <w:t>Windows</w:t>
      </w:r>
      <w:r w:rsidRPr="00E21A09">
        <w:rPr>
          <w:rFonts w:ascii="Tahoma" w:hAnsi="Tahoma"/>
          <w:color w:val="F66400"/>
          <w:sz w:val="22"/>
          <w:vertAlign w:val="superscript"/>
        </w:rPr>
        <w:t>®</w:t>
      </w:r>
      <w:r w:rsidRPr="00C83DF5">
        <w:rPr>
          <w:rFonts w:ascii="Tahoma" w:hAnsi="Tahoma"/>
          <w:color w:val="F66400"/>
          <w:sz w:val="22"/>
        </w:rPr>
        <w:t xml:space="preserve"> Embedded 8.1 Industry Pro-Upgrade</w:t>
      </w:r>
      <w:bookmarkEnd w:id="1101"/>
    </w:p>
    <w:p w:rsidR="006714D8" w:rsidRPr="00C83DF5" w:rsidRDefault="006714D8" w:rsidP="006714D8"/>
    <w:p w:rsidR="006714D8" w:rsidRPr="00C83DF5" w:rsidRDefault="006714D8" w:rsidP="006714D8">
      <w:pPr>
        <w:pStyle w:val="FootnoteBulletLevel1"/>
        <w:tabs>
          <w:tab w:val="clear" w:pos="900"/>
        </w:tabs>
        <w:adjustRightInd/>
        <w:spacing w:before="0" w:after="60"/>
        <w:ind w:left="720" w:firstLine="0"/>
        <w:textAlignment w:val="auto"/>
      </w:pPr>
      <w:r w:rsidRPr="00C83DF5">
        <w:rPr>
          <w:rFonts w:ascii="Tahoma" w:hAnsi="Tahoma" w:cs="Tahoma"/>
          <w:b/>
          <w:bCs/>
          <w:sz w:val="18"/>
          <w:szCs w:val="18"/>
        </w:rPr>
        <w:t>Windows</w:t>
      </w:r>
      <w:r w:rsidRPr="00C83DF5">
        <w:rPr>
          <w:rFonts w:ascii="Tahoma" w:hAnsi="Tahoma" w:cs="Tahoma"/>
          <w:b/>
          <w:bCs/>
          <w:sz w:val="18"/>
          <w:szCs w:val="18"/>
          <w:vertAlign w:val="superscript"/>
        </w:rPr>
        <w:t>®</w:t>
      </w:r>
      <w:r w:rsidRPr="00C83DF5">
        <w:rPr>
          <w:rFonts w:ascii="Tahoma" w:hAnsi="Tahoma" w:cs="Tahoma"/>
          <w:b/>
          <w:bCs/>
          <w:sz w:val="18"/>
          <w:szCs w:val="18"/>
        </w:rPr>
        <w:t xml:space="preserve"> Embedded 8.1 Industry Pro-Upgrade und Software Assurance</w:t>
      </w:r>
      <w:r w:rsidRPr="00C83DF5">
        <w:rPr>
          <w:rFonts w:ascii="Tahoma" w:hAnsi="Tahoma" w:cs="Tahoma"/>
          <w:b/>
          <w:sz w:val="18"/>
          <w:szCs w:val="18"/>
          <w:u w:val="single"/>
        </w:rPr>
        <w:t xml:space="preserve"> </w:t>
      </w:r>
    </w:p>
    <w:p w:rsidR="006714D8" w:rsidRPr="00C83DF5" w:rsidRDefault="006714D8" w:rsidP="006714D8">
      <w:pPr>
        <w:ind w:left="720"/>
      </w:pPr>
      <w:r w:rsidRPr="00C83DF5">
        <w:rPr>
          <w:rFonts w:cs="Tahoma"/>
          <w:szCs w:val="18"/>
          <w:u w:val="single"/>
        </w:rPr>
        <w:t>Betriebssystem-Upgrade-Lizenz für Windows Embedded 8.1 Industry Pro</w:t>
      </w:r>
    </w:p>
    <w:p w:rsidR="006714D8" w:rsidRPr="00C83DF5" w:rsidRDefault="006714D8" w:rsidP="006714D8">
      <w:pPr>
        <w:pStyle w:val="FootnoteBulletLevel1"/>
        <w:tabs>
          <w:tab w:val="clear" w:pos="900"/>
        </w:tabs>
        <w:adjustRightInd/>
        <w:spacing w:before="0" w:after="0"/>
        <w:ind w:left="720" w:hanging="7"/>
        <w:textAlignment w:val="auto"/>
        <w:rPr>
          <w:lang w:val="de-DE"/>
        </w:rPr>
      </w:pPr>
      <w:r w:rsidRPr="00C83DF5">
        <w:rPr>
          <w:rFonts w:ascii="Tahoma" w:hAnsi="Tahoma" w:cs="Tahoma"/>
          <w:sz w:val="18"/>
          <w:szCs w:val="18"/>
          <w:lang w:val="de-DE"/>
        </w:rPr>
        <w:t>Die für Windows Embedded 8.1 Industry Pro gewährten Betriebssystemlizenzen sind ausschließlich Upgrade-Lizenzen. Es sind keine Lizenzen für Vollversionen von Desktop-Betriebssystemen verfügbar. Daher muss jedes Gerät, für das Sie das Windows Embedded 8.1 Industry Pro-Upgrade erwerben und auf dem Sie es ausführen, zur Ausführung eines der unten genannten qualifizierenden Betriebssysteme lizenziert sein.</w:t>
      </w:r>
    </w:p>
    <w:p w:rsidR="006714D8" w:rsidRPr="00C83DF5" w:rsidRDefault="006714D8" w:rsidP="006714D8">
      <w:pPr>
        <w:ind w:left="720"/>
        <w:rPr>
          <w:lang w:val="de-DE"/>
        </w:rPr>
      </w:pPr>
    </w:p>
    <w:p w:rsidR="006714D8" w:rsidRPr="00C83DF5" w:rsidRDefault="006714D8" w:rsidP="006714D8">
      <w:pPr>
        <w:ind w:left="720"/>
        <w:rPr>
          <w:lang w:val="de-DE"/>
        </w:rPr>
      </w:pPr>
      <w:r w:rsidRPr="00C83DF5">
        <w:rPr>
          <w:rFonts w:cs="Tahoma"/>
          <w:szCs w:val="18"/>
          <w:u w:val="single"/>
          <w:lang w:val="de-DE"/>
        </w:rPr>
        <w:t>Regeln für qualifizierende Betriebssysteme für Windows Embedded 8.1 Industry Pro</w:t>
      </w:r>
    </w:p>
    <w:p w:rsidR="006714D8" w:rsidRPr="00C83DF5" w:rsidRDefault="006714D8" w:rsidP="00E446A5">
      <w:pPr>
        <w:numPr>
          <w:ilvl w:val="0"/>
          <w:numId w:val="84"/>
        </w:numPr>
        <w:spacing w:after="60"/>
        <w:ind w:left="1440"/>
        <w:rPr>
          <w:lang w:val="de-DE"/>
        </w:rPr>
      </w:pPr>
      <w:r w:rsidRPr="00C83DF5">
        <w:rPr>
          <w:rFonts w:cs="Tahoma"/>
          <w:szCs w:val="18"/>
          <w:lang w:val="de-DE"/>
        </w:rPr>
        <w:t>Das qualifizierende Betriebssystem muss auf dem Gerät installiert sein, dem die Windows</w:t>
      </w:r>
      <w:r w:rsidR="00E446A5">
        <w:rPr>
          <w:rFonts w:cs="Tahoma"/>
          <w:szCs w:val="18"/>
          <w:lang w:val="de-DE"/>
        </w:rPr>
        <w:t> </w:t>
      </w:r>
      <w:r w:rsidRPr="00C83DF5">
        <w:rPr>
          <w:rFonts w:cs="Tahoma"/>
          <w:szCs w:val="18"/>
          <w:lang w:val="de-DE"/>
        </w:rPr>
        <w:t>Embedded 8 Industry Pro-Upgrade-Lizenz zugewiesen wird.</w:t>
      </w:r>
    </w:p>
    <w:p w:rsidR="006714D8" w:rsidRPr="00C83DF5" w:rsidRDefault="006714D8" w:rsidP="00E446A5">
      <w:pPr>
        <w:numPr>
          <w:ilvl w:val="1"/>
          <w:numId w:val="86"/>
        </w:numPr>
        <w:spacing w:after="60"/>
        <w:ind w:left="1440"/>
        <w:rPr>
          <w:lang w:val="de-DE"/>
        </w:rPr>
      </w:pPr>
      <w:r w:rsidRPr="00C83DF5">
        <w:rPr>
          <w:rFonts w:cs="Tahoma"/>
          <w:szCs w:val="18"/>
          <w:lang w:val="de-DE"/>
        </w:rPr>
        <w:t>Kunden müssen das qualifizierende Betriebssystem von dem Gerät entfernen, um die Windows</w:t>
      </w:r>
      <w:r w:rsidR="00E446A5">
        <w:rPr>
          <w:rFonts w:cs="Tahoma"/>
          <w:szCs w:val="18"/>
          <w:lang w:val="de-DE"/>
        </w:rPr>
        <w:t> </w:t>
      </w:r>
      <w:r w:rsidRPr="00C83DF5">
        <w:rPr>
          <w:rFonts w:cs="Tahoma"/>
          <w:szCs w:val="18"/>
          <w:lang w:val="de-DE"/>
        </w:rPr>
        <w:t>Embedded 8.1 Industry Pro-Upgrade-Lizenz bereitstellen zu können, außer unten ist</w:t>
      </w:r>
      <w:r w:rsidR="00E446A5">
        <w:rPr>
          <w:rFonts w:cs="Tahoma"/>
          <w:szCs w:val="18"/>
          <w:lang w:val="de-DE"/>
        </w:rPr>
        <w:t> </w:t>
      </w:r>
      <w:r w:rsidRPr="00C83DF5">
        <w:rPr>
          <w:rFonts w:cs="Tahoma"/>
          <w:szCs w:val="18"/>
          <w:lang w:val="de-DE"/>
        </w:rPr>
        <w:t xml:space="preserve">etwas anderes angegeben. </w:t>
      </w:r>
    </w:p>
    <w:p w:rsidR="006714D8" w:rsidRPr="00C83DF5" w:rsidRDefault="006714D8" w:rsidP="007015CC">
      <w:pPr>
        <w:numPr>
          <w:ilvl w:val="1"/>
          <w:numId w:val="86"/>
        </w:numPr>
        <w:spacing w:after="60"/>
        <w:ind w:left="1440"/>
        <w:rPr>
          <w:lang w:val="de-DE"/>
        </w:rPr>
      </w:pPr>
      <w:r w:rsidRPr="00C83DF5">
        <w:rPr>
          <w:rFonts w:cs="Tahoma"/>
          <w:szCs w:val="18"/>
          <w:lang w:val="de-DE"/>
        </w:rPr>
        <w:t>Kunden, die mehr als ein lizenziertes Betriebssystem gleichzeitig installieren oder ausführen möchten (einschließlich des qualifizierenden Betriebssystems), sind berechtigt, Software Assurance für ihre Windows Embedded 8.1 Industry Pro-Upgrade-Lizenz zu erwerben.</w:t>
      </w:r>
    </w:p>
    <w:p w:rsidR="006714D8" w:rsidRPr="00C83DF5" w:rsidRDefault="006714D8" w:rsidP="007015CC">
      <w:pPr>
        <w:numPr>
          <w:ilvl w:val="1"/>
          <w:numId w:val="86"/>
        </w:numPr>
        <w:ind w:left="1440"/>
        <w:rPr>
          <w:lang w:val="de-DE"/>
        </w:rPr>
      </w:pPr>
      <w:r w:rsidRPr="00C83DF5">
        <w:rPr>
          <w:rFonts w:cs="Tahoma"/>
          <w:szCs w:val="18"/>
          <w:lang w:val="de-DE"/>
        </w:rPr>
        <w:t xml:space="preserve">Kunden mit aktiver Software Assurance müssen das qualifizierende Betriebssystem nicht deinstallieren und können dieses zusammen mit Windows Embedded 8.1 Industry Pro installieren und ausführen. </w:t>
      </w:r>
    </w:p>
    <w:p w:rsidR="007015CC" w:rsidRPr="00C83DF5" w:rsidRDefault="007015CC" w:rsidP="007015CC">
      <w:pPr>
        <w:spacing w:after="60"/>
        <w:rPr>
          <w:lang w:val="de-DE"/>
        </w:rPr>
      </w:pPr>
    </w:p>
    <w:p w:rsidR="006714D8" w:rsidRPr="00C83DF5" w:rsidRDefault="006714D8" w:rsidP="007015CC">
      <w:pPr>
        <w:pStyle w:val="ListParagraph"/>
      </w:pPr>
      <w:r w:rsidRPr="00C83DF5">
        <w:rPr>
          <w:rFonts w:ascii="Tahoma" w:hAnsi="Tahoma" w:cs="Tahoma"/>
          <w:sz w:val="18"/>
          <w:szCs w:val="18"/>
          <w:u w:val="single"/>
        </w:rPr>
        <w:t>Qualifizierende Betriebssysteme</w:t>
      </w:r>
      <w:r w:rsidRPr="004672EB">
        <w:rPr>
          <w:rFonts w:ascii="Tahoma" w:hAnsi="Tahoma" w:cs="Tahoma"/>
          <w:sz w:val="18"/>
          <w:szCs w:val="18"/>
        </w:rPr>
        <w:t>:</w:t>
      </w:r>
    </w:p>
    <w:p w:rsidR="006714D8" w:rsidRPr="00C83DF5" w:rsidRDefault="006714D8" w:rsidP="007015CC">
      <w:pPr>
        <w:numPr>
          <w:ilvl w:val="1"/>
          <w:numId w:val="86"/>
        </w:numPr>
        <w:spacing w:after="60"/>
        <w:ind w:left="1440"/>
      </w:pPr>
      <w:r w:rsidRPr="00C83DF5">
        <w:rPr>
          <w:rFonts w:cs="Tahoma"/>
          <w:szCs w:val="18"/>
        </w:rPr>
        <w:t>Windows Embedded for Point of Service (WEPOS)</w:t>
      </w:r>
    </w:p>
    <w:p w:rsidR="006714D8" w:rsidRPr="00C83DF5" w:rsidRDefault="006714D8" w:rsidP="007015CC">
      <w:pPr>
        <w:numPr>
          <w:ilvl w:val="1"/>
          <w:numId w:val="86"/>
        </w:numPr>
        <w:spacing w:after="60"/>
        <w:ind w:left="1440"/>
      </w:pPr>
      <w:r w:rsidRPr="00C83DF5">
        <w:rPr>
          <w:rFonts w:cs="Tahoma"/>
          <w:szCs w:val="18"/>
        </w:rPr>
        <w:t>Windows Embedded POSReady 2009 und POSReady 7</w:t>
      </w:r>
    </w:p>
    <w:p w:rsidR="006714D8" w:rsidRPr="00C83DF5" w:rsidRDefault="006714D8" w:rsidP="007015CC">
      <w:pPr>
        <w:numPr>
          <w:ilvl w:val="1"/>
          <w:numId w:val="86"/>
        </w:numPr>
        <w:spacing w:after="60"/>
        <w:ind w:left="1440"/>
      </w:pPr>
      <w:r w:rsidRPr="00C83DF5">
        <w:rPr>
          <w:rFonts w:cs="Tahoma"/>
          <w:szCs w:val="18"/>
        </w:rPr>
        <w:t xml:space="preserve">Windows XP Professional for Embedded Systems </w:t>
      </w:r>
    </w:p>
    <w:p w:rsidR="006714D8" w:rsidRPr="00C83DF5" w:rsidRDefault="006714D8" w:rsidP="007015CC">
      <w:pPr>
        <w:numPr>
          <w:ilvl w:val="1"/>
          <w:numId w:val="86"/>
        </w:numPr>
        <w:spacing w:after="60"/>
        <w:ind w:left="1440"/>
      </w:pPr>
      <w:r w:rsidRPr="00C83DF5">
        <w:rPr>
          <w:rFonts w:cs="Tahoma"/>
          <w:szCs w:val="18"/>
        </w:rPr>
        <w:t>Windows Vista Business for Embedded Systems und Windows Vista Ultimate for Embedded Systems</w:t>
      </w:r>
    </w:p>
    <w:p w:rsidR="006714D8" w:rsidRPr="00C83DF5" w:rsidRDefault="006714D8" w:rsidP="007015CC">
      <w:pPr>
        <w:numPr>
          <w:ilvl w:val="1"/>
          <w:numId w:val="86"/>
        </w:numPr>
        <w:spacing w:after="60"/>
        <w:ind w:left="1440"/>
      </w:pPr>
      <w:r w:rsidRPr="00C83DF5">
        <w:rPr>
          <w:rFonts w:cs="Tahoma"/>
          <w:szCs w:val="18"/>
        </w:rPr>
        <w:t xml:space="preserve">Windows 2000 Professional for Embedded Systems </w:t>
      </w:r>
    </w:p>
    <w:p w:rsidR="006714D8" w:rsidRPr="00C83DF5" w:rsidRDefault="006714D8" w:rsidP="007015CC">
      <w:pPr>
        <w:numPr>
          <w:ilvl w:val="1"/>
          <w:numId w:val="86"/>
        </w:numPr>
        <w:spacing w:after="60"/>
        <w:ind w:left="1440"/>
      </w:pPr>
      <w:r w:rsidRPr="00C83DF5">
        <w:rPr>
          <w:rFonts w:cs="Tahoma"/>
          <w:szCs w:val="18"/>
        </w:rPr>
        <w:lastRenderedPageBreak/>
        <w:t>Windows NT Embedded for Embedded Systems</w:t>
      </w:r>
    </w:p>
    <w:p w:rsidR="006714D8" w:rsidRPr="00C83DF5" w:rsidRDefault="006714D8" w:rsidP="007015CC">
      <w:pPr>
        <w:numPr>
          <w:ilvl w:val="1"/>
          <w:numId w:val="86"/>
        </w:numPr>
        <w:spacing w:after="60"/>
        <w:ind w:left="1440"/>
      </w:pPr>
      <w:r w:rsidRPr="00C83DF5">
        <w:rPr>
          <w:rFonts w:cs="Tahoma"/>
          <w:szCs w:val="18"/>
        </w:rPr>
        <w:t>Windows 7 Professional for Embedded Systems</w:t>
      </w:r>
    </w:p>
    <w:p w:rsidR="006714D8" w:rsidRPr="00C83DF5" w:rsidRDefault="006714D8" w:rsidP="007015CC">
      <w:pPr>
        <w:numPr>
          <w:ilvl w:val="1"/>
          <w:numId w:val="86"/>
        </w:numPr>
        <w:spacing w:after="60"/>
        <w:ind w:left="1440"/>
      </w:pPr>
      <w:r w:rsidRPr="00C83DF5">
        <w:rPr>
          <w:rFonts w:cs="Tahoma"/>
          <w:szCs w:val="18"/>
        </w:rPr>
        <w:t>Windows 7 Ultimate for Embedded Systems</w:t>
      </w:r>
    </w:p>
    <w:p w:rsidR="006714D8" w:rsidRPr="00C83DF5" w:rsidRDefault="006714D8" w:rsidP="007015CC">
      <w:pPr>
        <w:numPr>
          <w:ilvl w:val="1"/>
          <w:numId w:val="86"/>
        </w:numPr>
        <w:spacing w:after="60"/>
        <w:ind w:left="1440"/>
      </w:pPr>
      <w:r w:rsidRPr="00C83DF5">
        <w:rPr>
          <w:rFonts w:cs="Tahoma"/>
          <w:szCs w:val="18"/>
        </w:rPr>
        <w:t>Windows XP Embedded</w:t>
      </w:r>
    </w:p>
    <w:p w:rsidR="006714D8" w:rsidRPr="00C83DF5" w:rsidRDefault="006714D8" w:rsidP="007015CC">
      <w:pPr>
        <w:numPr>
          <w:ilvl w:val="1"/>
          <w:numId w:val="86"/>
        </w:numPr>
        <w:spacing w:after="60"/>
        <w:ind w:left="1440"/>
      </w:pPr>
      <w:r w:rsidRPr="00C83DF5">
        <w:rPr>
          <w:rFonts w:cs="Tahoma"/>
          <w:szCs w:val="18"/>
        </w:rPr>
        <w:t>Windows Embedded Standard 7, 2009 und Windows Embedded 8 Standard</w:t>
      </w:r>
    </w:p>
    <w:p w:rsidR="006714D8" w:rsidRPr="00C83DF5" w:rsidRDefault="006714D8" w:rsidP="007015CC">
      <w:pPr>
        <w:numPr>
          <w:ilvl w:val="1"/>
          <w:numId w:val="86"/>
        </w:numPr>
        <w:spacing w:after="60"/>
        <w:ind w:left="1440"/>
      </w:pPr>
      <w:r w:rsidRPr="00C83DF5">
        <w:rPr>
          <w:rFonts w:cs="Tahoma"/>
          <w:szCs w:val="18"/>
        </w:rPr>
        <w:t>Windows Embedded 8 und 8.1 Pro</w:t>
      </w:r>
    </w:p>
    <w:p w:rsidR="006714D8" w:rsidRPr="00C83DF5" w:rsidRDefault="006714D8" w:rsidP="007015CC">
      <w:pPr>
        <w:numPr>
          <w:ilvl w:val="1"/>
          <w:numId w:val="86"/>
        </w:numPr>
        <w:spacing w:after="60"/>
        <w:ind w:left="1440"/>
        <w:rPr>
          <w:lang w:val="de-DE"/>
        </w:rPr>
      </w:pPr>
      <w:r w:rsidRPr="00C83DF5">
        <w:rPr>
          <w:rFonts w:cs="Tahoma"/>
          <w:szCs w:val="18"/>
          <w:lang w:val="de-DE"/>
        </w:rPr>
        <w:t>Windows Embedded 8 und 8.1 Industry Pro: Allgemein und Einzelhandel</w:t>
      </w:r>
    </w:p>
    <w:p w:rsidR="006714D8" w:rsidRPr="008B3D04" w:rsidRDefault="006714D8" w:rsidP="006714D8">
      <w:pPr>
        <w:rPr>
          <w:rFonts w:cs="Tahoma"/>
          <w:strike/>
          <w:szCs w:val="18"/>
          <w:lang w:val="de-DE"/>
        </w:rPr>
      </w:pPr>
    </w:p>
    <w:p w:rsidR="006714D8" w:rsidRPr="00C83DF5" w:rsidRDefault="006714D8" w:rsidP="007015CC">
      <w:pPr>
        <w:pStyle w:val="FootnoteBulletLevel1"/>
        <w:tabs>
          <w:tab w:val="clear" w:pos="900"/>
        </w:tabs>
        <w:spacing w:before="0" w:after="0"/>
        <w:ind w:left="0" w:firstLine="0"/>
        <w:rPr>
          <w:lang w:val="de-DE"/>
        </w:rPr>
      </w:pPr>
      <w:r w:rsidRPr="00C83DF5">
        <w:rPr>
          <w:rFonts w:ascii="Tahoma" w:hAnsi="Tahoma" w:cs="Tahoma"/>
          <w:sz w:val="18"/>
          <w:szCs w:val="18"/>
          <w:lang w:val="de-DE"/>
        </w:rPr>
        <w:t>Oben nicht aufgeführte Betriebssysteme sind keine qualifizierenden Betriebssysteme.</w:t>
      </w:r>
      <w:r w:rsidR="00E71F46" w:rsidRPr="00C83DF5">
        <w:rPr>
          <w:rFonts w:ascii="Tahoma" w:hAnsi="Tahoma" w:cs="Tahoma"/>
          <w:sz w:val="18"/>
          <w:szCs w:val="18"/>
          <w:lang w:val="de-DE"/>
        </w:rPr>
        <w:t xml:space="preserve"> </w:t>
      </w:r>
      <w:r w:rsidRPr="00C83DF5">
        <w:rPr>
          <w:rFonts w:ascii="Tahoma" w:hAnsi="Tahoma" w:cs="Tahoma"/>
          <w:sz w:val="18"/>
          <w:szCs w:val="18"/>
          <w:lang w:val="de-DE"/>
        </w:rPr>
        <w:t>So qualifiziert z. B. eine Windows 8 Pro-Lizenz nicht für das Windows Embedded 8 Industry-Upgrade.</w:t>
      </w:r>
    </w:p>
    <w:p w:rsidR="00C205D1" w:rsidRPr="008B3D04" w:rsidRDefault="00C205D1" w:rsidP="00C205D1">
      <w:pPr>
        <w:pStyle w:val="FootnoteBulletLevel1"/>
        <w:spacing w:before="0" w:after="0"/>
        <w:ind w:left="720" w:firstLine="0"/>
        <w:rPr>
          <w:rFonts w:ascii="Tahoma" w:hAnsi="Tahoma" w:cs="Tahoma"/>
          <w:sz w:val="18"/>
          <w:szCs w:val="18"/>
          <w:lang w:val="de-DE"/>
        </w:rPr>
      </w:pPr>
    </w:p>
    <w:p w:rsidR="00C205D1" w:rsidRPr="00C83DF5" w:rsidRDefault="00C205D1" w:rsidP="001C55B1">
      <w:pPr>
        <w:pStyle w:val="FootnoteBulletLevel1"/>
        <w:spacing w:before="0" w:after="0"/>
        <w:ind w:left="0" w:firstLine="0"/>
        <w:rPr>
          <w:lang w:val="de-DE"/>
        </w:rPr>
      </w:pPr>
      <w:r w:rsidRPr="00C83DF5">
        <w:rPr>
          <w:rFonts w:ascii="Tahoma" w:hAnsi="Tahoma" w:cs="Tahoma"/>
          <w:sz w:val="18"/>
          <w:szCs w:val="18"/>
          <w:lang w:val="de-DE"/>
        </w:rPr>
        <w:t>Kunden, die Interesse an Software Assurance für Windows Embedded 8.1 Industry Pro haben, stehen folgende Möglichkeiten offen:</w:t>
      </w:r>
    </w:p>
    <w:p w:rsidR="00C205D1" w:rsidRPr="008B3D04" w:rsidRDefault="00C205D1" w:rsidP="00C205D1">
      <w:pPr>
        <w:pStyle w:val="FootnoteBulletLevel1"/>
        <w:spacing w:before="0" w:after="0"/>
        <w:ind w:left="720" w:firstLine="0"/>
        <w:rPr>
          <w:rFonts w:ascii="Tahoma" w:hAnsi="Tahoma" w:cs="Tahoma"/>
          <w:sz w:val="18"/>
          <w:szCs w:val="18"/>
          <w:lang w:val="de-DE" w:eastAsia="ja-JP"/>
        </w:rPr>
      </w:pPr>
    </w:p>
    <w:p w:rsidR="00C205D1" w:rsidRPr="00C83DF5" w:rsidRDefault="00C205D1" w:rsidP="00C205D1">
      <w:pPr>
        <w:pStyle w:val="FootnoteBulletLevel1"/>
        <w:numPr>
          <w:ilvl w:val="0"/>
          <w:numId w:val="29"/>
        </w:numPr>
        <w:adjustRightInd/>
        <w:spacing w:before="0" w:after="60"/>
        <w:textAlignment w:val="auto"/>
        <w:rPr>
          <w:lang w:val="de-DE"/>
        </w:rPr>
      </w:pPr>
      <w:r w:rsidRPr="00C83DF5">
        <w:rPr>
          <w:rFonts w:ascii="Tahoma" w:hAnsi="Tahoma" w:cs="Tahoma"/>
          <w:sz w:val="18"/>
          <w:szCs w:val="18"/>
          <w:lang w:val="de-DE"/>
        </w:rPr>
        <w:t xml:space="preserve">Select. Open Value- (nicht unternehmensweit) und Open-Lizenzprogramm </w:t>
      </w:r>
    </w:p>
    <w:p w:rsidR="00C205D1" w:rsidRPr="00C83DF5" w:rsidRDefault="00C205D1" w:rsidP="00C205D1">
      <w:pPr>
        <w:pStyle w:val="Footnotedash"/>
        <w:numPr>
          <w:ilvl w:val="0"/>
          <w:numId w:val="30"/>
        </w:numPr>
        <w:adjustRightInd/>
        <w:spacing w:before="0"/>
        <w:ind w:left="1800"/>
        <w:textAlignment w:val="auto"/>
        <w:rPr>
          <w:lang w:val="de-DE"/>
        </w:rPr>
      </w:pPr>
      <w:r w:rsidRPr="00C83DF5">
        <w:rPr>
          <w:rFonts w:ascii="Tahoma" w:hAnsi="Tahoma" w:cs="Tahoma"/>
          <w:sz w:val="18"/>
          <w:szCs w:val="18"/>
          <w:lang w:val="de-DE"/>
        </w:rPr>
        <w:t>Sie können innerhalb von 90 Tagen ab dem Datum des Erwerbs der OEM-Lizenz Software Assurance für das über einen OEM lizenzierte POSReady 2009, POSReady 7, Windows Embedded 8 Industry Pro oder Windows Embedded 8.1 Industry Pro erwerben.</w:t>
      </w:r>
    </w:p>
    <w:p w:rsidR="00C205D1" w:rsidRPr="00C83DF5" w:rsidRDefault="00C205D1" w:rsidP="00C205D1">
      <w:pPr>
        <w:pStyle w:val="Footnotedash"/>
        <w:numPr>
          <w:ilvl w:val="0"/>
          <w:numId w:val="30"/>
        </w:numPr>
        <w:adjustRightInd/>
        <w:spacing w:before="0"/>
        <w:ind w:left="1800"/>
        <w:textAlignment w:val="auto"/>
        <w:rPr>
          <w:lang w:val="de-DE"/>
        </w:rPr>
      </w:pPr>
      <w:r w:rsidRPr="00C83DF5">
        <w:rPr>
          <w:rFonts w:ascii="Tahoma" w:hAnsi="Tahoma" w:cs="Tahoma"/>
          <w:sz w:val="18"/>
          <w:szCs w:val="18"/>
          <w:lang w:val="de-DE"/>
        </w:rPr>
        <w:t xml:space="preserve">Sie können Software Assurance für das Windows Embedded-Betriebssystem bei Ablauf der Software Assurance für POSReady 2009, POSReady 7, Windows Embedded 8 Industry Pro oder Windows Embedded 8.1 Industry Pro verlängern. </w:t>
      </w:r>
    </w:p>
    <w:p w:rsidR="00C205D1" w:rsidRPr="008B3D04" w:rsidRDefault="00C205D1" w:rsidP="00C205D1">
      <w:pPr>
        <w:pStyle w:val="Footnotedash"/>
        <w:spacing w:before="0" w:after="0"/>
        <w:ind w:left="720" w:firstLine="0"/>
        <w:rPr>
          <w:rFonts w:ascii="Tahoma" w:hAnsi="Tahoma" w:cs="Tahoma"/>
          <w:sz w:val="18"/>
          <w:szCs w:val="18"/>
          <w:lang w:val="de-DE"/>
        </w:rPr>
      </w:pPr>
    </w:p>
    <w:p w:rsidR="00C205D1" w:rsidRPr="00C83DF5" w:rsidRDefault="00C205D1" w:rsidP="00C205D1">
      <w:pPr>
        <w:pStyle w:val="FootnoteBulletLevel2"/>
        <w:numPr>
          <w:ilvl w:val="0"/>
          <w:numId w:val="25"/>
        </w:numPr>
        <w:adjustRightInd/>
        <w:spacing w:before="0"/>
        <w:ind w:left="1440"/>
        <w:textAlignment w:val="auto"/>
        <w:rPr>
          <w:lang w:val="de-DE"/>
        </w:rPr>
      </w:pPr>
      <w:r w:rsidRPr="00C83DF5">
        <w:rPr>
          <w:rFonts w:ascii="Tahoma" w:hAnsi="Tahoma" w:cs="Tahoma"/>
          <w:sz w:val="18"/>
          <w:szCs w:val="18"/>
          <w:lang w:val="de-DE"/>
        </w:rPr>
        <w:t>Konzernbeitritte: Bei Ablauf eines bestehenden Konzernbeitritts für das Windows Embedded-Betriebssystem können die Kunden diesen durch einen neuen Konzernbeitritt für das Windows Embedded-Betriebssystem verlängern.</w:t>
      </w:r>
    </w:p>
    <w:p w:rsidR="007015CC" w:rsidRPr="00C83DF5" w:rsidRDefault="007015CC" w:rsidP="007015CC">
      <w:pPr>
        <w:pStyle w:val="FootnoteBulletLevel1"/>
        <w:tabs>
          <w:tab w:val="clear" w:pos="900"/>
        </w:tabs>
        <w:spacing w:before="0" w:after="0"/>
        <w:ind w:left="0" w:firstLine="0"/>
        <w:rPr>
          <w:lang w:val="de-DE"/>
        </w:rPr>
      </w:pPr>
    </w:p>
    <w:p w:rsidR="006714D8" w:rsidRPr="00C83DF5" w:rsidRDefault="006714D8" w:rsidP="006714D8">
      <w:pPr>
        <w:pStyle w:val="FootnoteBulletLevel2"/>
        <w:tabs>
          <w:tab w:val="clear" w:pos="1260"/>
        </w:tabs>
        <w:adjustRightInd/>
        <w:spacing w:before="0"/>
        <w:ind w:left="0" w:firstLine="0"/>
        <w:textAlignment w:val="auto"/>
        <w:rPr>
          <w:lang w:val="de-DE"/>
        </w:rPr>
      </w:pPr>
      <w:r w:rsidRPr="00C83DF5">
        <w:rPr>
          <w:rFonts w:ascii="Tahoma" w:hAnsi="Tahoma" w:cs="Tahoma"/>
          <w:sz w:val="18"/>
          <w:szCs w:val="18"/>
          <w:lang w:val="de-DE"/>
        </w:rPr>
        <w:t>Kunden, die Windows Embedded 8 Industry Pro-Upgrades und Software Assurance zusammen erwerben möchten, stehen folgende Möglichkeiten offen:</w:t>
      </w:r>
    </w:p>
    <w:p w:rsidR="006714D8" w:rsidRPr="00C83DF5" w:rsidRDefault="006714D8" w:rsidP="007015CC">
      <w:pPr>
        <w:pStyle w:val="FootnoteBulletLevel2"/>
        <w:numPr>
          <w:ilvl w:val="0"/>
          <w:numId w:val="25"/>
        </w:numPr>
        <w:adjustRightInd/>
        <w:spacing w:before="0" w:after="60"/>
        <w:ind w:left="1440"/>
        <w:textAlignment w:val="auto"/>
        <w:rPr>
          <w:lang w:val="de-DE"/>
        </w:rPr>
      </w:pPr>
      <w:r w:rsidRPr="00C83DF5">
        <w:rPr>
          <w:rFonts w:ascii="Tahoma" w:hAnsi="Tahoma" w:cs="Tahoma"/>
          <w:sz w:val="18"/>
          <w:szCs w:val="18"/>
          <w:lang w:val="de-DE"/>
        </w:rPr>
        <w:t>Konzernvertrag-, Select Plus-, Open Value- (nicht unternehmensweit) und Open-Lizenzprogramme:</w:t>
      </w:r>
    </w:p>
    <w:p w:rsidR="006714D8" w:rsidRPr="00C83DF5" w:rsidRDefault="006714D8" w:rsidP="007015CC">
      <w:pPr>
        <w:pStyle w:val="AppendixBodyText"/>
        <w:numPr>
          <w:ilvl w:val="0"/>
          <w:numId w:val="80"/>
        </w:numPr>
        <w:ind w:left="1800" w:right="720"/>
        <w:rPr>
          <w:lang w:val="de-DE"/>
        </w:rPr>
      </w:pPr>
      <w:r w:rsidRPr="00C83DF5">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p>
    <w:p w:rsidR="006714D8" w:rsidRPr="00C83DF5" w:rsidRDefault="006714D8" w:rsidP="007015CC">
      <w:pPr>
        <w:pStyle w:val="AppendixBodyText"/>
        <w:numPr>
          <w:ilvl w:val="0"/>
          <w:numId w:val="80"/>
        </w:numPr>
        <w:ind w:left="1800" w:right="720"/>
        <w:rPr>
          <w:lang w:val="de-DE"/>
        </w:rPr>
      </w:pPr>
      <w:r w:rsidRPr="00C83DF5">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6714D8" w:rsidRPr="00C83DF5" w:rsidRDefault="006714D8" w:rsidP="006714D8">
      <w:pPr>
        <w:pStyle w:val="Footnotedash"/>
        <w:spacing w:before="0" w:after="0"/>
        <w:ind w:left="360"/>
        <w:rPr>
          <w:lang w:val="de-DE"/>
        </w:rPr>
      </w:pPr>
      <w:r w:rsidRPr="00C83DF5">
        <w:rPr>
          <w:rFonts w:ascii="Tahoma" w:hAnsi="Tahoma" w:cs="Tahoma"/>
          <w:sz w:val="18"/>
          <w:szCs w:val="18"/>
          <w:u w:val="single"/>
          <w:lang w:val="de-DE"/>
        </w:rPr>
        <w:t>Downgraderechte</w:t>
      </w:r>
    </w:p>
    <w:p w:rsidR="006714D8" w:rsidRPr="00C83DF5" w:rsidRDefault="006714D8" w:rsidP="006714D8">
      <w:pPr>
        <w:pStyle w:val="ListParagraph"/>
        <w:ind w:left="0"/>
        <w:contextualSpacing w:val="0"/>
        <w:rPr>
          <w:lang w:val="de-DE"/>
        </w:rPr>
      </w:pPr>
      <w:r w:rsidRPr="00C83DF5">
        <w:rPr>
          <w:rFonts w:ascii="Tahoma" w:hAnsi="Tahoma" w:cs="Tahoma"/>
          <w:bCs/>
          <w:sz w:val="18"/>
          <w:szCs w:val="18"/>
          <w:lang w:val="de-DE"/>
        </w:rPr>
        <w:t>Microsoft Windows Embedded 8.1 Industry Pro:</w:t>
      </w:r>
      <w:r w:rsidRPr="00C83DF5">
        <w:rPr>
          <w:rFonts w:ascii="Tahoma" w:hAnsi="Tahoma" w:cs="Tahoma"/>
          <w:b/>
          <w:bCs/>
          <w:sz w:val="18"/>
          <w:szCs w:val="18"/>
          <w:lang w:val="de-DE"/>
        </w:rPr>
        <w:t xml:space="preserve"> </w:t>
      </w:r>
      <w:r w:rsidRPr="00C83DF5">
        <w:rPr>
          <w:rFonts w:ascii="Tahoma" w:hAnsi="Tahoma" w:cs="Tahoma"/>
          <w:sz w:val="18"/>
          <w:szCs w:val="18"/>
          <w:lang w:val="de-DE"/>
        </w:rPr>
        <w:t>Volumenlizenzkunden mit einer gültigen Lizenz für Windows Embedded 8.1 Industry Pro, die im Rahmen des Volumenlizenzprogramms für Windows Embedded 8.1 Industry erworben wurde, sind berechtigt, eine frühere Version als die lizenzierte zu verwenden.</w:t>
      </w:r>
      <w:r w:rsidR="00E71F46" w:rsidRPr="00C83DF5">
        <w:rPr>
          <w:rFonts w:ascii="Tahoma" w:hAnsi="Tahoma" w:cs="Tahoma"/>
          <w:sz w:val="18"/>
          <w:szCs w:val="18"/>
          <w:lang w:val="de-DE"/>
        </w:rPr>
        <w:t xml:space="preserve"> </w:t>
      </w:r>
      <w:r w:rsidRPr="00C83DF5">
        <w:rPr>
          <w:rFonts w:ascii="Tahoma" w:hAnsi="Tahoma" w:cs="Tahoma"/>
          <w:sz w:val="18"/>
          <w:szCs w:val="18"/>
          <w:lang w:val="de-DE"/>
        </w:rPr>
        <w:t>Berechtigte frühere Versionen von Windows Embedded 8.1 Industry Pro sind Windows Embedded 8 Industry Pro, Windows Embedded POSReady 7 und Windows Embedded POSReady 2009.</w:t>
      </w:r>
    </w:p>
    <w:p w:rsidR="006714D8" w:rsidRPr="008B3D04" w:rsidRDefault="006714D8" w:rsidP="006714D8">
      <w:pPr>
        <w:pStyle w:val="FootnoteBulletLevel2"/>
        <w:tabs>
          <w:tab w:val="clear" w:pos="1260"/>
        </w:tabs>
        <w:spacing w:before="0"/>
        <w:ind w:left="0" w:firstLine="0"/>
        <w:rPr>
          <w:rFonts w:ascii="Tahoma" w:hAnsi="Tahoma" w:cs="Tahoma"/>
          <w:sz w:val="18"/>
          <w:szCs w:val="18"/>
          <w:lang w:val="de-DE"/>
        </w:rPr>
      </w:pPr>
    </w:p>
    <w:p w:rsidR="006714D8" w:rsidRPr="00C83DF5" w:rsidRDefault="006714D8" w:rsidP="006714D8">
      <w:pPr>
        <w:pStyle w:val="FootnoteBulletLevel2"/>
        <w:tabs>
          <w:tab w:val="clear" w:pos="1260"/>
        </w:tabs>
        <w:spacing w:before="0"/>
        <w:ind w:left="0" w:firstLine="0"/>
        <w:rPr>
          <w:lang w:val="de-DE"/>
        </w:rPr>
      </w:pPr>
      <w:r w:rsidRPr="00C83DF5">
        <w:rPr>
          <w:rFonts w:ascii="Tahoma" w:hAnsi="Tahoma" w:cs="Tahoma"/>
          <w:sz w:val="18"/>
          <w:szCs w:val="18"/>
          <w:u w:val="single"/>
          <w:lang w:val="de-DE"/>
        </w:rPr>
        <w:t>Für das Re-imaging von Windows Embedded gelten die folgenden Anforderungen</w:t>
      </w:r>
      <w:r w:rsidRPr="004A5A45">
        <w:rPr>
          <w:rFonts w:ascii="Tahoma" w:hAnsi="Tahoma" w:cs="Tahoma"/>
          <w:sz w:val="18"/>
          <w:szCs w:val="18"/>
          <w:lang w:val="de-DE"/>
        </w:rPr>
        <w:t>:</w:t>
      </w:r>
    </w:p>
    <w:p w:rsidR="006714D8" w:rsidRDefault="00200E1A" w:rsidP="00595EA6">
      <w:pPr>
        <w:pStyle w:val="Footnotedash"/>
        <w:tabs>
          <w:tab w:val="clear" w:pos="1620"/>
        </w:tabs>
        <w:spacing w:before="0"/>
        <w:ind w:left="0" w:firstLine="0"/>
        <w:rPr>
          <w:rFonts w:ascii="Tahoma" w:hAnsi="Tahoma" w:cs="Tahoma"/>
          <w:sz w:val="18"/>
          <w:szCs w:val="18"/>
          <w:lang w:val="de-DE"/>
        </w:rPr>
      </w:pPr>
      <w:r w:rsidRPr="00C83DF5">
        <w:rPr>
          <w:rFonts w:ascii="Tahoma" w:hAnsi="Tahoma" w:cs="Tahoma"/>
          <w:sz w:val="18"/>
          <w:szCs w:val="18"/>
          <w:lang w:val="de-DE"/>
        </w:rPr>
        <w:t>Wenn ein Dritter ein Re-imaging von Windows Embedded-Produkten auf PCs eines Kunden durchführen möchte, muss der Kunde diesem Dritten zunächst eine schriftliche Dokumentation bereitstellen, die belegt, dass der Kunde</w:t>
      </w:r>
      <w:r w:rsidR="00595EA6">
        <w:rPr>
          <w:rFonts w:ascii="Tahoma" w:hAnsi="Tahoma" w:cs="Tahoma"/>
          <w:sz w:val="18"/>
          <w:szCs w:val="18"/>
          <w:lang w:val="de-DE"/>
        </w:rPr>
        <w:t> </w:t>
      </w:r>
      <w:r w:rsidRPr="00C83DF5">
        <w:rPr>
          <w:rFonts w:ascii="Tahoma" w:hAnsi="Tahoma" w:cs="Tahoma"/>
          <w:sz w:val="18"/>
          <w:szCs w:val="18"/>
          <w:lang w:val="de-DE"/>
        </w:rPr>
        <w:t>über Lizenzen für die Software verfügt, die der Dritte installieren möchte. Als Dokumentation eignet sich beispielsweise eine Kopie des Formblattes für Unterschriften von dem Microsoft-Volumenlizenzvertrag, der auf die zu</w:t>
      </w:r>
      <w:r w:rsidR="00595EA6">
        <w:rPr>
          <w:rFonts w:ascii="Tahoma" w:hAnsi="Tahoma" w:cs="Tahoma"/>
          <w:sz w:val="18"/>
          <w:szCs w:val="18"/>
          <w:lang w:val="de-DE"/>
        </w:rPr>
        <w:t> </w:t>
      </w:r>
      <w:r w:rsidRPr="00C83DF5">
        <w:rPr>
          <w:rFonts w:ascii="Tahoma" w:hAnsi="Tahoma" w:cs="Tahoma"/>
          <w:sz w:val="18"/>
          <w:szCs w:val="18"/>
          <w:lang w:val="de-DE"/>
        </w:rPr>
        <w:t xml:space="preserve">installierende Upgradesoftware für das Microsoft Embedded-Betriebssystem anwendbar ist. </w:t>
      </w:r>
    </w:p>
    <w:p w:rsidR="00595EA6" w:rsidRDefault="00595EA6" w:rsidP="006714D8">
      <w:pPr>
        <w:pStyle w:val="Footnotedash"/>
        <w:tabs>
          <w:tab w:val="clear" w:pos="1620"/>
        </w:tabs>
        <w:spacing w:before="0"/>
        <w:ind w:left="0" w:firstLine="0"/>
        <w:rPr>
          <w:rFonts w:ascii="Tahoma" w:hAnsi="Tahoma" w:cs="Tahoma"/>
          <w:sz w:val="18"/>
          <w:szCs w:val="18"/>
          <w:lang w:val="de-DE"/>
        </w:rPr>
      </w:pPr>
    </w:p>
    <w:p w:rsidR="00595EA6" w:rsidRPr="00C83DF5" w:rsidRDefault="00595EA6" w:rsidP="006714D8">
      <w:pPr>
        <w:pStyle w:val="Footnotedash"/>
        <w:tabs>
          <w:tab w:val="clear" w:pos="1620"/>
        </w:tabs>
        <w:spacing w:before="0"/>
        <w:ind w:left="0" w:firstLine="0"/>
        <w:rPr>
          <w:lang w:val="de-DE"/>
        </w:rPr>
      </w:pPr>
    </w:p>
    <w:p w:rsidR="006714D8" w:rsidRPr="00C83DF5" w:rsidRDefault="006714D8" w:rsidP="007015CC">
      <w:pPr>
        <w:pStyle w:val="Footnotedash"/>
        <w:tabs>
          <w:tab w:val="clear" w:pos="1620"/>
        </w:tabs>
        <w:spacing w:before="0" w:after="0"/>
        <w:ind w:left="360"/>
        <w:rPr>
          <w:lang w:val="de-DE"/>
        </w:rPr>
      </w:pPr>
      <w:r w:rsidRPr="00C83DF5">
        <w:rPr>
          <w:rFonts w:ascii="Tahoma" w:eastAsia="Calibri" w:hAnsi="Tahoma" w:cs="Tahoma"/>
          <w:sz w:val="18"/>
          <w:szCs w:val="18"/>
          <w:u w:val="single"/>
          <w:lang w:val="de-DE"/>
        </w:rPr>
        <w:lastRenderedPageBreak/>
        <w:t>Beschränkung auf Industry Devices</w:t>
      </w:r>
    </w:p>
    <w:p w:rsidR="006714D8" w:rsidRPr="00C83DF5" w:rsidRDefault="006714D8" w:rsidP="006714D8">
      <w:pPr>
        <w:pStyle w:val="Footnotedash"/>
        <w:tabs>
          <w:tab w:val="clear" w:pos="1620"/>
        </w:tabs>
        <w:spacing w:before="0"/>
        <w:ind w:left="0" w:firstLine="0"/>
        <w:rPr>
          <w:lang w:val="de-DE"/>
        </w:rPr>
      </w:pPr>
      <w:r w:rsidRPr="00C83DF5">
        <w:rPr>
          <w:rFonts w:ascii="Tahoma" w:eastAsia="Calibri" w:hAnsi="Tahoma" w:cs="Tahoma"/>
          <w:sz w:val="18"/>
          <w:szCs w:val="18"/>
          <w:lang w:val="de-DE"/>
        </w:rPr>
        <w:t>Windows Embedded 8.1 Industry Pro darf nur auf Industry Devices installiert werden.</w:t>
      </w:r>
      <w:r w:rsidR="00E71F46" w:rsidRPr="00C83DF5">
        <w:rPr>
          <w:rFonts w:ascii="Tahoma" w:eastAsia="Calibri" w:hAnsi="Tahoma" w:cs="Tahoma"/>
          <w:sz w:val="18"/>
          <w:szCs w:val="18"/>
          <w:lang w:val="de-DE"/>
        </w:rPr>
        <w:t xml:space="preserve"> </w:t>
      </w:r>
      <w:r w:rsidRPr="00C83DF5">
        <w:rPr>
          <w:rFonts w:ascii="Tahoma" w:eastAsia="Calibri" w:hAnsi="Tahoma" w:cs="Tahoma"/>
          <w:sz w:val="18"/>
          <w:szCs w:val="18"/>
          <w:lang w:val="de-DE"/>
        </w:rPr>
        <w:t>Keine anderen Geräte sind zulässig.</w:t>
      </w:r>
      <w:r w:rsidR="00E71F46" w:rsidRPr="00C83DF5">
        <w:rPr>
          <w:rFonts w:ascii="Tahoma" w:eastAsia="Calibri" w:hAnsi="Tahoma" w:cs="Tahoma"/>
          <w:sz w:val="18"/>
          <w:szCs w:val="18"/>
          <w:lang w:val="de-DE"/>
        </w:rPr>
        <w:t xml:space="preserve"> </w:t>
      </w:r>
      <w:r w:rsidRPr="00C83DF5">
        <w:rPr>
          <w:rFonts w:ascii="Tahoma" w:hAnsi="Tahoma" w:cs="Tahoma"/>
          <w:sz w:val="18"/>
          <w:szCs w:val="18"/>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E71F46" w:rsidRPr="00C83DF5">
        <w:rPr>
          <w:rFonts w:ascii="Tahoma" w:hAnsi="Tahoma" w:cs="Tahoma"/>
          <w:sz w:val="18"/>
          <w:szCs w:val="18"/>
          <w:lang w:val="de-DE"/>
        </w:rPr>
        <w:t xml:space="preserve"> </w:t>
      </w:r>
      <w:r w:rsidRPr="00C83DF5">
        <w:rPr>
          <w:rFonts w:ascii="Tahoma" w:hAnsi="Tahoma" w:cs="Tahoma"/>
          <w:sz w:val="18"/>
          <w:szCs w:val="18"/>
          <w:lang w:val="de-DE"/>
        </w:rPr>
        <w:t>Das Gerät kann Features und Funktionen umfassen, die aus Microsoft-Software oder der Software Dritter abgeleitet sind.</w:t>
      </w:r>
      <w:r w:rsidR="00E71F46" w:rsidRPr="00C83DF5">
        <w:rPr>
          <w:rFonts w:ascii="Tahoma" w:hAnsi="Tahoma" w:cs="Tahoma"/>
          <w:sz w:val="18"/>
          <w:szCs w:val="18"/>
          <w:lang w:val="de-DE"/>
        </w:rPr>
        <w:t xml:space="preserve"> </w:t>
      </w:r>
      <w:r w:rsidRPr="00C83DF5">
        <w:rPr>
          <w:rFonts w:ascii="Tahoma" w:hAnsi="Tahoma" w:cs="Tahoma"/>
          <w:sz w:val="18"/>
          <w:szCs w:val="18"/>
          <w:lang w:val="de-DE"/>
        </w:rP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w:t>
      </w:r>
      <w:r w:rsidR="007112A9">
        <w:rPr>
          <w:rFonts w:ascii="Tahoma" w:hAnsi="Tahoma" w:cs="Tahoma"/>
          <w:sz w:val="18"/>
          <w:szCs w:val="18"/>
          <w:lang w:val="de-DE"/>
        </w:rPr>
        <w:t>t des Branchenprogramms möglich </w:t>
      </w:r>
      <w:r w:rsidRPr="00C83DF5">
        <w:rPr>
          <w:rFonts w:ascii="Tahoma" w:hAnsi="Tahoma" w:cs="Tahoma"/>
          <w:sz w:val="18"/>
          <w:szCs w:val="18"/>
          <w:lang w:val="de-DE"/>
        </w:rPr>
        <w:t>ist.</w:t>
      </w:r>
      <w:r w:rsidR="00E71F46" w:rsidRPr="00C83DF5">
        <w:rPr>
          <w:rFonts w:ascii="Tahoma" w:hAnsi="Tahoma" w:cs="Tahoma"/>
          <w:sz w:val="18"/>
          <w:szCs w:val="18"/>
          <w:lang w:val="de-DE"/>
        </w:rPr>
        <w:t xml:space="preserve"> </w:t>
      </w:r>
    </w:p>
    <w:p w:rsidR="00810479" w:rsidRPr="008B3D04" w:rsidRDefault="00810479" w:rsidP="007A73DF">
      <w:pPr>
        <w:contextualSpacing/>
        <w:rPr>
          <w:rFonts w:eastAsia="Calibri" w:cs="Tahoma"/>
          <w:color w:val="000000"/>
          <w:szCs w:val="18"/>
          <w:lang w:val="de-DE"/>
        </w:rPr>
      </w:pPr>
    </w:p>
    <w:p w:rsidR="00483B3D" w:rsidRPr="008B3D04" w:rsidRDefault="00483B3D" w:rsidP="007A73DF">
      <w:pPr>
        <w:contextualSpacing/>
        <w:rPr>
          <w:rFonts w:eastAsia="Calibri" w:cs="Tahoma"/>
          <w:color w:val="000000"/>
          <w:szCs w:val="18"/>
          <w:lang w:val="de-DE"/>
        </w:rPr>
      </w:pPr>
    </w:p>
    <w:p w:rsidR="00483B3D" w:rsidRPr="00C83DF5" w:rsidRDefault="00A560B6" w:rsidP="007015CC">
      <w:pPr>
        <w:pStyle w:val="Heading3"/>
        <w:keepNext/>
        <w:rPr>
          <w:lang w:val="de-DE"/>
        </w:rPr>
      </w:pPr>
      <w:bookmarkStart w:id="1102" w:name="_25_Windows®_Companion"/>
      <w:bookmarkStart w:id="1103" w:name="_28_Windows®_Companion"/>
      <w:bookmarkStart w:id="1104" w:name="_29_Windows®_Companion-Abonnementliz"/>
      <w:bookmarkStart w:id="1105" w:name="_Toc336338281"/>
      <w:bookmarkStart w:id="1106" w:name="_Toc370983396"/>
      <w:bookmarkEnd w:id="1102"/>
      <w:bookmarkEnd w:id="1103"/>
      <w:bookmarkEnd w:id="1104"/>
      <w:r w:rsidRPr="00C83DF5">
        <w:rPr>
          <w:rFonts w:ascii="Tahoma" w:hAnsi="Tahoma"/>
          <w:caps/>
          <w:color w:val="F66400"/>
          <w:sz w:val="22"/>
          <w:vertAlign w:val="superscript"/>
          <w:lang w:val="de-DE"/>
        </w:rPr>
        <w:t>29</w:t>
      </w:r>
      <w:r w:rsidRPr="00106236">
        <w:rPr>
          <w:rFonts w:ascii="Tahoma" w:hAnsi="Tahoma"/>
          <w:caps/>
          <w:color w:val="F66400"/>
          <w:sz w:val="22"/>
          <w:lang w:val="de-DE"/>
        </w:rPr>
        <w:t xml:space="preserve"> </w:t>
      </w:r>
      <w:r w:rsidRPr="00C83DF5">
        <w:rPr>
          <w:rFonts w:ascii="Tahoma" w:hAnsi="Tahoma"/>
          <w:color w:val="F66400"/>
          <w:sz w:val="22"/>
          <w:lang w:val="de-DE"/>
        </w:rPr>
        <w:t>Windows</w:t>
      </w:r>
      <w:r w:rsidRPr="00C83DF5">
        <w:rPr>
          <w:rFonts w:ascii="Tahoma" w:hAnsi="Tahoma"/>
          <w:color w:val="F66400"/>
          <w:sz w:val="22"/>
          <w:vertAlign w:val="superscript"/>
          <w:lang w:val="de-DE"/>
        </w:rPr>
        <w:t>®</w:t>
      </w:r>
      <w:r w:rsidRPr="00C83DF5">
        <w:rPr>
          <w:rFonts w:ascii="Tahoma" w:hAnsi="Tahoma"/>
          <w:color w:val="F66400"/>
          <w:sz w:val="22"/>
          <w:lang w:val="de-DE"/>
        </w:rPr>
        <w:t xml:space="preserve"> Companion-Abonnementlizenz</w:t>
      </w:r>
      <w:bookmarkEnd w:id="1105"/>
      <w:bookmarkEnd w:id="1106"/>
    </w:p>
    <w:p w:rsidR="00483B3D" w:rsidRPr="008B3D04" w:rsidRDefault="00483B3D" w:rsidP="00483B3D">
      <w:pPr>
        <w:rPr>
          <w:lang w:val="de-DE"/>
        </w:rPr>
      </w:pPr>
    </w:p>
    <w:p w:rsidR="00483B3D" w:rsidRPr="00C83DF5" w:rsidRDefault="00483B3D" w:rsidP="00483B3D">
      <w:pPr>
        <w:spacing w:after="60"/>
        <w:ind w:left="720"/>
        <w:rPr>
          <w:lang w:val="de-DE"/>
        </w:rPr>
      </w:pPr>
      <w:r w:rsidRPr="00C83DF5">
        <w:rPr>
          <w:b/>
          <w:color w:val="000000"/>
          <w:lang w:val="de-DE"/>
        </w:rPr>
        <w:t>Einrichtungen mit einem Campus- und School-Vertrag</w:t>
      </w:r>
    </w:p>
    <w:p w:rsidR="00483B3D" w:rsidRPr="00C83DF5" w:rsidRDefault="00483B3D" w:rsidP="00483B3D">
      <w:pPr>
        <w:ind w:left="720"/>
        <w:rPr>
          <w:lang w:val="de-DE"/>
        </w:rPr>
      </w:pPr>
      <w:r w:rsidRPr="00C83DF5">
        <w:rPr>
          <w:color w:val="000000"/>
          <w:lang w:val="de-DE"/>
        </w:rPr>
        <w:t>Einrichtungen sind berechtigt, die Windows Companion-Abonnementlizenz (CSL) zu erwerben, wenn die qualifizierenden Produkte abgedeckt sind.</w:t>
      </w:r>
      <w:r w:rsidR="00E71F46" w:rsidRPr="00C83DF5">
        <w:rPr>
          <w:color w:val="000000"/>
          <w:lang w:val="de-DE"/>
        </w:rPr>
        <w:t xml:space="preserve"> </w:t>
      </w:r>
      <w:r w:rsidRPr="00C83DF5">
        <w:rPr>
          <w:color w:val="000000"/>
          <w:lang w:val="de-DE"/>
        </w:rPr>
        <w:t>Die maximale Anzahl von CSLs, die erworben werden dürfen, entspricht der Anzahl Berechtigter PCs der qualifizierenden Produkte.</w:t>
      </w:r>
    </w:p>
    <w:p w:rsidR="00483B3D" w:rsidRPr="008B3D04" w:rsidRDefault="00483B3D" w:rsidP="00483B3D">
      <w:pPr>
        <w:rPr>
          <w:rFonts w:cs="Tahoma"/>
          <w:lang w:val="de-DE"/>
        </w:rPr>
      </w:pPr>
    </w:p>
    <w:p w:rsidR="00483B3D" w:rsidRPr="00C83DF5" w:rsidRDefault="00483B3D" w:rsidP="00483B3D">
      <w:pPr>
        <w:spacing w:after="60"/>
        <w:ind w:left="720"/>
        <w:rPr>
          <w:lang w:val="de-DE"/>
        </w:rPr>
      </w:pPr>
      <w:r w:rsidRPr="00C83DF5">
        <w:rPr>
          <w:b/>
          <w:color w:val="000000"/>
          <w:lang w:val="de-DE"/>
        </w:rPr>
        <w:t>Companion-Geräte und Qualifizierte Geräte</w:t>
      </w:r>
    </w:p>
    <w:p w:rsidR="00483B3D" w:rsidRPr="00C83DF5" w:rsidRDefault="00483B3D" w:rsidP="00483B3D">
      <w:pPr>
        <w:ind w:left="720"/>
        <w:rPr>
          <w:lang w:val="de-DE"/>
        </w:rPr>
      </w:pPr>
      <w:r w:rsidRPr="00C83DF5">
        <w:rPr>
          <w:color w:val="000000"/>
          <w:lang w:val="de-DE"/>
        </w:rPr>
        <w:t>Companion-Geräte, bei denen Nutzungsrechte angewendet werden, die von der CSL bereitgestellt werden, sind Qualifizierte Geräte.</w:t>
      </w:r>
      <w:r w:rsidR="00E71F46" w:rsidRPr="00C83DF5">
        <w:rPr>
          <w:color w:val="000000"/>
          <w:lang w:val="de-DE"/>
        </w:rPr>
        <w:t xml:space="preserve"> </w:t>
      </w:r>
      <w:r w:rsidRPr="00C83DF5">
        <w:rPr>
          <w:color w:val="000000"/>
          <w:lang w:val="de-DE"/>
        </w:rPr>
        <w:t>Die CSL ist ein Konzernprodukt und erfüllt daher den Systemteil einer jeden Abnahmeverpflichtung für Qualifizierte Geräte.</w:t>
      </w:r>
      <w:r w:rsidR="00E71F46" w:rsidRPr="00C83DF5">
        <w:rPr>
          <w:color w:val="000000"/>
          <w:lang w:val="de-DE"/>
        </w:rPr>
        <w:t xml:space="preserve"> </w:t>
      </w:r>
      <w:r w:rsidRPr="00C83DF5">
        <w:rPr>
          <w:color w:val="000000"/>
          <w:lang w:val="de-DE"/>
        </w:rPr>
        <w:t xml:space="preserve">Die CSLs können in beliebiger Menge erworben werden und müssen nicht für alle Qualifizierten </w:t>
      </w:r>
      <w:r w:rsidRPr="00C83DF5">
        <w:rPr>
          <w:lang w:val="de-DE"/>
        </w:rPr>
        <w:t>Geräte einer Organisation erworben werden, jedoch darf die Anzahl der CSLs in keinem Fall die Zahl der Summe aus Windows-Upgrades und VDA-Lizenzen übersteigen.</w:t>
      </w:r>
    </w:p>
    <w:p w:rsidR="00483B3D" w:rsidRPr="00C83DF5" w:rsidRDefault="00483B3D" w:rsidP="00483B3D">
      <w:pPr>
        <w:rPr>
          <w:lang w:val="de-DE"/>
        </w:rPr>
      </w:pPr>
    </w:p>
    <w:p w:rsidR="00483B3D" w:rsidRPr="00C83DF5" w:rsidRDefault="00483B3D" w:rsidP="00483B3D">
      <w:pPr>
        <w:rPr>
          <w:lang w:val="de-DE"/>
        </w:rPr>
      </w:pPr>
    </w:p>
    <w:p w:rsidR="00D513A8" w:rsidRPr="00C83DF5" w:rsidRDefault="00A560B6" w:rsidP="00D513A8">
      <w:pPr>
        <w:pStyle w:val="Heading3"/>
        <w:rPr>
          <w:lang w:val="de-DE"/>
        </w:rPr>
      </w:pPr>
      <w:bookmarkStart w:id="1107" w:name="_26_Windows_Vista"/>
      <w:bookmarkStart w:id="1108" w:name="_29_Windows_Vista"/>
      <w:bookmarkStart w:id="1109" w:name="_29_30_Windows"/>
      <w:bookmarkStart w:id="1110" w:name="_Toc336338282"/>
      <w:bookmarkStart w:id="1111" w:name="Sys_24WindowsVistaDVDPack"/>
      <w:bookmarkStart w:id="1112" w:name="_Toc370983397"/>
      <w:bookmarkEnd w:id="1107"/>
      <w:bookmarkEnd w:id="1108"/>
      <w:bookmarkEnd w:id="1109"/>
      <w:r w:rsidRPr="00C83DF5">
        <w:rPr>
          <w:rFonts w:ascii="Tahoma" w:hAnsi="Tahoma"/>
          <w:caps/>
          <w:color w:val="F66400"/>
          <w:sz w:val="22"/>
          <w:vertAlign w:val="superscript"/>
          <w:lang w:val="de-DE"/>
        </w:rPr>
        <w:t>30</w:t>
      </w:r>
      <w:r w:rsidRPr="00C83DF5">
        <w:rPr>
          <w:rFonts w:ascii="Tahoma" w:eastAsia="Times New Roman" w:hAnsi="Tahoma" w:cs="Tahoma"/>
          <w:bCs/>
          <w:color w:val="F66400"/>
          <w:sz w:val="22"/>
          <w:szCs w:val="22"/>
          <w:lang w:val="de-DE"/>
        </w:rPr>
        <w:t xml:space="preserve"> </w:t>
      </w:r>
      <w:bookmarkStart w:id="1113" w:name="_30_Windows®_7"/>
      <w:bookmarkStart w:id="1114" w:name="Sys_25WindowsPartnersLearning"/>
      <w:bookmarkStart w:id="1115" w:name="_Toc336338284"/>
      <w:bookmarkEnd w:id="1110"/>
      <w:bookmarkEnd w:id="1111"/>
      <w:bookmarkEnd w:id="1113"/>
      <w:r w:rsidRPr="00C83DF5">
        <w:rPr>
          <w:rFonts w:ascii="Tahoma" w:hAnsi="Tahoma"/>
          <w:color w:val="F66400"/>
          <w:sz w:val="22"/>
          <w:lang w:val="de-DE"/>
        </w:rPr>
        <w:t>Windows</w:t>
      </w:r>
      <w:r w:rsidRPr="00C83DF5">
        <w:rPr>
          <w:rFonts w:ascii="Tahoma" w:hAnsi="Tahoma"/>
          <w:color w:val="F66400"/>
          <w:sz w:val="22"/>
          <w:vertAlign w:val="superscript"/>
          <w:lang w:val="de-DE"/>
        </w:rPr>
        <w:t>®</w:t>
      </w:r>
      <w:r w:rsidRPr="00C83DF5">
        <w:rPr>
          <w:rFonts w:ascii="Tahoma" w:hAnsi="Tahoma"/>
          <w:color w:val="F66400"/>
          <w:sz w:val="22"/>
          <w:lang w:val="de-DE"/>
        </w:rPr>
        <w:t xml:space="preserve"> 7 Partners in Learning</w:t>
      </w:r>
      <w:bookmarkEnd w:id="1112"/>
      <w:bookmarkEnd w:id="1114"/>
    </w:p>
    <w:p w:rsidR="00D513A8" w:rsidRPr="008B3D04" w:rsidRDefault="00D513A8" w:rsidP="00D513A8">
      <w:pPr>
        <w:rPr>
          <w:lang w:val="de-DE"/>
        </w:rPr>
      </w:pPr>
    </w:p>
    <w:p w:rsidR="00D513A8" w:rsidRPr="00C83DF5" w:rsidRDefault="00D513A8" w:rsidP="00D513A8">
      <w:pPr>
        <w:ind w:left="720" w:right="-810"/>
        <w:rPr>
          <w:lang w:val="de-DE"/>
        </w:rPr>
      </w:pPr>
      <w:r w:rsidRPr="00C83DF5">
        <w:rPr>
          <w:rFonts w:cs="Tahoma"/>
          <w:color w:val="000000"/>
          <w:szCs w:val="18"/>
          <w:lang w:val="de-DE"/>
        </w:rPr>
        <w:t xml:space="preserve">Informationen zur Lizenzberechtigung und zum Beitritt für Partner erhalten Sie unter </w:t>
      </w:r>
      <w:hyperlink r:id="rId40" w:history="1">
        <w:r w:rsidRPr="00C83DF5">
          <w:rPr>
            <w:rStyle w:val="Hyperlink"/>
            <w:rFonts w:cs="Tahoma"/>
            <w:szCs w:val="18"/>
            <w:lang w:val="de-DE"/>
          </w:rPr>
          <w:t>http://www.microsoft.com/education/pil/partnersinlearning.aspx</w:t>
        </w:r>
      </w:hyperlink>
      <w:r w:rsidRPr="00C83DF5">
        <w:rPr>
          <w:color w:val="000000"/>
          <w:lang w:val="de-DE"/>
        </w:rPr>
        <w:t xml:space="preserve"> </w:t>
      </w:r>
    </w:p>
    <w:p w:rsidR="00D513A8" w:rsidRPr="008B3D04" w:rsidRDefault="00D513A8" w:rsidP="00D513A8">
      <w:pPr>
        <w:ind w:right="-810"/>
        <w:rPr>
          <w:color w:val="000000"/>
          <w:lang w:val="de-DE"/>
        </w:rPr>
      </w:pPr>
    </w:p>
    <w:p w:rsidR="00D513A8" w:rsidRPr="008B3D04" w:rsidRDefault="00D513A8" w:rsidP="00D513A8">
      <w:pPr>
        <w:ind w:right="-810"/>
        <w:rPr>
          <w:color w:val="000000"/>
          <w:lang w:val="de-DE"/>
        </w:rPr>
      </w:pPr>
    </w:p>
    <w:p w:rsidR="005D4DAB" w:rsidRPr="00C83DF5" w:rsidRDefault="00A560B6" w:rsidP="00C646B3">
      <w:pPr>
        <w:pStyle w:val="Heading3"/>
      </w:pPr>
      <w:bookmarkStart w:id="1116" w:name="_28_Windows®_8"/>
      <w:bookmarkStart w:id="1117" w:name="_31_Windows®_8"/>
      <w:bookmarkStart w:id="1118" w:name="_31_Windows®_8.1"/>
      <w:bookmarkStart w:id="1119" w:name="_Toc370983398"/>
      <w:bookmarkEnd w:id="1116"/>
      <w:bookmarkEnd w:id="1117"/>
      <w:bookmarkEnd w:id="1118"/>
      <w:r w:rsidRPr="00C83DF5">
        <w:rPr>
          <w:rFonts w:ascii="Tahoma" w:hAnsi="Tahoma"/>
          <w:caps/>
          <w:color w:val="F66400"/>
          <w:sz w:val="22"/>
          <w:vertAlign w:val="superscript"/>
        </w:rPr>
        <w:t>31</w:t>
      </w:r>
      <w:r w:rsidRPr="00C83DF5">
        <w:rPr>
          <w:rFonts w:ascii="Tahoma" w:hAnsi="Tahoma"/>
          <w:color w:val="F66400"/>
          <w:sz w:val="22"/>
        </w:rPr>
        <w:t xml:space="preserve"> Windows</w:t>
      </w:r>
      <w:r w:rsidRPr="00C83DF5">
        <w:rPr>
          <w:rFonts w:ascii="Tahoma" w:hAnsi="Tahoma"/>
          <w:color w:val="F66400"/>
          <w:sz w:val="22"/>
          <w:vertAlign w:val="superscript"/>
        </w:rPr>
        <w:t>®</w:t>
      </w:r>
      <w:r w:rsidRPr="00C83DF5">
        <w:rPr>
          <w:rFonts w:ascii="Tahoma" w:hAnsi="Tahoma"/>
          <w:color w:val="F66400"/>
          <w:sz w:val="22"/>
        </w:rPr>
        <w:t xml:space="preserve"> 8.1 Enterprise Sideloading</w:t>
      </w:r>
      <w:bookmarkEnd w:id="1115"/>
      <w:bookmarkEnd w:id="1119"/>
    </w:p>
    <w:p w:rsidR="009B2474" w:rsidRPr="00C83DF5" w:rsidRDefault="009B2474" w:rsidP="009B2474"/>
    <w:p w:rsidR="009B2474" w:rsidRPr="00C83DF5" w:rsidRDefault="009B2474" w:rsidP="009B2474"/>
    <w:tbl>
      <w:tblPr>
        <w:tblW w:w="6007" w:type="dxa"/>
        <w:tblInd w:w="780" w:type="dxa"/>
        <w:tblLayout w:type="fixed"/>
        <w:tblCellMar>
          <w:left w:w="0" w:type="dxa"/>
          <w:right w:w="0" w:type="dxa"/>
        </w:tblCellMar>
        <w:tblLook w:val="04A0" w:firstRow="1" w:lastRow="0" w:firstColumn="1" w:lastColumn="0" w:noHBand="0" w:noVBand="1"/>
      </w:tblPr>
      <w:tblGrid>
        <w:gridCol w:w="3158"/>
        <w:gridCol w:w="1247"/>
        <w:gridCol w:w="1602"/>
      </w:tblGrid>
      <w:tr w:rsidR="005D4DAB" w:rsidRPr="00C83DF5" w:rsidTr="007112A9">
        <w:trPr>
          <w:trHeight w:val="900"/>
          <w:tblHeader/>
        </w:trPr>
        <w:tc>
          <w:tcPr>
            <w:tcW w:w="3158"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C83DF5" w:rsidRDefault="00433F5F" w:rsidP="005D4DAB">
            <w:pPr>
              <w:jc w:val="center"/>
              <w:rPr>
                <w:rFonts w:eastAsia="Calibri" w:cs="Tahoma"/>
                <w:b/>
                <w:bCs/>
                <w:szCs w:val="18"/>
              </w:rPr>
            </w:pPr>
            <w:r w:rsidRPr="00C83DF5">
              <w:rPr>
                <w:rFonts w:cs="Tahoma"/>
                <w:b/>
                <w:bCs/>
                <w:szCs w:val="18"/>
              </w:rPr>
              <w:t>Programmverfügbarkeit</w:t>
            </w:r>
          </w:p>
        </w:tc>
        <w:tc>
          <w:tcPr>
            <w:tcW w:w="1247" w:type="dxa"/>
            <w:tcBorders>
              <w:top w:val="single" w:sz="4" w:space="0" w:color="auto"/>
              <w:left w:val="nil"/>
              <w:bottom w:val="single" w:sz="4" w:space="0" w:color="auto"/>
              <w:right w:val="single" w:sz="4" w:space="0" w:color="auto"/>
            </w:tcBorders>
            <w:shd w:val="clear" w:color="auto" w:fill="FABF8F"/>
            <w:vAlign w:val="bottom"/>
          </w:tcPr>
          <w:p w:rsidR="005D4DAB" w:rsidRPr="00C83DF5" w:rsidRDefault="005D4DAB" w:rsidP="005D4DAB">
            <w:pPr>
              <w:jc w:val="center"/>
              <w:rPr>
                <w:rFonts w:cs="Tahoma"/>
                <w:b/>
                <w:bCs/>
                <w:szCs w:val="18"/>
              </w:rPr>
            </w:pPr>
            <w:r w:rsidRPr="00C83DF5">
              <w:rPr>
                <w:rFonts w:cs="Tahoma"/>
                <w:b/>
                <w:bCs/>
                <w:szCs w:val="18"/>
              </w:rPr>
              <w:t>Zum Erwerb verfügbare Lizenzen</w:t>
            </w:r>
          </w:p>
        </w:tc>
        <w:tc>
          <w:tcPr>
            <w:tcW w:w="160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C83DF5" w:rsidRDefault="005D4DAB" w:rsidP="005D4DAB">
            <w:pPr>
              <w:jc w:val="center"/>
              <w:rPr>
                <w:rFonts w:eastAsia="Calibri" w:cs="Tahoma"/>
                <w:b/>
                <w:bCs/>
                <w:szCs w:val="18"/>
              </w:rPr>
            </w:pPr>
            <w:r w:rsidRPr="00C83DF5">
              <w:rPr>
                <w:rFonts w:cs="Tahoma"/>
                <w:b/>
                <w:bCs/>
                <w:szCs w:val="18"/>
              </w:rPr>
              <w:t>Als SA-Vergünstigung verfügbar</w:t>
            </w:r>
          </w:p>
        </w:tc>
      </w:tr>
      <w:tr w:rsidR="005D4DAB" w:rsidRPr="00C83DF5" w:rsidTr="007112A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C83DF5" w:rsidRDefault="005D4DAB" w:rsidP="005D4DAB">
            <w:pPr>
              <w:jc w:val="center"/>
              <w:rPr>
                <w:rFonts w:eastAsia="Calibri" w:cs="Tahoma"/>
                <w:b/>
                <w:bCs/>
                <w:szCs w:val="18"/>
              </w:rPr>
            </w:pPr>
            <w:r w:rsidRPr="00C83DF5">
              <w:rPr>
                <w:rFonts w:cs="Tahoma"/>
                <w:b/>
                <w:bCs/>
                <w:szCs w:val="18"/>
              </w:rPr>
              <w:t>Open-Lizenz</w:t>
            </w:r>
          </w:p>
        </w:tc>
        <w:tc>
          <w:tcPr>
            <w:tcW w:w="1247" w:type="dxa"/>
            <w:tcBorders>
              <w:top w:val="single" w:sz="4" w:space="0" w:color="auto"/>
              <w:left w:val="single" w:sz="4" w:space="0" w:color="auto"/>
              <w:bottom w:val="single" w:sz="4" w:space="0" w:color="auto"/>
              <w:right w:val="single" w:sz="4" w:space="0" w:color="auto"/>
            </w:tcBorders>
            <w:vAlign w:val="center"/>
          </w:tcPr>
          <w:p w:rsidR="005D4DAB" w:rsidRPr="00C83DF5" w:rsidRDefault="005D4DAB" w:rsidP="005D4DAB">
            <w:pPr>
              <w:jc w:val="center"/>
              <w:rPr>
                <w:rFonts w:cs="Tahoma"/>
                <w:szCs w:val="18"/>
              </w:rPr>
            </w:pPr>
            <w:r w:rsidRPr="00C83DF5">
              <w:rPr>
                <w:rFonts w:cs="Tahoma"/>
                <w:szCs w:val="18"/>
              </w:rPr>
              <w:t>x</w:t>
            </w:r>
          </w:p>
        </w:tc>
        <w:tc>
          <w:tcPr>
            <w:tcW w:w="16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C83DF5" w:rsidRDefault="005D4DAB" w:rsidP="005D4DAB">
            <w:pPr>
              <w:jc w:val="center"/>
              <w:rPr>
                <w:rFonts w:eastAsia="Calibri" w:cs="Tahoma"/>
                <w:szCs w:val="18"/>
              </w:rPr>
            </w:pPr>
          </w:p>
        </w:tc>
      </w:tr>
      <w:tr w:rsidR="005D4DAB" w:rsidRPr="00C83DF5" w:rsidTr="007112A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C83DF5" w:rsidRDefault="005D4DAB" w:rsidP="005D4DAB">
            <w:pPr>
              <w:jc w:val="center"/>
              <w:rPr>
                <w:rFonts w:cs="Tahoma"/>
                <w:b/>
                <w:bCs/>
                <w:szCs w:val="18"/>
              </w:rPr>
            </w:pPr>
            <w:r w:rsidRPr="00C83DF5">
              <w:rPr>
                <w:rFonts w:cs="Tahoma"/>
                <w:b/>
                <w:bCs/>
                <w:szCs w:val="18"/>
              </w:rPr>
              <w:t>Select/Select Plus</w:t>
            </w:r>
          </w:p>
        </w:tc>
        <w:tc>
          <w:tcPr>
            <w:tcW w:w="1247" w:type="dxa"/>
            <w:tcBorders>
              <w:top w:val="single" w:sz="4" w:space="0" w:color="auto"/>
              <w:left w:val="single" w:sz="4" w:space="0" w:color="auto"/>
              <w:bottom w:val="single" w:sz="4" w:space="0" w:color="auto"/>
              <w:right w:val="single" w:sz="4" w:space="0" w:color="auto"/>
            </w:tcBorders>
            <w:vAlign w:val="center"/>
          </w:tcPr>
          <w:p w:rsidR="005D4DAB" w:rsidRPr="00C83DF5" w:rsidRDefault="005D4DAB" w:rsidP="005D4DAB">
            <w:pPr>
              <w:jc w:val="center"/>
              <w:rPr>
                <w:rFonts w:cs="Tahoma"/>
                <w:szCs w:val="18"/>
              </w:rPr>
            </w:pPr>
            <w:r w:rsidRPr="00C83DF5">
              <w:rPr>
                <w:rFonts w:cs="Tahoma"/>
                <w:szCs w:val="18"/>
              </w:rPr>
              <w:t>x</w:t>
            </w:r>
          </w:p>
        </w:tc>
        <w:tc>
          <w:tcPr>
            <w:tcW w:w="16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C83DF5" w:rsidRDefault="005D4DAB" w:rsidP="005D4DAB">
            <w:pPr>
              <w:jc w:val="center"/>
              <w:rPr>
                <w:rFonts w:eastAsia="Calibri" w:cs="Tahoma"/>
                <w:szCs w:val="18"/>
              </w:rPr>
            </w:pPr>
            <w:r w:rsidRPr="00C83DF5">
              <w:rPr>
                <w:rFonts w:eastAsia="Calibri" w:cs="Tahoma"/>
                <w:szCs w:val="18"/>
              </w:rPr>
              <w:t>x</w:t>
            </w:r>
          </w:p>
        </w:tc>
      </w:tr>
      <w:tr w:rsidR="005D4DAB" w:rsidRPr="00C83DF5" w:rsidTr="007112A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C83DF5" w:rsidRDefault="005D4DAB" w:rsidP="005D4DAB">
            <w:pPr>
              <w:jc w:val="center"/>
              <w:rPr>
                <w:rFonts w:cs="Tahoma"/>
                <w:b/>
                <w:bCs/>
                <w:szCs w:val="18"/>
              </w:rPr>
            </w:pPr>
            <w:r w:rsidRPr="00C83DF5">
              <w:rPr>
                <w:rFonts w:cs="Tahoma"/>
                <w:b/>
                <w:bCs/>
                <w:szCs w:val="18"/>
              </w:rPr>
              <w:t>Konzernvertrag/EAS</w:t>
            </w:r>
          </w:p>
        </w:tc>
        <w:tc>
          <w:tcPr>
            <w:tcW w:w="1247" w:type="dxa"/>
            <w:tcBorders>
              <w:top w:val="single" w:sz="4" w:space="0" w:color="auto"/>
              <w:left w:val="single" w:sz="4" w:space="0" w:color="auto"/>
              <w:bottom w:val="single" w:sz="4" w:space="0" w:color="auto"/>
              <w:right w:val="single" w:sz="4" w:space="0" w:color="auto"/>
            </w:tcBorders>
            <w:vAlign w:val="center"/>
          </w:tcPr>
          <w:p w:rsidR="005D4DAB" w:rsidRPr="00C83DF5" w:rsidRDefault="005D4DAB" w:rsidP="005D4DAB">
            <w:pPr>
              <w:jc w:val="center"/>
              <w:rPr>
                <w:rFonts w:cs="Tahoma"/>
                <w:szCs w:val="18"/>
              </w:rPr>
            </w:pPr>
          </w:p>
        </w:tc>
        <w:tc>
          <w:tcPr>
            <w:tcW w:w="16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C83DF5" w:rsidRDefault="005D4DAB" w:rsidP="005D4DAB">
            <w:pPr>
              <w:jc w:val="center"/>
              <w:rPr>
                <w:rFonts w:eastAsia="Calibri" w:cs="Tahoma"/>
                <w:szCs w:val="18"/>
              </w:rPr>
            </w:pPr>
            <w:r w:rsidRPr="00C83DF5">
              <w:rPr>
                <w:rFonts w:eastAsia="Calibri" w:cs="Tahoma"/>
                <w:szCs w:val="18"/>
              </w:rPr>
              <w:t>x</w:t>
            </w:r>
          </w:p>
        </w:tc>
      </w:tr>
      <w:tr w:rsidR="00755633" w:rsidRPr="00C83DF5" w:rsidTr="007112A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C83DF5" w:rsidRDefault="00EB3A5F" w:rsidP="005D4DAB">
            <w:pPr>
              <w:jc w:val="center"/>
              <w:rPr>
                <w:rFonts w:cs="Tahoma"/>
                <w:b/>
                <w:bCs/>
                <w:szCs w:val="18"/>
              </w:rPr>
            </w:pPr>
            <w:r w:rsidRPr="00C83DF5">
              <w:rPr>
                <w:rFonts w:cs="Tahoma"/>
                <w:b/>
                <w:bCs/>
                <w:szCs w:val="18"/>
              </w:rPr>
              <w:t>Beitritt für Bildungslösungen</w:t>
            </w:r>
          </w:p>
        </w:tc>
        <w:tc>
          <w:tcPr>
            <w:tcW w:w="1247" w:type="dxa"/>
            <w:tcBorders>
              <w:top w:val="single" w:sz="4" w:space="0" w:color="auto"/>
              <w:left w:val="single" w:sz="4" w:space="0" w:color="auto"/>
              <w:bottom w:val="single" w:sz="4" w:space="0" w:color="auto"/>
              <w:right w:val="single" w:sz="4" w:space="0" w:color="auto"/>
            </w:tcBorders>
            <w:vAlign w:val="center"/>
          </w:tcPr>
          <w:p w:rsidR="00755633" w:rsidRPr="00C83DF5" w:rsidRDefault="00755633" w:rsidP="005D4DAB">
            <w:pPr>
              <w:jc w:val="center"/>
              <w:rPr>
                <w:rFonts w:cs="Tahoma"/>
                <w:szCs w:val="18"/>
              </w:rPr>
            </w:pPr>
          </w:p>
        </w:tc>
        <w:tc>
          <w:tcPr>
            <w:tcW w:w="16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C83DF5" w:rsidRDefault="00755633" w:rsidP="005D4DAB">
            <w:pPr>
              <w:jc w:val="center"/>
              <w:rPr>
                <w:rFonts w:eastAsia="Calibri" w:cs="Tahoma"/>
                <w:szCs w:val="18"/>
              </w:rPr>
            </w:pPr>
            <w:r w:rsidRPr="00C83DF5">
              <w:rPr>
                <w:rFonts w:eastAsia="Calibri" w:cs="Tahoma"/>
                <w:szCs w:val="18"/>
              </w:rPr>
              <w:t>x</w:t>
            </w:r>
          </w:p>
        </w:tc>
      </w:tr>
    </w:tbl>
    <w:p w:rsidR="005D4DAB" w:rsidRDefault="005D4DAB" w:rsidP="00572128">
      <w:pPr>
        <w:ind w:left="900"/>
      </w:pPr>
    </w:p>
    <w:p w:rsidR="005B5C01" w:rsidRDefault="005B5C01" w:rsidP="00572128">
      <w:pPr>
        <w:ind w:left="900"/>
      </w:pPr>
    </w:p>
    <w:p w:rsidR="005B5C01" w:rsidRDefault="005B5C01" w:rsidP="00572128">
      <w:pPr>
        <w:ind w:left="900"/>
      </w:pPr>
    </w:p>
    <w:p w:rsidR="005B5C01" w:rsidRDefault="005B5C01" w:rsidP="00572128">
      <w:pPr>
        <w:ind w:left="900"/>
      </w:pPr>
    </w:p>
    <w:p w:rsidR="005B5C01" w:rsidRDefault="005B5C01" w:rsidP="00572128">
      <w:pPr>
        <w:ind w:left="900"/>
      </w:pPr>
    </w:p>
    <w:p w:rsidR="005B5C01" w:rsidRPr="00C83DF5" w:rsidRDefault="005B5C01" w:rsidP="00572128">
      <w:pPr>
        <w:ind w:left="900"/>
      </w:pPr>
    </w:p>
    <w:p w:rsidR="005D4DAB" w:rsidRPr="00C83DF5" w:rsidRDefault="005D4DAB" w:rsidP="00EE035D">
      <w:pPr>
        <w:ind w:left="720"/>
        <w:rPr>
          <w:lang w:val="de-DE"/>
        </w:rPr>
      </w:pPr>
      <w:r w:rsidRPr="00C83DF5">
        <w:rPr>
          <w:rFonts w:cs="Tahoma"/>
          <w:szCs w:val="18"/>
          <w:lang w:val="de-DE"/>
        </w:rPr>
        <w:lastRenderedPageBreak/>
        <w:t>Windows Enterprise Sideloading bezeichnet die Installation neuer Windows 8.1-Apps, die zu Gunsten des Kunden direkt ohne Windows Store als Zwischenstation auf einem Gerät verwendet werden.</w:t>
      </w:r>
      <w:r w:rsidR="00E71F46" w:rsidRPr="00C83DF5">
        <w:rPr>
          <w:rFonts w:cs="Tahoma"/>
          <w:szCs w:val="18"/>
          <w:lang w:val="de-DE"/>
        </w:rPr>
        <w:t xml:space="preserve"> </w:t>
      </w:r>
      <w:r w:rsidRPr="00C83DF5">
        <w:rPr>
          <w:rFonts w:cs="Tahoma"/>
          <w:szCs w:val="18"/>
          <w:lang w:val="de-DE"/>
        </w:rPr>
        <w:t>Bei Geräten mit Beitritt zur Domäne, die Windows 8.1 Enterprise Edition in einem beliebigen VL-Programm ausführen, sind die Features für Windows Enterprise Sideloading aktiviert.</w:t>
      </w:r>
      <w:r w:rsidR="00E71F46" w:rsidRPr="00C83DF5">
        <w:rPr>
          <w:rFonts w:cs="Tahoma"/>
          <w:szCs w:val="18"/>
          <w:lang w:val="de-DE"/>
        </w:rPr>
        <w:t xml:space="preserve"> </w:t>
      </w:r>
      <w:r w:rsidRPr="00C83DF5">
        <w:rPr>
          <w:rFonts w:cs="Tahoma"/>
          <w:szCs w:val="18"/>
          <w:lang w:val="de-DE"/>
        </w:rPr>
        <w:t>Windows Enterprise Sideloading kann auch auf Geräten unter Windows 8.1 Enterprise aktiviert werden, die nicht über einen Beitritt zur Domäne verfügen, sowie auf Geräten unter Windows 8.1 Pro, Windows RT oder Windows RT 8.1 über die Verwendung eines Product Key.</w:t>
      </w:r>
      <w:r w:rsidR="00E71F46" w:rsidRPr="00C83DF5">
        <w:rPr>
          <w:rFonts w:cs="Tahoma"/>
          <w:szCs w:val="18"/>
          <w:lang w:val="de-DE"/>
        </w:rPr>
        <w:t xml:space="preserve"> </w:t>
      </w:r>
      <w:r w:rsidRPr="00C83DF5">
        <w:rPr>
          <w:rFonts w:cs="Tahoma"/>
          <w:szCs w:val="18"/>
          <w:lang w:val="de-DE"/>
        </w:rPr>
        <w:t>In jedem Fall darf Windows Enterprise Sideloading nur zur Bereitstellung von Apps verwendet werden, die zu Gunsten des Volumenlizenzkunden verwendet werden.</w:t>
      </w:r>
      <w:r w:rsidR="00E71F46" w:rsidRPr="00C83DF5">
        <w:rPr>
          <w:rFonts w:cs="Tahoma"/>
          <w:szCs w:val="18"/>
          <w:lang w:val="de-DE"/>
        </w:rPr>
        <w:t xml:space="preserve"> </w:t>
      </w:r>
      <w:r w:rsidRPr="00C83DF5">
        <w:rPr>
          <w:rFonts w:cs="Tahoma"/>
          <w:szCs w:val="18"/>
          <w:lang w:val="de-DE"/>
        </w:rPr>
        <w:t>Die Windows Enterprise Sideloading-Funktionalität ergänzt das Windows Desktop-Betriebssystem, und daher gelten die auf das Windows Desktop-Betriebssystem anwendbaren Lizenzbestimmungen, wie hier ergänzt, für dessen Verwendung durch den Kunden.</w:t>
      </w:r>
    </w:p>
    <w:p w:rsidR="005D4DAB" w:rsidRPr="008B3D04" w:rsidRDefault="005D4DAB" w:rsidP="00572128">
      <w:pPr>
        <w:ind w:left="900"/>
        <w:rPr>
          <w:rFonts w:cs="Tahoma"/>
          <w:szCs w:val="18"/>
          <w:lang w:val="de-DE"/>
        </w:rPr>
      </w:pPr>
    </w:p>
    <w:p w:rsidR="005D4DAB" w:rsidRPr="00C83DF5" w:rsidRDefault="005D4DAB" w:rsidP="009B2474">
      <w:pPr>
        <w:spacing w:after="60"/>
        <w:ind w:left="720"/>
        <w:rPr>
          <w:lang w:val="de-DE"/>
        </w:rPr>
      </w:pPr>
      <w:r w:rsidRPr="00C83DF5">
        <w:rPr>
          <w:rFonts w:cs="Tahoma"/>
          <w:b/>
          <w:szCs w:val="18"/>
          <w:lang w:val="de-DE"/>
        </w:rPr>
        <w:t>Software Assurance-Vergünstigung</w:t>
      </w:r>
    </w:p>
    <w:p w:rsidR="005D4DAB" w:rsidRPr="00C83DF5" w:rsidRDefault="005D4DAB" w:rsidP="005B5C01">
      <w:pPr>
        <w:ind w:left="720"/>
        <w:rPr>
          <w:lang w:val="de-DE"/>
        </w:rPr>
      </w:pPr>
      <w:r w:rsidRPr="00C83DF5">
        <w:rPr>
          <w:rFonts w:cs="Tahoma"/>
          <w:szCs w:val="18"/>
          <w:lang w:val="de-DE"/>
        </w:rPr>
        <w:t>Ein Product Key kann zur Aktivierung von Windows Enterprise Sideloading auf folgenden Geräten verwendet</w:t>
      </w:r>
      <w:r w:rsidR="005B5C01">
        <w:rPr>
          <w:rFonts w:cs="Tahoma"/>
          <w:szCs w:val="18"/>
          <w:lang w:val="de-DE"/>
        </w:rPr>
        <w:t> </w:t>
      </w:r>
      <w:r w:rsidRPr="00C83DF5">
        <w:rPr>
          <w:rFonts w:cs="Tahoma"/>
          <w:szCs w:val="18"/>
          <w:lang w:val="de-DE"/>
        </w:rPr>
        <w:t>werden:</w:t>
      </w:r>
    </w:p>
    <w:p w:rsidR="009B2474" w:rsidRPr="005B5C01" w:rsidRDefault="009B2474" w:rsidP="00EE035D">
      <w:pPr>
        <w:ind w:left="720"/>
        <w:rPr>
          <w:rFonts w:cs="Tahoma"/>
          <w:szCs w:val="18"/>
          <w:lang w:val="de-DE"/>
        </w:rPr>
      </w:pPr>
    </w:p>
    <w:p w:rsidR="005D4DAB" w:rsidRPr="005B5C01" w:rsidRDefault="005D4DAB" w:rsidP="00346F4B">
      <w:pPr>
        <w:pStyle w:val="ListParagraph"/>
        <w:numPr>
          <w:ilvl w:val="0"/>
          <w:numId w:val="83"/>
        </w:numPr>
        <w:spacing w:after="60"/>
        <w:ind w:left="1440"/>
        <w:contextualSpacing w:val="0"/>
        <w:rPr>
          <w:sz w:val="18"/>
          <w:szCs w:val="18"/>
          <w:lang w:val="de-DE"/>
        </w:rPr>
      </w:pPr>
      <w:r w:rsidRPr="005B5C01">
        <w:rPr>
          <w:rFonts w:ascii="Tahoma" w:hAnsi="Tahoma" w:cs="Tahoma"/>
          <w:sz w:val="18"/>
          <w:szCs w:val="18"/>
          <w:lang w:val="de-DE"/>
        </w:rPr>
        <w:t>Geräte mit aktiver Windows-Software Assurance</w:t>
      </w:r>
    </w:p>
    <w:p w:rsidR="005D4DAB" w:rsidRPr="005B5C01" w:rsidRDefault="005D4DAB" w:rsidP="00346F4B">
      <w:pPr>
        <w:pStyle w:val="ListParagraph"/>
        <w:numPr>
          <w:ilvl w:val="0"/>
          <w:numId w:val="83"/>
        </w:numPr>
        <w:spacing w:after="60"/>
        <w:ind w:left="1440"/>
        <w:contextualSpacing w:val="0"/>
        <w:rPr>
          <w:sz w:val="18"/>
          <w:szCs w:val="18"/>
          <w:lang w:val="de-DE"/>
        </w:rPr>
      </w:pPr>
      <w:r w:rsidRPr="005B5C01">
        <w:rPr>
          <w:rFonts w:ascii="Tahoma" w:hAnsi="Tahoma" w:cs="Tahoma"/>
          <w:sz w:val="18"/>
          <w:szCs w:val="18"/>
          <w:lang w:val="de-DE"/>
        </w:rPr>
        <w:t>Geräte mit aktivem Windows Intune (Pro Gerät)- oder VDA-Abonnement</w:t>
      </w:r>
    </w:p>
    <w:p w:rsidR="005D4DAB" w:rsidRPr="005B5C01" w:rsidRDefault="005D4DAB" w:rsidP="00346F4B">
      <w:pPr>
        <w:pStyle w:val="ListParagraph"/>
        <w:numPr>
          <w:ilvl w:val="0"/>
          <w:numId w:val="83"/>
        </w:numPr>
        <w:spacing w:after="60"/>
        <w:ind w:left="1440"/>
        <w:contextualSpacing w:val="0"/>
        <w:rPr>
          <w:sz w:val="18"/>
          <w:szCs w:val="18"/>
          <w:lang w:val="de-DE"/>
        </w:rPr>
      </w:pPr>
      <w:r w:rsidRPr="005B5C01">
        <w:rPr>
          <w:rFonts w:ascii="Tahoma" w:hAnsi="Tahoma" w:cs="Tahoma"/>
          <w:sz w:val="18"/>
          <w:szCs w:val="18"/>
          <w:lang w:val="de-DE"/>
        </w:rPr>
        <w:t>Windows RT- und Windows RT 8.1-Geräte</w:t>
      </w:r>
    </w:p>
    <w:p w:rsidR="00EB2B3F" w:rsidRPr="005B5C01" w:rsidRDefault="00EB2B3F" w:rsidP="00346F4B">
      <w:pPr>
        <w:pStyle w:val="ListParagraph"/>
        <w:numPr>
          <w:ilvl w:val="0"/>
          <w:numId w:val="83"/>
        </w:numPr>
        <w:spacing w:after="60"/>
        <w:ind w:left="1440"/>
        <w:contextualSpacing w:val="0"/>
        <w:rPr>
          <w:sz w:val="18"/>
          <w:szCs w:val="18"/>
          <w:lang w:val="de-DE"/>
        </w:rPr>
      </w:pPr>
      <w:r w:rsidRPr="005B5C01">
        <w:rPr>
          <w:rFonts w:ascii="Tahoma" w:hAnsi="Tahoma" w:cs="Tahoma"/>
          <w:sz w:val="18"/>
          <w:szCs w:val="18"/>
          <w:lang w:val="de-DE"/>
        </w:rPr>
        <w:t>Geräte, die durch die Windows Companion-Abonnementlizenz abgedeckt sind</w:t>
      </w:r>
    </w:p>
    <w:p w:rsidR="005D4DAB" w:rsidRPr="008B3D04" w:rsidRDefault="005D4DAB" w:rsidP="00572128">
      <w:pPr>
        <w:ind w:left="900"/>
        <w:rPr>
          <w:rFonts w:cs="Tahoma"/>
          <w:szCs w:val="18"/>
          <w:lang w:val="de-DE"/>
        </w:rPr>
      </w:pPr>
    </w:p>
    <w:p w:rsidR="005D4DAB" w:rsidRPr="00C83DF5" w:rsidRDefault="005D4DAB" w:rsidP="00EE035D">
      <w:pPr>
        <w:ind w:left="720"/>
        <w:rPr>
          <w:lang w:val="de-DE"/>
        </w:rPr>
      </w:pPr>
      <w:r w:rsidRPr="00C83DF5">
        <w:rPr>
          <w:rFonts w:cs="Tahoma"/>
          <w:szCs w:val="18"/>
          <w:lang w:val="de-DE"/>
        </w:rPr>
        <w:t xml:space="preserve">Windows Enterprise Sideloading darf nur auf einem zulässigen Gerät vor Ablauf der entsprechenden Software Assurance oder Abonnementlizenz aktiviert werden. </w:t>
      </w:r>
      <w:r w:rsidRPr="00C83DF5">
        <w:rPr>
          <w:lang w:val="de-DE"/>
        </w:rPr>
        <w:t>Bei Programmen für Forschung &amp; Lehre darf Windows Enterprise Sideloading nur auf Geräten aktiviert werden, die Eigentum der Einrichtung sind</w:t>
      </w:r>
      <w:r w:rsidRPr="00C83DF5">
        <w:rPr>
          <w:rFonts w:cs="Tahoma"/>
          <w:szCs w:val="18"/>
          <w:lang w:val="de-DE"/>
        </w:rPr>
        <w:t>.</w:t>
      </w:r>
    </w:p>
    <w:p w:rsidR="005D4DAB" w:rsidRPr="008B3D04" w:rsidRDefault="005D4DAB" w:rsidP="00572128">
      <w:pPr>
        <w:ind w:left="900"/>
        <w:rPr>
          <w:rFonts w:cs="Tahoma"/>
          <w:szCs w:val="18"/>
          <w:lang w:val="de-DE"/>
        </w:rPr>
      </w:pPr>
    </w:p>
    <w:p w:rsidR="005D4DAB" w:rsidRPr="00C83DF5" w:rsidRDefault="009B2474" w:rsidP="009B2474">
      <w:pPr>
        <w:spacing w:after="60"/>
        <w:ind w:left="720"/>
        <w:rPr>
          <w:lang w:val="de-DE"/>
        </w:rPr>
      </w:pPr>
      <w:r w:rsidRPr="00C83DF5">
        <w:rPr>
          <w:rFonts w:cs="Tahoma"/>
          <w:b/>
          <w:szCs w:val="18"/>
          <w:lang w:val="de-DE"/>
        </w:rPr>
        <w:t>Enterprise Sideloading-Lizenz zum Erwerb verfügbar</w:t>
      </w:r>
    </w:p>
    <w:p w:rsidR="00697E59" w:rsidRPr="00C83DF5" w:rsidRDefault="005D4DAB" w:rsidP="005B5C01">
      <w:pPr>
        <w:ind w:left="720"/>
        <w:rPr>
          <w:lang w:val="de-DE"/>
        </w:rPr>
      </w:pPr>
      <w:r w:rsidRPr="00C83DF5">
        <w:rPr>
          <w:rFonts w:cs="Tahoma"/>
          <w:szCs w:val="18"/>
          <w:lang w:val="de-DE"/>
        </w:rPr>
        <w:t>Kunden sind berechtigt Enterprise Sideloading-Lizenzen zu erwerben.</w:t>
      </w:r>
      <w:r w:rsidR="00E71F46" w:rsidRPr="00C83DF5">
        <w:rPr>
          <w:rFonts w:cs="Tahoma"/>
          <w:szCs w:val="18"/>
          <w:lang w:val="de-DE"/>
        </w:rPr>
        <w:t xml:space="preserve"> </w:t>
      </w:r>
      <w:r w:rsidRPr="00C83DF5">
        <w:rPr>
          <w:rFonts w:cs="Tahoma"/>
          <w:szCs w:val="18"/>
          <w:lang w:val="de-DE"/>
        </w:rPr>
        <w:t xml:space="preserve">Jede solche Enterprise Sideloading-Lizenz muss einem Gerät dauerhaft zugewiesen sein. </w:t>
      </w:r>
      <w:r w:rsidRPr="00C83DF5">
        <w:rPr>
          <w:lang w:val="de-DE"/>
        </w:rPr>
        <w:t>Bei Programmen für Forschung &amp; Lehre darf Windows Enterprise Sideloading nur auf Geräten aktiviert werden, die Eigentum der Einrichtung sind</w:t>
      </w:r>
      <w:r w:rsidRPr="00C83DF5">
        <w:rPr>
          <w:rFonts w:cs="Tahoma"/>
          <w:szCs w:val="18"/>
          <w:lang w:val="de-DE"/>
        </w:rPr>
        <w:t>.</w:t>
      </w:r>
      <w:bookmarkStart w:id="1120" w:name="_Toc336338285"/>
      <w:r w:rsidRPr="00C83DF5">
        <w:rPr>
          <w:rFonts w:cs="Tahoma"/>
          <w:szCs w:val="18"/>
          <w:lang w:val="de-DE"/>
        </w:rPr>
        <w:t xml:space="preserve"> Windows Enterprise Sideloading-Lizenzen für Windows 8 und Windows 8.1 können austauschbar verwendet werden. Beispielsweise muss ein für Windows 8 Enterprise Sideloading lizenziertes Gerät, das auf Windows 8.1 upgegradet wurde, nicht separat für das Sideloading auf dem upgegradeten Betriebssystem neu lizenziert</w:t>
      </w:r>
      <w:r w:rsidR="005B5C01">
        <w:rPr>
          <w:rFonts w:cs="Tahoma"/>
          <w:szCs w:val="18"/>
          <w:lang w:val="de-DE"/>
        </w:rPr>
        <w:t> </w:t>
      </w:r>
      <w:r w:rsidRPr="00C83DF5">
        <w:rPr>
          <w:rFonts w:cs="Tahoma"/>
          <w:szCs w:val="18"/>
          <w:lang w:val="de-DE"/>
        </w:rPr>
        <w:t>werden.</w:t>
      </w:r>
    </w:p>
    <w:p w:rsidR="00AF3B19" w:rsidRPr="008B3D04" w:rsidRDefault="00AF3B19" w:rsidP="00CB275D">
      <w:pPr>
        <w:ind w:right="-810"/>
        <w:rPr>
          <w:color w:val="000000"/>
          <w:lang w:val="de-DE"/>
        </w:rPr>
      </w:pPr>
    </w:p>
    <w:p w:rsidR="00AF3B19" w:rsidRPr="008B3D04" w:rsidRDefault="00AF3B19" w:rsidP="00CB275D">
      <w:pPr>
        <w:ind w:right="-810"/>
        <w:rPr>
          <w:color w:val="000000"/>
          <w:lang w:val="de-DE"/>
        </w:rPr>
      </w:pPr>
    </w:p>
    <w:p w:rsidR="00B73A46" w:rsidRPr="00C83DF5" w:rsidRDefault="00A560B6" w:rsidP="00B73A46">
      <w:pPr>
        <w:pStyle w:val="Heading3"/>
      </w:pPr>
      <w:bookmarkStart w:id="1121" w:name="_29_Windows®_8"/>
      <w:bookmarkStart w:id="1122" w:name="_32_Windows®_8"/>
      <w:bookmarkStart w:id="1123" w:name="_32_Windows®_8.1"/>
      <w:bookmarkStart w:id="1124" w:name="_Toc336338286"/>
      <w:bookmarkStart w:id="1125" w:name="Sys_27Win7ProUpgradeWinIntune"/>
      <w:bookmarkStart w:id="1126" w:name="Sys_26WinVistaBizUpgrade"/>
      <w:bookmarkStart w:id="1127" w:name="Sys_23Windows7ProUpgrade"/>
      <w:bookmarkStart w:id="1128" w:name="Sys_27WindowsVistaProUpgrade"/>
      <w:bookmarkStart w:id="1129" w:name="_Toc370983399"/>
      <w:bookmarkEnd w:id="1093"/>
      <w:bookmarkEnd w:id="1120"/>
      <w:bookmarkEnd w:id="1121"/>
      <w:bookmarkEnd w:id="1122"/>
      <w:bookmarkEnd w:id="1123"/>
      <w:r w:rsidRPr="00C83DF5">
        <w:rPr>
          <w:rFonts w:ascii="Tahoma" w:hAnsi="Tahoma"/>
          <w:caps/>
          <w:color w:val="F66400"/>
          <w:sz w:val="22"/>
          <w:vertAlign w:val="superscript"/>
        </w:rPr>
        <w:t>32</w:t>
      </w:r>
      <w:r w:rsidRPr="00C83DF5">
        <w:rPr>
          <w:rFonts w:ascii="Tahoma" w:hAnsi="Tahoma"/>
          <w:color w:val="F66400"/>
          <w:sz w:val="22"/>
        </w:rPr>
        <w:t xml:space="preserve"> </w:t>
      </w:r>
      <w:r w:rsidRPr="00C83DF5">
        <w:rPr>
          <w:rFonts w:ascii="Tahoma" w:hAnsi="Tahoma"/>
          <w:color w:val="FF6D09"/>
          <w:sz w:val="22"/>
        </w:rPr>
        <w:t>Windows</w:t>
      </w:r>
      <w:r w:rsidRPr="00C83DF5">
        <w:rPr>
          <w:rFonts w:ascii="Tahoma" w:hAnsi="Tahoma"/>
          <w:color w:val="FF6D09"/>
          <w:sz w:val="22"/>
          <w:vertAlign w:val="superscript"/>
        </w:rPr>
        <w:t>®</w:t>
      </w:r>
      <w:r w:rsidRPr="00C83DF5">
        <w:rPr>
          <w:rFonts w:ascii="Tahoma" w:hAnsi="Tahoma"/>
          <w:color w:val="FF6D09"/>
          <w:sz w:val="22"/>
        </w:rPr>
        <w:t xml:space="preserve"> 8.1 Pro-Upgrade</w:t>
      </w:r>
      <w:bookmarkEnd w:id="1124"/>
      <w:bookmarkEnd w:id="1129"/>
    </w:p>
    <w:bookmarkEnd w:id="1125"/>
    <w:p w:rsidR="003C65F4" w:rsidRPr="00C83DF5" w:rsidRDefault="003C65F4" w:rsidP="003C65F4"/>
    <w:p w:rsidR="00B73A46" w:rsidRPr="00C83DF5" w:rsidRDefault="00B73A46" w:rsidP="00435C70">
      <w:pPr>
        <w:pStyle w:val="FootnoteBulletLevel1"/>
        <w:tabs>
          <w:tab w:val="clear" w:pos="900"/>
        </w:tabs>
        <w:adjustRightInd/>
        <w:spacing w:before="0" w:after="60"/>
        <w:ind w:left="720" w:firstLine="0"/>
        <w:textAlignment w:val="auto"/>
      </w:pPr>
      <w:r w:rsidRPr="00C83DF5">
        <w:rPr>
          <w:rFonts w:ascii="Tahoma" w:hAnsi="Tahoma" w:cs="Tahoma"/>
          <w:b/>
          <w:bCs/>
          <w:sz w:val="18"/>
          <w:szCs w:val="18"/>
        </w:rPr>
        <w:t>Windows 8.1 Pro-Upgrade</w:t>
      </w:r>
    </w:p>
    <w:p w:rsidR="00BB756B" w:rsidRPr="00C83DF5" w:rsidRDefault="00BB756B" w:rsidP="005B5C01">
      <w:pPr>
        <w:ind w:left="720"/>
        <w:rPr>
          <w:lang w:val="de-DE"/>
        </w:rPr>
      </w:pPr>
      <w:r w:rsidRPr="00C83DF5">
        <w:rPr>
          <w:rFonts w:cs="Tahoma"/>
          <w:szCs w:val="18"/>
          <w:lang w:val="de-DE"/>
        </w:rPr>
        <w:t>Volumenlizenzkunden mit Lizenzen für Windows 8 Pro (oder Windows Intune (pro Gerät)) sind für Windows</w:t>
      </w:r>
      <w:r w:rsidR="005B5C01">
        <w:rPr>
          <w:rFonts w:cs="Tahoma"/>
          <w:szCs w:val="18"/>
          <w:lang w:val="de-DE"/>
        </w:rPr>
        <w:t> </w:t>
      </w:r>
      <w:r w:rsidRPr="00C83DF5">
        <w:rPr>
          <w:rFonts w:cs="Tahoma"/>
          <w:szCs w:val="18"/>
          <w:lang w:val="de-DE"/>
        </w:rPr>
        <w:t>8.1 Pro lizenziert, auch wenn die Software Assurance für das Windows Desktop-Betriebssystem vor</w:t>
      </w:r>
      <w:r w:rsidR="005B5C01">
        <w:rPr>
          <w:rFonts w:cs="Tahoma"/>
          <w:szCs w:val="18"/>
          <w:lang w:val="de-DE"/>
        </w:rPr>
        <w:t> </w:t>
      </w:r>
      <w:r w:rsidRPr="00C83DF5">
        <w:rPr>
          <w:rFonts w:cs="Tahoma"/>
          <w:szCs w:val="18"/>
          <w:lang w:val="de-DE"/>
        </w:rPr>
        <w:t>der Freigabe von Windows 8.1 Pro abgelaufen ist.</w:t>
      </w:r>
      <w:r w:rsidR="00E71F46" w:rsidRPr="00C83DF5">
        <w:rPr>
          <w:rFonts w:cs="Tahoma"/>
          <w:szCs w:val="18"/>
          <w:lang w:val="de-DE"/>
        </w:rPr>
        <w:t xml:space="preserve"> </w:t>
      </w:r>
      <w:r w:rsidRPr="00C83DF5">
        <w:rPr>
          <w:rFonts w:cs="Tahoma"/>
          <w:szCs w:val="18"/>
          <w:lang w:val="de-DE"/>
        </w:rPr>
        <w:t>Dies gilt nicht für Windows 8 Enterprise; Sie müssen über aktive Software Assurance für das Windows Desktop-Betriebssystem verfügen, um zur Verwendung von Windows 8.1 Enterprise berechtigt zu sein.</w:t>
      </w:r>
    </w:p>
    <w:p w:rsidR="00BB756B" w:rsidRPr="007025E3" w:rsidRDefault="00BB756B" w:rsidP="00435C70">
      <w:pPr>
        <w:ind w:left="720"/>
        <w:rPr>
          <w:rFonts w:cs="Tahoma"/>
          <w:szCs w:val="18"/>
          <w:u w:val="single"/>
          <w:lang w:val="de-DE"/>
        </w:rPr>
      </w:pPr>
    </w:p>
    <w:p w:rsidR="00B73A46" w:rsidRPr="00C83DF5" w:rsidRDefault="00B73A46" w:rsidP="00435C70">
      <w:pPr>
        <w:ind w:left="720"/>
        <w:rPr>
          <w:lang w:val="de-DE"/>
        </w:rPr>
      </w:pPr>
      <w:r w:rsidRPr="00C83DF5">
        <w:rPr>
          <w:rFonts w:cs="Tahoma"/>
          <w:szCs w:val="18"/>
          <w:u w:val="single"/>
          <w:lang w:val="de-DE"/>
        </w:rPr>
        <w:t>Betriebssystem-Upgrade-Lizenz</w:t>
      </w:r>
    </w:p>
    <w:p w:rsidR="00B73A46" w:rsidRPr="00C83DF5" w:rsidRDefault="00B73A46" w:rsidP="00435C70">
      <w:pPr>
        <w:pStyle w:val="FootnoteBulletLevel1"/>
        <w:tabs>
          <w:tab w:val="clear" w:pos="900"/>
        </w:tabs>
        <w:adjustRightInd/>
        <w:spacing w:before="0" w:after="0"/>
        <w:ind w:left="720" w:hanging="7"/>
        <w:textAlignment w:val="auto"/>
        <w:rPr>
          <w:lang w:val="de-DE"/>
        </w:rPr>
      </w:pPr>
      <w:r w:rsidRPr="00C83DF5">
        <w:rPr>
          <w:rFonts w:ascii="Tahoma" w:hAnsi="Tahoma" w:cs="Tahoma"/>
          <w:sz w:val="18"/>
          <w:szCs w:val="18"/>
          <w:lang w:val="de-DE"/>
        </w:rPr>
        <w:t>Die gewährten Desktop-Betriebssystemlizenzen sind ausschließlich Upgrade-Lizenzen. Es sind keine Lizenzen für Vollversionen von Desktop-Betriebssystemen verfügbar. Daher muss jeder Desktop, für den Sie das Windows 8.1 Pro-Upgrade erwerben und auf dem Sie es ausführen, zur Ausführung eines der unten genannten qualifizierenden Betriebssysteme lizenziert sein.</w:t>
      </w:r>
    </w:p>
    <w:p w:rsidR="00435C70" w:rsidRPr="007025E3" w:rsidRDefault="00435C70" w:rsidP="00435C70">
      <w:pPr>
        <w:ind w:left="720"/>
        <w:rPr>
          <w:rFonts w:cs="Tahoma"/>
          <w:szCs w:val="18"/>
          <w:u w:val="single"/>
          <w:lang w:val="de-DE"/>
        </w:rPr>
      </w:pPr>
    </w:p>
    <w:p w:rsidR="00966D80" w:rsidRPr="007025E3" w:rsidRDefault="00966D80" w:rsidP="00435C70">
      <w:pPr>
        <w:ind w:left="720"/>
        <w:rPr>
          <w:rFonts w:cs="Tahoma"/>
          <w:szCs w:val="18"/>
          <w:u w:val="single"/>
          <w:lang w:val="de-DE"/>
        </w:rPr>
      </w:pPr>
    </w:p>
    <w:p w:rsidR="00966D80" w:rsidRPr="007025E3" w:rsidRDefault="00966D80" w:rsidP="00435C70">
      <w:pPr>
        <w:ind w:left="720"/>
        <w:rPr>
          <w:rFonts w:cs="Tahoma"/>
          <w:szCs w:val="18"/>
          <w:u w:val="single"/>
          <w:lang w:val="de-DE"/>
        </w:rPr>
      </w:pPr>
    </w:p>
    <w:p w:rsidR="00966D80" w:rsidRPr="007025E3" w:rsidRDefault="00966D80" w:rsidP="00435C70">
      <w:pPr>
        <w:ind w:left="720"/>
        <w:rPr>
          <w:rFonts w:cs="Tahoma"/>
          <w:szCs w:val="18"/>
          <w:u w:val="single"/>
          <w:lang w:val="de-DE"/>
        </w:rPr>
      </w:pPr>
    </w:p>
    <w:p w:rsidR="00966D80" w:rsidRPr="007025E3" w:rsidRDefault="00966D80" w:rsidP="00435C70">
      <w:pPr>
        <w:ind w:left="720"/>
        <w:rPr>
          <w:rFonts w:cs="Tahoma"/>
          <w:szCs w:val="18"/>
          <w:u w:val="single"/>
          <w:lang w:val="de-DE"/>
        </w:rPr>
      </w:pPr>
    </w:p>
    <w:p w:rsidR="00966D80" w:rsidRPr="007025E3" w:rsidRDefault="00966D80" w:rsidP="00435C70">
      <w:pPr>
        <w:ind w:left="720"/>
        <w:rPr>
          <w:rFonts w:cs="Tahoma"/>
          <w:szCs w:val="18"/>
          <w:u w:val="single"/>
          <w:lang w:val="de-DE"/>
        </w:rPr>
      </w:pPr>
    </w:p>
    <w:p w:rsidR="00966D80" w:rsidRPr="007025E3" w:rsidRDefault="00966D80" w:rsidP="00435C70">
      <w:pPr>
        <w:ind w:left="720"/>
        <w:rPr>
          <w:rFonts w:cs="Tahoma"/>
          <w:szCs w:val="18"/>
          <w:u w:val="single"/>
          <w:lang w:val="de-DE"/>
        </w:rPr>
      </w:pPr>
    </w:p>
    <w:p w:rsidR="00966D80" w:rsidRPr="007025E3" w:rsidRDefault="00966D80" w:rsidP="00435C70">
      <w:pPr>
        <w:ind w:left="720"/>
        <w:rPr>
          <w:rFonts w:cs="Tahoma"/>
          <w:szCs w:val="18"/>
          <w:u w:val="single"/>
          <w:lang w:val="de-DE"/>
        </w:rPr>
      </w:pPr>
    </w:p>
    <w:p w:rsidR="00B24C9D" w:rsidRPr="00C83DF5" w:rsidRDefault="00B73A46" w:rsidP="009C2B6B">
      <w:pPr>
        <w:ind w:left="720"/>
      </w:pPr>
      <w:r w:rsidRPr="00C83DF5">
        <w:rPr>
          <w:rFonts w:cs="Tahoma"/>
          <w:szCs w:val="18"/>
          <w:u w:val="single"/>
        </w:rPr>
        <w:lastRenderedPageBreak/>
        <w:t>Regeln für qualifizierende Betriebssysteme</w:t>
      </w:r>
    </w:p>
    <w:p w:rsidR="00B73A46" w:rsidRPr="00C83DF5" w:rsidRDefault="00B73A46" w:rsidP="00346F4B">
      <w:pPr>
        <w:numPr>
          <w:ilvl w:val="1"/>
          <w:numId w:val="84"/>
        </w:numPr>
        <w:spacing w:after="60"/>
        <w:ind w:left="1440"/>
        <w:rPr>
          <w:lang w:val="de-DE"/>
        </w:rPr>
      </w:pPr>
      <w:r w:rsidRPr="00C83DF5">
        <w:rPr>
          <w:rFonts w:cs="Tahoma"/>
          <w:szCs w:val="18"/>
          <w:lang w:val="de-DE"/>
        </w:rPr>
        <w:t>Das qualifizierende Betriebssystem muss auf dem Gerät installiert sein, dem die VL-Upgrade-Lizenz zugewiesen wird.</w:t>
      </w:r>
    </w:p>
    <w:p w:rsidR="00827F06" w:rsidRPr="00C83DF5" w:rsidRDefault="00827F06" w:rsidP="00346F4B">
      <w:pPr>
        <w:numPr>
          <w:ilvl w:val="2"/>
          <w:numId w:val="85"/>
        </w:numPr>
        <w:spacing w:after="60"/>
        <w:ind w:left="1980"/>
        <w:rPr>
          <w:lang w:val="de-DE"/>
        </w:rPr>
      </w:pPr>
      <w:r w:rsidRPr="00C83DF5">
        <w:rPr>
          <w:color w:val="000000"/>
          <w:lang w:val="de-DE"/>
        </w:rPr>
        <w:t>Apple Macintosh ist nur ein qualifizierendes Betriebssystem, wenn es vom autorisierten Hersteller vor dem ersten Verkauf des Computers vorinstalliert wird.</w:t>
      </w:r>
    </w:p>
    <w:p w:rsidR="00B73A46" w:rsidRPr="00C83DF5" w:rsidRDefault="00B73A46" w:rsidP="00346F4B">
      <w:pPr>
        <w:numPr>
          <w:ilvl w:val="1"/>
          <w:numId w:val="86"/>
        </w:numPr>
        <w:spacing w:after="60"/>
        <w:ind w:left="1440"/>
        <w:rPr>
          <w:lang w:val="de-DE"/>
        </w:rPr>
      </w:pPr>
      <w:r w:rsidRPr="00C83DF5">
        <w:rPr>
          <w:rFonts w:cs="Tahoma"/>
          <w:szCs w:val="18"/>
          <w:lang w:val="de-DE"/>
        </w:rPr>
        <w:t xml:space="preserve">Kunden müssen das qualifizierende Betriebssystem von dem Gerät entfernen, um die VL-Upgrade-Lizenz bereitstellen zu können, außer unten ist etwas anderes angegeben. </w:t>
      </w:r>
    </w:p>
    <w:p w:rsidR="00B31BB3" w:rsidRPr="00C83DF5" w:rsidRDefault="00B73A46" w:rsidP="00346F4B">
      <w:pPr>
        <w:numPr>
          <w:ilvl w:val="1"/>
          <w:numId w:val="86"/>
        </w:numPr>
        <w:spacing w:after="60"/>
        <w:ind w:left="1440"/>
        <w:rPr>
          <w:lang w:val="de-DE"/>
        </w:rPr>
      </w:pPr>
      <w:r w:rsidRPr="00C83DF5">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rsidR="00B73A46" w:rsidRPr="00C83DF5" w:rsidRDefault="00B73A46" w:rsidP="00346F4B">
      <w:pPr>
        <w:numPr>
          <w:ilvl w:val="1"/>
          <w:numId w:val="86"/>
        </w:numPr>
        <w:spacing w:after="60"/>
        <w:ind w:left="1440"/>
        <w:rPr>
          <w:lang w:val="de-DE"/>
        </w:rPr>
      </w:pPr>
      <w:r w:rsidRPr="00C83DF5">
        <w:rPr>
          <w:rFonts w:cs="Tahoma"/>
          <w:szCs w:val="18"/>
          <w:lang w:val="de-DE"/>
        </w:rPr>
        <w:t xml:space="preserve">Kunden mit aktiver Software Assurance müssen das qualifizierende Betriebssystem nicht deinstallieren und können dieses zusammen mit Windows 8.1 installieren und ausführen. </w:t>
      </w:r>
    </w:p>
    <w:p w:rsidR="002512D3" w:rsidRPr="007025E3" w:rsidRDefault="002512D3">
      <w:pPr>
        <w:rPr>
          <w:rFonts w:cs="Tahoma"/>
          <w:szCs w:val="18"/>
          <w:lang w:val="de-DE"/>
        </w:rPr>
      </w:pPr>
    </w:p>
    <w:p w:rsidR="00B73A46" w:rsidRPr="00C83DF5" w:rsidRDefault="00B73A46" w:rsidP="002A6416">
      <w:pPr>
        <w:pStyle w:val="EndnoteText"/>
        <w:ind w:left="770"/>
        <w:rPr>
          <w:lang w:val="de-DE"/>
        </w:rPr>
      </w:pPr>
      <w:r w:rsidRPr="00C83DF5">
        <w:rPr>
          <w:rFonts w:ascii="Tahoma" w:hAnsi="Tahoma" w:cs="Tahoma"/>
          <w:sz w:val="18"/>
          <w:szCs w:val="18"/>
          <w:lang w:val="de-DE"/>
        </w:rPr>
        <w:t>Die qualifizierenden Betriebssysteme nach Programmart sind:</w:t>
      </w:r>
    </w:p>
    <w:p w:rsidR="00B73A46" w:rsidRPr="007025E3" w:rsidRDefault="00B73A46" w:rsidP="00B73A46">
      <w:pPr>
        <w:pStyle w:val="EndnoteText"/>
        <w:rPr>
          <w:rFonts w:ascii="Tahoma" w:hAnsi="Tahoma" w:cs="Tahoma"/>
          <w:sz w:val="18"/>
          <w:szCs w:val="18"/>
          <w:lang w:val="de-DE"/>
        </w:rPr>
      </w:pPr>
    </w:p>
    <w:tbl>
      <w:tblPr>
        <w:tblW w:w="9113" w:type="dxa"/>
        <w:tblInd w:w="878" w:type="dxa"/>
        <w:tblLayout w:type="fixed"/>
        <w:tblCellMar>
          <w:left w:w="0" w:type="dxa"/>
          <w:right w:w="0" w:type="dxa"/>
        </w:tblCellMar>
        <w:tblLook w:val="04A0" w:firstRow="1" w:lastRow="0" w:firstColumn="1" w:lastColumn="0" w:noHBand="0" w:noVBand="1"/>
      </w:tblPr>
      <w:tblGrid>
        <w:gridCol w:w="2867"/>
        <w:gridCol w:w="1098"/>
        <w:gridCol w:w="1221"/>
        <w:gridCol w:w="1092"/>
        <w:gridCol w:w="1422"/>
        <w:gridCol w:w="1413"/>
      </w:tblGrid>
      <w:tr w:rsidR="00F96D0C" w:rsidRPr="004D388E" w:rsidTr="00F96D0C">
        <w:trPr>
          <w:trHeight w:val="900"/>
          <w:tblHeader/>
        </w:trPr>
        <w:tc>
          <w:tcPr>
            <w:tcW w:w="2867"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C83DF5" w:rsidRDefault="009B3FA2" w:rsidP="00026546">
            <w:pPr>
              <w:jc w:val="center"/>
              <w:rPr>
                <w:rFonts w:eastAsia="Calibri" w:cs="Tahoma"/>
                <w:b/>
                <w:bCs/>
                <w:szCs w:val="18"/>
              </w:rPr>
            </w:pPr>
            <w:r w:rsidRPr="00C83DF5">
              <w:rPr>
                <w:rFonts w:cs="Tahoma"/>
                <w:b/>
                <w:bCs/>
                <w:szCs w:val="18"/>
              </w:rPr>
              <w:t>Qualifizierende Betriebssysteme</w:t>
            </w:r>
          </w:p>
        </w:tc>
        <w:tc>
          <w:tcPr>
            <w:tcW w:w="109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9B3FA2">
            <w:pPr>
              <w:jc w:val="center"/>
              <w:rPr>
                <w:rFonts w:eastAsia="Calibri" w:cs="Tahoma"/>
                <w:b/>
                <w:bCs/>
                <w:sz w:val="16"/>
                <w:szCs w:val="18"/>
              </w:rPr>
            </w:pPr>
            <w:r w:rsidRPr="00C83DF5">
              <w:rPr>
                <w:rFonts w:cs="Tahoma"/>
                <w:b/>
                <w:bCs/>
                <w:sz w:val="16"/>
                <w:szCs w:val="18"/>
              </w:rPr>
              <w:t>EA/OV-CW</w:t>
            </w:r>
            <w:r w:rsidRPr="00C83DF5">
              <w:rPr>
                <w:rFonts w:cs="Tahoma"/>
                <w:b/>
                <w:bCs/>
                <w:sz w:val="16"/>
                <w:szCs w:val="18"/>
              </w:rPr>
              <w:br/>
              <w:t>(neu)</w:t>
            </w:r>
          </w:p>
        </w:tc>
        <w:tc>
          <w:tcPr>
            <w:tcW w:w="122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9B3FA2">
            <w:pPr>
              <w:jc w:val="center"/>
              <w:rPr>
                <w:rFonts w:eastAsia="Calibri" w:cs="Tahoma"/>
                <w:b/>
                <w:bCs/>
                <w:sz w:val="16"/>
                <w:szCs w:val="18"/>
              </w:rPr>
            </w:pPr>
            <w:r w:rsidRPr="00C83DF5">
              <w:rPr>
                <w:rFonts w:cs="Tahoma"/>
                <w:b/>
                <w:bCs/>
                <w:sz w:val="16"/>
                <w:szCs w:val="18"/>
              </w:rPr>
              <w:t>EA/OV-CW (vorhanden)</w:t>
            </w:r>
          </w:p>
        </w:tc>
        <w:tc>
          <w:tcPr>
            <w:tcW w:w="109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9B3FA2">
            <w:pPr>
              <w:jc w:val="center"/>
              <w:rPr>
                <w:rFonts w:eastAsia="Calibri" w:cs="Tahoma"/>
                <w:b/>
                <w:bCs/>
                <w:sz w:val="16"/>
                <w:szCs w:val="18"/>
                <w:lang w:val="de-DE"/>
              </w:rPr>
            </w:pPr>
            <w:r w:rsidRPr="00C83DF5">
              <w:rPr>
                <w:rFonts w:cs="Tahoma"/>
                <w:b/>
                <w:bCs/>
                <w:sz w:val="16"/>
                <w:szCs w:val="18"/>
                <w:lang w:val="de-DE"/>
              </w:rPr>
              <w:t>Select (alle außer Forschung &amp; Lehre</w:t>
            </w:r>
          </w:p>
        </w:tc>
        <w:tc>
          <w:tcPr>
            <w:tcW w:w="142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966D80">
            <w:pPr>
              <w:jc w:val="center"/>
              <w:rPr>
                <w:rFonts w:eastAsia="Calibri" w:cs="Tahoma"/>
                <w:b/>
                <w:bCs/>
                <w:sz w:val="16"/>
                <w:szCs w:val="18"/>
                <w:lang w:val="de-DE"/>
              </w:rPr>
            </w:pPr>
            <w:r w:rsidRPr="00C83DF5">
              <w:rPr>
                <w:rFonts w:cs="Tahoma"/>
                <w:b/>
                <w:bCs/>
                <w:sz w:val="16"/>
                <w:szCs w:val="18"/>
                <w:lang w:val="de-DE"/>
              </w:rPr>
              <w:t>Open (alle</w:t>
            </w:r>
            <w:r w:rsidR="00966D80">
              <w:rPr>
                <w:rFonts w:cs="Tahoma"/>
                <w:b/>
                <w:bCs/>
                <w:sz w:val="16"/>
                <w:szCs w:val="18"/>
                <w:lang w:val="de-DE"/>
              </w:rPr>
              <w:t> </w:t>
            </w:r>
            <w:r w:rsidRPr="00C83DF5">
              <w:rPr>
                <w:rFonts w:cs="Tahoma"/>
                <w:b/>
                <w:bCs/>
                <w:sz w:val="16"/>
                <w:szCs w:val="18"/>
                <w:lang w:val="de-DE"/>
              </w:rPr>
              <w:t>außer Forschung &amp; Lehre und gemeinnützige Einrichtungen und OV-CW)</w:t>
            </w:r>
          </w:p>
        </w:tc>
        <w:tc>
          <w:tcPr>
            <w:tcW w:w="141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50116B">
            <w:pPr>
              <w:jc w:val="center"/>
              <w:rPr>
                <w:rFonts w:eastAsia="Calibri" w:cs="Tahoma"/>
                <w:b/>
                <w:bCs/>
                <w:sz w:val="16"/>
                <w:szCs w:val="18"/>
                <w:lang w:val="de-DE"/>
              </w:rPr>
            </w:pPr>
            <w:r w:rsidRPr="00C83DF5">
              <w:rPr>
                <w:rFonts w:cs="Tahoma"/>
                <w:b/>
                <w:bCs/>
                <w:sz w:val="16"/>
                <w:szCs w:val="18"/>
                <w:lang w:val="de-DE"/>
              </w:rPr>
              <w:t>Forschung &amp; Lehre und gemeinnützige Einrichtungen</w:t>
            </w:r>
          </w:p>
        </w:tc>
      </w:tr>
      <w:tr w:rsidR="00F96D0C" w:rsidRPr="004D388E"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rPr>
                <w:rFonts w:cs="Tahoma"/>
                <w:b/>
                <w:bCs/>
                <w:szCs w:val="18"/>
                <w:lang w:val="de-DE"/>
              </w:rPr>
            </w:pPr>
            <w:r w:rsidRPr="00C83DF5">
              <w:rPr>
                <w:rFonts w:cs="Tahoma"/>
                <w:b/>
                <w:bCs/>
                <w:szCs w:val="18"/>
                <w:lang w:val="de-DE"/>
              </w:rPr>
              <w:t>Windows 8 und Windows 8.1 (32-Bit oder 64-Bit)</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lang w:val="de-DE"/>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lang w:val="de-DE"/>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lang w:val="de-DE"/>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lang w:val="de-DE"/>
              </w:rPr>
            </w:pP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EF7CDD">
            <w:pPr>
              <w:ind w:left="522"/>
              <w:rPr>
                <w:rFonts w:cs="Tahoma"/>
                <w:b/>
                <w:bCs/>
                <w:szCs w:val="18"/>
              </w:rPr>
            </w:pPr>
            <w:r w:rsidRPr="00C83DF5">
              <w:rPr>
                <w:rFonts w:cs="Tahoma"/>
                <w:szCs w:val="18"/>
              </w:rPr>
              <w:t>Enterprise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335B9" w:rsidP="00713A6C">
            <w:pPr>
              <w:jc w:val="center"/>
              <w:rPr>
                <w:rFonts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394D71">
            <w:pPr>
              <w:ind w:left="522"/>
              <w:rPr>
                <w:rFonts w:cs="Tahoma"/>
                <w:b/>
                <w:bCs/>
                <w:szCs w:val="18"/>
                <w:lang w:val="de-DE"/>
              </w:rPr>
            </w:pPr>
            <w:r w:rsidRPr="00C83DF5">
              <w:rPr>
                <w:rFonts w:cs="Tahoma"/>
                <w:szCs w:val="18"/>
                <w:lang w:val="de-DE"/>
              </w:rPr>
              <w:t>Pro (N, K, KN, Diskless*)</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335B9" w:rsidP="00713A6C">
            <w:pPr>
              <w:jc w:val="center"/>
              <w:rPr>
                <w:rFonts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861F15">
            <w:pPr>
              <w:ind w:left="522"/>
              <w:rPr>
                <w:rFonts w:cs="Tahoma"/>
                <w:b/>
                <w:bCs/>
                <w:szCs w:val="18"/>
              </w:rPr>
            </w:pPr>
            <w:r w:rsidRPr="00C83DF5">
              <w:rPr>
                <w:rFonts w:cs="Tahoma"/>
                <w:szCs w:val="18"/>
              </w:rPr>
              <w:t>Windows 8 und Windows</w:t>
            </w:r>
            <w:r w:rsidR="00861F15">
              <w:rPr>
                <w:rFonts w:cs="Tahoma"/>
                <w:szCs w:val="18"/>
              </w:rPr>
              <w:t> </w:t>
            </w:r>
            <w:r w:rsidRPr="00C83DF5">
              <w:rPr>
                <w:rFonts w:cs="Tahoma"/>
                <w:szCs w:val="18"/>
              </w:rPr>
              <w:t>8.1</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8643A3" w:rsidP="00713A6C">
            <w:pPr>
              <w:jc w:val="center"/>
              <w:rPr>
                <w:rFonts w:cs="Tahoma"/>
                <w:szCs w:val="18"/>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C83DF5" w:rsidRDefault="006C2A69" w:rsidP="00713A6C">
            <w:pPr>
              <w:jc w:val="center"/>
              <w:rPr>
                <w:rFonts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C83DF5" w:rsidRDefault="00EF7CDD" w:rsidP="00EF7CDD">
            <w:pPr>
              <w:ind w:left="522"/>
              <w:rPr>
                <w:rFonts w:cs="Tahoma"/>
                <w:szCs w:val="18"/>
              </w:rPr>
            </w:pPr>
            <w:r w:rsidRPr="00C83DF5">
              <w:rPr>
                <w:rFonts w:cs="Tahoma"/>
                <w:szCs w:val="18"/>
              </w:rPr>
              <w:t>Windows 8 und Windows 8.1 Single Language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83DF5" w:rsidRDefault="00EF7CDD" w:rsidP="00713A6C">
            <w:pPr>
              <w:jc w:val="center"/>
              <w:rPr>
                <w:rFonts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83DF5" w:rsidRDefault="00EF7CDD" w:rsidP="00713A6C">
            <w:pPr>
              <w:jc w:val="center"/>
              <w:rPr>
                <w:rFonts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83DF5" w:rsidRDefault="00EF7CDD" w:rsidP="00713A6C">
            <w:pPr>
              <w:jc w:val="center"/>
              <w:rPr>
                <w:rFonts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83DF5" w:rsidRDefault="00EF7CDD" w:rsidP="00713A6C">
            <w:pPr>
              <w:jc w:val="center"/>
              <w:rPr>
                <w:rFonts w:cs="Tahoma"/>
                <w:szCs w:val="18"/>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C83DF5" w:rsidRDefault="00EF7CDD" w:rsidP="00713A6C">
            <w:pPr>
              <w:jc w:val="center"/>
              <w:rPr>
                <w:rFonts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861F15">
            <w:pPr>
              <w:rPr>
                <w:rFonts w:eastAsia="Calibri" w:cs="Tahoma"/>
                <w:b/>
                <w:bCs/>
                <w:szCs w:val="18"/>
              </w:rPr>
            </w:pPr>
            <w:r w:rsidRPr="00C83DF5">
              <w:rPr>
                <w:rFonts w:cs="Tahoma"/>
                <w:b/>
                <w:bCs/>
                <w:szCs w:val="18"/>
              </w:rPr>
              <w:t xml:space="preserve">Windows 7 </w:t>
            </w:r>
            <w:r w:rsidR="00861F15">
              <w:rPr>
                <w:rFonts w:cs="Tahoma"/>
                <w:b/>
                <w:bCs/>
                <w:szCs w:val="18"/>
              </w:rPr>
              <w:br/>
            </w:r>
            <w:r w:rsidRPr="00C83DF5">
              <w:rPr>
                <w:rFonts w:cs="Tahoma"/>
                <w:b/>
                <w:bCs/>
                <w:szCs w:val="18"/>
              </w:rPr>
              <w:t>(32-Bit oder 64-Bit)</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Enterprise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025E3" w:rsidRDefault="00B73A46" w:rsidP="00861F15">
            <w:pPr>
              <w:ind w:left="522" w:firstLine="18"/>
              <w:rPr>
                <w:rFonts w:eastAsia="Calibri" w:cs="Tahoma"/>
                <w:szCs w:val="18"/>
                <w:lang w:val="pt-BR"/>
              </w:rPr>
            </w:pPr>
            <w:r w:rsidRPr="007025E3">
              <w:rPr>
                <w:rFonts w:cs="Tahoma"/>
                <w:szCs w:val="18"/>
                <w:lang w:val="pt-BR"/>
              </w:rPr>
              <w:t>Professional (N, K, KN,</w:t>
            </w:r>
            <w:r w:rsidR="00861F15" w:rsidRPr="007025E3">
              <w:rPr>
                <w:rFonts w:cs="Tahoma"/>
                <w:szCs w:val="18"/>
                <w:lang w:val="pt-BR"/>
              </w:rPr>
              <w:t> </w:t>
            </w:r>
            <w:r w:rsidRPr="007025E3">
              <w:rPr>
                <w:rFonts w:cs="Tahoma"/>
                <w:szCs w:val="18"/>
                <w:lang w:val="pt-BR"/>
              </w:rPr>
              <w:t>Diskless)</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Ultimate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Home Premium</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Home Basic</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EF7CDD">
            <w:pPr>
              <w:ind w:left="522"/>
              <w:rPr>
                <w:rFonts w:eastAsia="Calibri" w:cs="Tahoma"/>
                <w:szCs w:val="18"/>
              </w:rPr>
            </w:pPr>
            <w:r w:rsidRPr="00C83DF5">
              <w:rPr>
                <w:rFonts w:cs="Tahoma"/>
                <w:szCs w:val="18"/>
              </w:rPr>
              <w:t>Starter Edition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4D388E"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rPr>
                <w:rFonts w:eastAsia="Calibri" w:cs="Tahoma"/>
                <w:b/>
                <w:bCs/>
                <w:szCs w:val="18"/>
                <w:lang w:val="de-DE"/>
              </w:rPr>
            </w:pPr>
            <w:r w:rsidRPr="00C83DF5">
              <w:rPr>
                <w:rFonts w:cs="Tahoma"/>
                <w:b/>
                <w:bCs/>
                <w:szCs w:val="18"/>
                <w:lang w:val="de-DE"/>
              </w:rPr>
              <w:t xml:space="preserve">Windows Vista </w:t>
            </w:r>
            <w:r w:rsidR="00861F15">
              <w:rPr>
                <w:rFonts w:cs="Tahoma"/>
                <w:b/>
                <w:bCs/>
                <w:szCs w:val="18"/>
                <w:lang w:val="de-DE"/>
              </w:rPr>
              <w:br/>
            </w:r>
            <w:r w:rsidRPr="00C83DF5">
              <w:rPr>
                <w:rFonts w:cs="Tahoma"/>
                <w:b/>
                <w:bCs/>
                <w:szCs w:val="18"/>
                <w:lang w:val="de-DE"/>
              </w:rPr>
              <w:t>(32-Bit oder 64-Bit)</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Enterprise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Business (N, K, KN, Blade)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Ultimate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Home Premium</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83DF5" w:rsidRDefault="00B73A46" w:rsidP="00713A6C">
            <w:pPr>
              <w:jc w:val="center"/>
              <w:rPr>
                <w:rFonts w:eastAsia="Calibri" w:cs="Tahoma"/>
                <w:szCs w:val="18"/>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Home Basic</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4C3222">
            <w:pPr>
              <w:ind w:left="522"/>
              <w:rPr>
                <w:rFonts w:eastAsia="Calibri" w:cs="Tahoma"/>
                <w:bCs/>
                <w:szCs w:val="18"/>
              </w:rPr>
            </w:pPr>
            <w:r w:rsidRPr="00C83DF5">
              <w:rPr>
                <w:rFonts w:cs="Tahoma"/>
                <w:szCs w:val="18"/>
              </w:rPr>
              <w:t>Starter Edition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rPr>
            </w:pPr>
            <w:r w:rsidRPr="00C83DF5">
              <w:rPr>
                <w:rFonts w:cs="Tahoma"/>
                <w:szCs w:val="18"/>
              </w:rPr>
              <w:t xml:space="preserve"> </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4D388E"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rPr>
                <w:rFonts w:eastAsia="Calibri" w:cs="Tahoma"/>
                <w:b/>
                <w:szCs w:val="18"/>
                <w:lang w:val="de-DE"/>
              </w:rPr>
            </w:pPr>
            <w:r w:rsidRPr="00C83DF5">
              <w:rPr>
                <w:rFonts w:cs="Tahoma"/>
                <w:b/>
                <w:bCs/>
                <w:szCs w:val="18"/>
                <w:lang w:val="de-DE"/>
              </w:rPr>
              <w:t xml:space="preserve">Windows XP </w:t>
            </w:r>
            <w:r w:rsidR="00861F15">
              <w:rPr>
                <w:rFonts w:cs="Tahoma"/>
                <w:b/>
                <w:bCs/>
                <w:szCs w:val="18"/>
                <w:lang w:val="de-DE"/>
              </w:rPr>
              <w:br/>
            </w:r>
            <w:r w:rsidRPr="00C83DF5">
              <w:rPr>
                <w:rFonts w:cs="Tahoma"/>
                <w:b/>
                <w:bCs/>
                <w:szCs w:val="18"/>
                <w:lang w:val="de-DE"/>
              </w:rPr>
              <w:t>(32-Bit oder 64-Bit)</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r>
      <w:tr w:rsidR="00F96D0C" w:rsidRPr="00916CA9"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ind w:left="564"/>
              <w:rPr>
                <w:rFonts w:eastAsia="Calibri" w:cs="Tahoma"/>
                <w:szCs w:val="18"/>
                <w:lang w:val="de-DE"/>
              </w:rPr>
            </w:pPr>
            <w:r w:rsidRPr="00916CA9">
              <w:rPr>
                <w:rFonts w:cs="Tahoma"/>
                <w:szCs w:val="18"/>
                <w:lang w:val="de-DE"/>
              </w:rPr>
              <w:t xml:space="preserve">Professional </w:t>
            </w:r>
            <w:r w:rsidR="00916CA9" w:rsidRPr="00916CA9">
              <w:rPr>
                <w:rFonts w:cs="Tahoma"/>
                <w:szCs w:val="18"/>
                <w:lang w:val="de-DE"/>
              </w:rPr>
              <w:br/>
            </w:r>
            <w:r w:rsidRPr="00916CA9">
              <w:rPr>
                <w:rFonts w:cs="Tahoma"/>
                <w:szCs w:val="18"/>
                <w:lang w:val="de-DE"/>
              </w:rPr>
              <w:t>(N, K, KN, Blade)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6CA9" w:rsidRDefault="00B73A46" w:rsidP="00713A6C">
            <w:pPr>
              <w:jc w:val="center"/>
              <w:rPr>
                <w:rFonts w:eastAsia="Calibri" w:cs="Tahoma"/>
                <w:szCs w:val="18"/>
                <w:lang w:val="de-DE"/>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r>
      <w:tr w:rsidR="00F96D0C" w:rsidRPr="00916CA9"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ind w:left="564"/>
              <w:rPr>
                <w:rFonts w:eastAsia="Calibri" w:cs="Tahoma"/>
                <w:szCs w:val="18"/>
                <w:lang w:val="de-DE"/>
              </w:rPr>
            </w:pPr>
            <w:r w:rsidRPr="00916CA9">
              <w:rPr>
                <w:rFonts w:cs="Tahoma"/>
                <w:szCs w:val="18"/>
                <w:lang w:val="de-DE"/>
              </w:rPr>
              <w:t xml:space="preserve">Tablet Edition </w:t>
            </w:r>
            <w:r w:rsidR="00916CA9">
              <w:rPr>
                <w:rFonts w:cs="Tahoma"/>
                <w:szCs w:val="18"/>
                <w:lang w:val="de-DE"/>
              </w:rPr>
              <w:br/>
            </w:r>
            <w:r w:rsidRPr="00916CA9">
              <w:rPr>
                <w:rFonts w:cs="Tahoma"/>
                <w:szCs w:val="18"/>
                <w:lang w:val="de-DE"/>
              </w:rPr>
              <w:t>(N, K, KN, Blade)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6CA9" w:rsidRDefault="00B73A46" w:rsidP="00713A6C">
            <w:pPr>
              <w:jc w:val="center"/>
              <w:rPr>
                <w:rFonts w:eastAsia="Calibri" w:cs="Tahoma"/>
                <w:szCs w:val="18"/>
                <w:lang w:val="de-DE"/>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r>
      <w:tr w:rsidR="00F96D0C" w:rsidRPr="00916CA9"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ind w:left="564"/>
              <w:rPr>
                <w:rFonts w:eastAsia="Calibri" w:cs="Tahoma"/>
                <w:szCs w:val="18"/>
                <w:lang w:val="de-DE"/>
              </w:rPr>
            </w:pPr>
            <w:r w:rsidRPr="00916CA9">
              <w:rPr>
                <w:rFonts w:cs="Tahoma"/>
                <w:szCs w:val="18"/>
                <w:lang w:val="de-DE"/>
              </w:rPr>
              <w:lastRenderedPageBreak/>
              <w:t>XP Pro 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6CA9" w:rsidRDefault="00B73A46" w:rsidP="00713A6C">
            <w:pPr>
              <w:jc w:val="center"/>
              <w:rPr>
                <w:rFonts w:eastAsia="Calibri" w:cs="Tahoma"/>
                <w:szCs w:val="18"/>
                <w:lang w:val="de-DE"/>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r>
      <w:tr w:rsidR="00F96D0C" w:rsidRPr="00916CA9"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ind w:left="564"/>
              <w:rPr>
                <w:rFonts w:eastAsia="Calibri" w:cs="Tahoma"/>
                <w:szCs w:val="18"/>
                <w:lang w:val="de-DE"/>
              </w:rPr>
            </w:pPr>
            <w:r w:rsidRPr="00916CA9">
              <w:rPr>
                <w:rFonts w:cs="Tahoma"/>
                <w:szCs w:val="18"/>
                <w:lang w:val="de-DE"/>
              </w:rPr>
              <w:t>XP Pro Blade PC</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6CA9" w:rsidRDefault="00B73A46" w:rsidP="00713A6C">
            <w:pPr>
              <w:jc w:val="center"/>
              <w:rPr>
                <w:rFonts w:eastAsia="Calibri" w:cs="Tahoma"/>
                <w:szCs w:val="18"/>
                <w:lang w:val="de-DE"/>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jc w:val="center"/>
              <w:rPr>
                <w:rFonts w:eastAsia="Calibri" w:cs="Tahoma"/>
                <w:szCs w:val="18"/>
                <w:lang w:val="de-DE"/>
              </w:rPr>
            </w:pPr>
            <w:r w:rsidRPr="00916CA9">
              <w:rPr>
                <w:rFonts w:cs="Tahoma"/>
                <w:szCs w:val="18"/>
                <w:lang w:val="de-DE"/>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ind w:left="564"/>
              <w:rPr>
                <w:rFonts w:eastAsia="Calibri" w:cs="Tahoma"/>
                <w:szCs w:val="18"/>
                <w:lang w:val="de-DE"/>
              </w:rPr>
            </w:pPr>
            <w:r w:rsidRPr="00916CA9">
              <w:rPr>
                <w:rFonts w:cs="Tahoma"/>
                <w:szCs w:val="18"/>
                <w:lang w:val="de-DE"/>
              </w:rPr>
              <w:t>Home Edition, Starter Edition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AD6873" w:rsidP="00713A6C">
            <w:pPr>
              <w:jc w:val="center"/>
              <w:rPr>
                <w:rFonts w:eastAsia="Calibri" w:cs="Tahoma"/>
                <w:szCs w:val="18"/>
                <w:lang w:val="de-DE"/>
              </w:rPr>
            </w:pPr>
            <w:r w:rsidRPr="00916CA9">
              <w:rPr>
                <w:rFonts w:cs="Tahoma"/>
                <w:szCs w:val="18"/>
                <w:lang w:val="de-DE"/>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B73A46" w:rsidP="00713A6C">
            <w:pPr>
              <w:rPr>
                <w:rFonts w:eastAsia="Times New Roman" w:cs="Tahoma"/>
                <w:szCs w:val="18"/>
                <w:lang w:val="de-DE"/>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AD6873" w:rsidP="00713A6C">
            <w:pPr>
              <w:jc w:val="center"/>
              <w:rPr>
                <w:rFonts w:eastAsia="Calibri" w:cs="Tahoma"/>
                <w:szCs w:val="18"/>
                <w:lang w:val="de-DE"/>
              </w:rPr>
            </w:pPr>
            <w:r w:rsidRPr="00916CA9">
              <w:rPr>
                <w:rFonts w:cs="Tahoma"/>
                <w:szCs w:val="18"/>
                <w:lang w:val="de-DE"/>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16CA9" w:rsidRDefault="00AD6873" w:rsidP="00713A6C">
            <w:pPr>
              <w:jc w:val="center"/>
              <w:rPr>
                <w:rFonts w:eastAsia="Calibri" w:cs="Tahoma"/>
                <w:szCs w:val="18"/>
                <w:lang w:val="de-DE"/>
              </w:rPr>
            </w:pPr>
            <w:r w:rsidRPr="00916CA9">
              <w:rPr>
                <w:rFonts w:cs="Tahoma"/>
                <w:szCs w:val="18"/>
                <w:lang w:val="de-DE"/>
              </w:rPr>
              <w:t xml:space="preserve"> </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83DF5" w:rsidRDefault="00B73A46" w:rsidP="00713A6C">
            <w:pPr>
              <w:rPr>
                <w:rFonts w:eastAsia="Calibri" w:cs="Tahoma"/>
                <w:b/>
                <w:szCs w:val="18"/>
              </w:rPr>
            </w:pPr>
            <w:r w:rsidRPr="00C83DF5">
              <w:rPr>
                <w:rFonts w:cs="Tahoma"/>
                <w:b/>
                <w:bCs/>
                <w:szCs w:val="18"/>
              </w:rPr>
              <w:t>Windows 2000 Professional</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rPr>
                <w:rFonts w:eastAsia="Times New Roman"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83DF5" w:rsidRDefault="00B73A46" w:rsidP="00713A6C">
            <w:pPr>
              <w:rPr>
                <w:rFonts w:eastAsia="Calibri" w:cs="Tahoma"/>
                <w:b/>
                <w:bCs/>
                <w:szCs w:val="18"/>
              </w:rPr>
            </w:pPr>
            <w:r w:rsidRPr="00C83DF5">
              <w:rPr>
                <w:rFonts w:cs="Tahoma"/>
                <w:b/>
                <w:bCs/>
                <w:szCs w:val="18"/>
              </w:rPr>
              <w:t>Windows NT Workstation 4.0</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rPr>
                <w:rFonts w:eastAsia="Times New Roman"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83DF5" w:rsidRDefault="00B73A46" w:rsidP="00713A6C">
            <w:pPr>
              <w:rPr>
                <w:rFonts w:eastAsia="Calibri" w:cs="Tahoma"/>
                <w:b/>
                <w:bCs/>
                <w:szCs w:val="18"/>
              </w:rPr>
            </w:pPr>
            <w:r w:rsidRPr="00C83DF5">
              <w:rPr>
                <w:rFonts w:cs="Tahoma"/>
                <w:b/>
                <w:bCs/>
                <w:szCs w:val="18"/>
              </w:rPr>
              <w:t>Windows 98 (einschl. Zweiter Ausgabe)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rPr>
                <w:rFonts w:eastAsia="Times New Roman"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r w:rsidR="00F96D0C" w:rsidRPr="00C83DF5" w:rsidTr="00F96D0C">
        <w:trPr>
          <w:trHeight w:val="255"/>
        </w:trPr>
        <w:tc>
          <w:tcPr>
            <w:tcW w:w="286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83DF5" w:rsidRDefault="00B73A46" w:rsidP="00713A6C">
            <w:pPr>
              <w:rPr>
                <w:rFonts w:eastAsia="Calibri" w:cs="Tahoma"/>
                <w:b/>
                <w:bCs/>
                <w:szCs w:val="18"/>
              </w:rPr>
            </w:pPr>
            <w:r w:rsidRPr="00C83DF5">
              <w:rPr>
                <w:rFonts w:cs="Tahoma"/>
                <w:b/>
                <w:bCs/>
                <w:szCs w:val="18"/>
              </w:rPr>
              <w:t>Apple Macintosh</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rPr>
                <w:rFonts w:eastAsia="Times New Roman" w:cs="Tahoma"/>
                <w:szCs w:val="18"/>
              </w:rPr>
            </w:pP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r>
    </w:tbl>
    <w:p w:rsidR="00B73A46" w:rsidRPr="00C83DF5" w:rsidRDefault="00B73A46" w:rsidP="002A6416">
      <w:pPr>
        <w:ind w:left="770"/>
      </w:pPr>
      <w:r w:rsidRPr="00C83DF5">
        <w:rPr>
          <w:rFonts w:cs="Tahoma"/>
          <w:bCs/>
          <w:i/>
          <w:iCs/>
          <w:sz w:val="14"/>
          <w:szCs w:val="14"/>
          <w:u w:val="single"/>
        </w:rPr>
        <w:t>Anmerkung</w:t>
      </w:r>
      <w:r w:rsidRPr="00C83DF5">
        <w:rPr>
          <w:rFonts w:cs="Tahoma"/>
          <w:i/>
          <w:iCs/>
          <w:sz w:val="14"/>
          <w:szCs w:val="14"/>
        </w:rPr>
        <w:t xml:space="preserve">: </w:t>
      </w:r>
      <w:r w:rsidRPr="00C83DF5">
        <w:rPr>
          <w:rFonts w:cs="Tahoma"/>
          <w:i/>
          <w:iCs/>
          <w:sz w:val="14"/>
          <w:szCs w:val="14"/>
        </w:rPr>
        <w:br/>
        <w:t>Forschung &amp; Lehre umfasst den Campus- und School-Vertrag, die Programme Open Value Subscription – Bildungslösungen, Select – Forschung &amp; Lehre sowie Open – Forschung &amp; Lehre</w:t>
      </w:r>
      <w:r w:rsidRPr="00C83DF5">
        <w:rPr>
          <w:rFonts w:cs="Tahoma"/>
          <w:i/>
          <w:iCs/>
          <w:sz w:val="14"/>
          <w:szCs w:val="14"/>
        </w:rPr>
        <w:br/>
        <w:t>EA = Enterprise Agreement (Konzernvertrag)</w:t>
      </w:r>
      <w:r w:rsidRPr="00C83DF5">
        <w:rPr>
          <w:rFonts w:cs="Tahoma"/>
          <w:i/>
          <w:iCs/>
          <w:sz w:val="14"/>
          <w:szCs w:val="14"/>
        </w:rPr>
        <w:br/>
        <w:t>OV-CW = Open Value - unternehmensweite Option</w:t>
      </w:r>
    </w:p>
    <w:p w:rsidR="00B73A46" w:rsidRPr="00C83DF5" w:rsidRDefault="00B73A46" w:rsidP="002A6416">
      <w:pPr>
        <w:ind w:left="770"/>
        <w:rPr>
          <w:lang w:val="de-DE"/>
        </w:rPr>
      </w:pPr>
      <w:r w:rsidRPr="00C83DF5">
        <w:rPr>
          <w:rFonts w:cs="Tahoma"/>
          <w:i/>
          <w:iCs/>
          <w:sz w:val="14"/>
          <w:szCs w:val="14"/>
          <w:lang w:val="de-DE"/>
        </w:rPr>
        <w:t>N, K und KN sind Spezialversionen, die nur in bestimmten Märkten verfügbar sind.</w:t>
      </w:r>
    </w:p>
    <w:p w:rsidR="00BB756B" w:rsidRPr="00C83DF5" w:rsidRDefault="00BB756B" w:rsidP="002A6416">
      <w:pPr>
        <w:ind w:left="770"/>
        <w:rPr>
          <w:lang w:val="de-DE"/>
        </w:rPr>
      </w:pPr>
      <w:r w:rsidRPr="00C83DF5">
        <w:rPr>
          <w:rFonts w:cs="Tahoma"/>
          <w:i/>
          <w:iCs/>
          <w:sz w:val="14"/>
          <w:szCs w:val="14"/>
          <w:lang w:val="de-DE"/>
        </w:rPr>
        <w:t>* Gilt nur für Windows 8.1.</w:t>
      </w:r>
    </w:p>
    <w:p w:rsidR="002512D3" w:rsidRPr="007025E3" w:rsidRDefault="002512D3">
      <w:pPr>
        <w:rPr>
          <w:rFonts w:cs="Tahoma"/>
          <w:szCs w:val="18"/>
          <w:lang w:val="de-DE"/>
        </w:rPr>
      </w:pPr>
    </w:p>
    <w:p w:rsidR="00BB756B" w:rsidRPr="00CE4221" w:rsidRDefault="00BB756B" w:rsidP="00BB756B">
      <w:pPr>
        <w:pStyle w:val="FootnoteBulletLevel1"/>
        <w:tabs>
          <w:tab w:val="clear" w:pos="900"/>
        </w:tabs>
        <w:spacing w:before="0" w:after="0"/>
        <w:ind w:left="720" w:firstLine="0"/>
        <w:rPr>
          <w:rFonts w:ascii="Tahoma" w:hAnsi="Tahoma" w:cs="Tahoma"/>
          <w:sz w:val="18"/>
          <w:szCs w:val="18"/>
          <w:lang w:val="de-DE"/>
        </w:rPr>
      </w:pPr>
      <w:r w:rsidRPr="00CE4221">
        <w:rPr>
          <w:rFonts w:ascii="Tahoma" w:hAnsi="Tahoma" w:cs="Tahoma"/>
          <w:sz w:val="18"/>
          <w:szCs w:val="18"/>
          <w:lang w:val="de-DE"/>
        </w:rPr>
        <w:t>Oben nicht aufgeführte Betriebssysteme sind nicht qualifiziert, z. B.:</w:t>
      </w:r>
    </w:p>
    <w:p w:rsidR="00BB756B" w:rsidRPr="00CE4221" w:rsidRDefault="00BB756B" w:rsidP="00BB756B">
      <w:pPr>
        <w:pStyle w:val="FootnoteBulletLevel1"/>
        <w:tabs>
          <w:tab w:val="clear" w:pos="900"/>
        </w:tabs>
        <w:spacing w:before="0" w:after="0"/>
        <w:ind w:left="720" w:firstLine="0"/>
        <w:rPr>
          <w:rFonts w:ascii="Tahoma" w:hAnsi="Tahoma" w:cs="Tahoma"/>
          <w:sz w:val="18"/>
          <w:szCs w:val="18"/>
          <w:lang w:val="de-DE"/>
        </w:rPr>
      </w:pPr>
    </w:p>
    <w:p w:rsidR="00BB756B" w:rsidRPr="00CE4221"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de-DE"/>
        </w:rPr>
      </w:pPr>
      <w:r w:rsidRPr="00CE4221">
        <w:rPr>
          <w:rFonts w:ascii="Tahoma" w:hAnsi="Tahoma" w:cs="Tahoma"/>
          <w:sz w:val="18"/>
          <w:szCs w:val="18"/>
          <w:lang w:val="de-DE"/>
        </w:rPr>
        <w:t>Eingebettete Systeme (z. B. Windows Embedded 8.1 Industry Pro, Windows XP Embedded) sind nicht für das Windows 8.1 Pro-Upgrade qualifiziert.</w:t>
      </w:r>
    </w:p>
    <w:p w:rsidR="00BB756B" w:rsidRPr="00CE4221"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de-DE"/>
        </w:rPr>
      </w:pPr>
      <w:r w:rsidRPr="00CE4221">
        <w:rPr>
          <w:rFonts w:ascii="Tahoma" w:hAnsi="Tahoma" w:cs="Tahoma"/>
          <w:sz w:val="18"/>
          <w:szCs w:val="18"/>
          <w:lang w:val="de-DE"/>
        </w:rPr>
        <w:t>Linux oder OS/2 sind nicht für das Windows 8.1 Pro-Upgrade qualifiziert.</w:t>
      </w:r>
    </w:p>
    <w:p w:rsidR="00BB756B" w:rsidRPr="00CE4221"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de-DE"/>
        </w:rPr>
      </w:pPr>
      <w:r w:rsidRPr="00CE4221">
        <w:rPr>
          <w:rFonts w:ascii="Tahoma" w:hAnsi="Tahoma" w:cs="Tahoma"/>
          <w:sz w:val="18"/>
          <w:szCs w:val="18"/>
          <w:lang w:val="de-DE"/>
        </w:rPr>
        <w:t>Die Client-Zugriffslizenz für Windows Terminal Services ist nicht für das Windows 8.1 Pro-Upgrade qualifiziert.</w:t>
      </w:r>
    </w:p>
    <w:p w:rsidR="00BB756B" w:rsidRPr="00CE4221" w:rsidRDefault="00BB756B" w:rsidP="00B24C9D">
      <w:pPr>
        <w:ind w:left="720"/>
        <w:rPr>
          <w:rFonts w:cs="Tahoma"/>
          <w:szCs w:val="18"/>
          <w:lang w:val="de-DE"/>
        </w:rPr>
      </w:pPr>
    </w:p>
    <w:p w:rsidR="00B73A46" w:rsidRPr="00CE4221" w:rsidRDefault="00B73A46" w:rsidP="00B24C9D">
      <w:pPr>
        <w:ind w:left="720"/>
        <w:rPr>
          <w:rFonts w:cs="Tahoma"/>
          <w:szCs w:val="18"/>
          <w:lang w:val="de-DE"/>
        </w:rPr>
      </w:pPr>
      <w:r w:rsidRPr="00CE4221">
        <w:rPr>
          <w:rFonts w:cs="Tahoma"/>
          <w:szCs w:val="18"/>
          <w:lang w:val="de-DE"/>
        </w:rPr>
        <w:t>Für das Re-imaging von Windows gelten die folgenden Anforderungen:</w:t>
      </w:r>
    </w:p>
    <w:p w:rsidR="00B73A46" w:rsidRPr="00CE4221" w:rsidRDefault="00B73A46" w:rsidP="00B24C9D">
      <w:pPr>
        <w:ind w:left="720"/>
        <w:rPr>
          <w:rFonts w:cs="Tahoma"/>
          <w:szCs w:val="18"/>
          <w:lang w:val="de-DE"/>
        </w:rPr>
      </w:pPr>
    </w:p>
    <w:p w:rsidR="00912205" w:rsidRPr="00CE4221" w:rsidRDefault="00912205" w:rsidP="00916CA9">
      <w:pPr>
        <w:pStyle w:val="ColorfulList-Accent11"/>
        <w:numPr>
          <w:ilvl w:val="0"/>
          <w:numId w:val="33"/>
        </w:numPr>
        <w:ind w:left="1440"/>
        <w:rPr>
          <w:rFonts w:ascii="Tahoma" w:hAnsi="Tahoma" w:cs="Tahoma"/>
          <w:sz w:val="18"/>
          <w:szCs w:val="18"/>
          <w:lang w:val="de-DE"/>
        </w:rPr>
      </w:pPr>
      <w:r w:rsidRPr="00CE4221">
        <w:rPr>
          <w:rFonts w:ascii="Tahoma" w:hAnsi="Tahoma" w:cs="Tahoma"/>
          <w:sz w:val="18"/>
          <w:szCs w:val="18"/>
          <w:lang w:val="de-DE"/>
        </w:rPr>
        <w:t>Wenn ein Dritter ein Re-imaging von Windows auf PCs eines Kunden durchführen möchte, muss</w:t>
      </w:r>
      <w:r w:rsidR="00916CA9" w:rsidRPr="00CE4221">
        <w:rPr>
          <w:rFonts w:ascii="Tahoma" w:hAnsi="Tahoma" w:cs="Tahoma"/>
          <w:sz w:val="18"/>
          <w:szCs w:val="18"/>
          <w:lang w:val="de-DE"/>
        </w:rPr>
        <w:t> </w:t>
      </w:r>
      <w:r w:rsidRPr="00CE4221">
        <w:rPr>
          <w:rFonts w:ascii="Tahoma" w:hAnsi="Tahoma" w:cs="Tahoma"/>
          <w:sz w:val="18"/>
          <w:szCs w:val="18"/>
          <w:lang w:val="de-DE"/>
        </w:rPr>
        <w:t>der Kunde diesem Dritten zunächst eine schriftliche Dokumentation bereitstellen, die belegt, dass</w:t>
      </w:r>
      <w:r w:rsidR="00916CA9" w:rsidRPr="00CE4221">
        <w:rPr>
          <w:rFonts w:ascii="Tahoma" w:hAnsi="Tahoma" w:cs="Tahoma"/>
          <w:sz w:val="18"/>
          <w:szCs w:val="18"/>
          <w:lang w:val="de-DE"/>
        </w:rPr>
        <w:t> </w:t>
      </w:r>
      <w:r w:rsidRPr="00CE4221">
        <w:rPr>
          <w:rFonts w:ascii="Tahoma" w:hAnsi="Tahoma" w:cs="Tahoma"/>
          <w:sz w:val="18"/>
          <w:szCs w:val="18"/>
          <w:lang w:val="de-DE"/>
        </w:rPr>
        <w:t>der Kunde über Lizenzen für die Software verfügt, die der Dritte installieren möchte.</w:t>
      </w:r>
      <w:r w:rsidR="00E71F46" w:rsidRPr="00CE4221">
        <w:rPr>
          <w:rFonts w:ascii="Tahoma" w:hAnsi="Tahoma" w:cs="Tahoma"/>
          <w:sz w:val="18"/>
          <w:szCs w:val="18"/>
          <w:lang w:val="de-DE"/>
        </w:rPr>
        <w:t xml:space="preserve"> </w:t>
      </w:r>
      <w:r w:rsidRPr="00CE4221">
        <w:rPr>
          <w:rFonts w:ascii="Tahoma" w:hAnsi="Tahoma" w:cs="Tahoma"/>
          <w:sz w:val="18"/>
          <w:szCs w:val="18"/>
          <w:lang w:val="de-DE"/>
        </w:rPr>
        <w:t>Als Dokumentation eignet sich beispielsweise eine Kopie des Formblattes für Unterschriften von dem Microsoft-Volumenlizenzvertrag, der auf die zu installierende Upgradesoftware für das Microsoft-Betriebssystem anwendbar ist, oder das Dokument mit dem Titel „Microsoft Customer License Verification for Upgrade Installation Services of Microsoft Windows Operating System Software by</w:t>
      </w:r>
      <w:r w:rsidR="00916CA9" w:rsidRPr="00CE4221">
        <w:rPr>
          <w:rFonts w:ascii="Tahoma" w:hAnsi="Tahoma" w:cs="Tahoma"/>
          <w:sz w:val="18"/>
          <w:szCs w:val="18"/>
          <w:lang w:val="de-DE"/>
        </w:rPr>
        <w:t> </w:t>
      </w:r>
      <w:r w:rsidRPr="00CE4221">
        <w:rPr>
          <w:rFonts w:ascii="Tahoma" w:hAnsi="Tahoma" w:cs="Tahoma"/>
          <w:sz w:val="18"/>
          <w:szCs w:val="18"/>
          <w:lang w:val="de-DE"/>
        </w:rPr>
        <w:t xml:space="preserve">Third Parties“ (Microsoft-Kundenlizenzüberprüfung für Upgrade-Installationsservices für die Betriebssystemsoftware Microsoft Windows durch Dritte), das unter </w:t>
      </w:r>
      <w:hyperlink r:id="rId41" w:history="1">
        <w:r w:rsidRPr="00CE4221">
          <w:rPr>
            <w:rStyle w:val="Hyperlink"/>
            <w:rFonts w:ascii="Tahoma" w:hAnsi="Tahoma" w:cs="Tahoma"/>
            <w:sz w:val="18"/>
            <w:szCs w:val="18"/>
            <w:lang w:val="de-DE"/>
          </w:rPr>
          <w:t>www.microsoft.com/licensing</w:t>
        </w:r>
      </w:hyperlink>
      <w:r w:rsidRPr="00CE4221">
        <w:rPr>
          <w:rFonts w:ascii="Tahoma" w:hAnsi="Tahoma" w:cs="Tahoma"/>
          <w:sz w:val="18"/>
          <w:szCs w:val="18"/>
          <w:lang w:val="de-DE"/>
        </w:rPr>
        <w:t>) verfügbar ist.</w:t>
      </w:r>
    </w:p>
    <w:p w:rsidR="00912205" w:rsidRPr="00CE4221" w:rsidRDefault="00912205" w:rsidP="00912205">
      <w:pPr>
        <w:pStyle w:val="ColorfulList-Accent11"/>
        <w:ind w:left="1440"/>
        <w:rPr>
          <w:rFonts w:ascii="Tahoma" w:hAnsi="Tahoma" w:cs="Tahoma"/>
          <w:sz w:val="18"/>
          <w:szCs w:val="18"/>
          <w:lang w:val="de-DE"/>
        </w:rPr>
      </w:pPr>
    </w:p>
    <w:p w:rsidR="00912205" w:rsidRPr="00CE4221" w:rsidRDefault="00B73A46" w:rsidP="00912205">
      <w:pPr>
        <w:pStyle w:val="ColorfulList-Accent11"/>
        <w:rPr>
          <w:rFonts w:ascii="Tahoma" w:hAnsi="Tahoma" w:cs="Tahoma"/>
          <w:sz w:val="18"/>
          <w:szCs w:val="18"/>
          <w:lang w:val="de-DE"/>
        </w:rPr>
      </w:pPr>
      <w:r w:rsidRPr="00CE4221">
        <w:rPr>
          <w:rFonts w:ascii="Tahoma" w:hAnsi="Tahoma" w:cs="Tahoma"/>
          <w:sz w:val="18"/>
          <w:szCs w:val="18"/>
          <w:u w:val="single"/>
          <w:lang w:val="de-DE"/>
        </w:rPr>
        <w:t>Kunden aus Forschung &amp; Lehre</w:t>
      </w:r>
    </w:p>
    <w:p w:rsidR="00B73A46" w:rsidRPr="00CE4221" w:rsidRDefault="00B73A46" w:rsidP="00912205">
      <w:pPr>
        <w:pStyle w:val="ColorfulList-Accent11"/>
        <w:rPr>
          <w:rFonts w:ascii="Tahoma" w:hAnsi="Tahoma" w:cs="Tahoma"/>
          <w:sz w:val="18"/>
          <w:szCs w:val="18"/>
          <w:lang w:val="de-DE"/>
        </w:rPr>
      </w:pPr>
      <w:r w:rsidRPr="00CE4221">
        <w:rPr>
          <w:rFonts w:ascii="Tahoma" w:hAnsi="Tahoma" w:cs="Tahoma"/>
          <w:sz w:val="18"/>
          <w:szCs w:val="18"/>
          <w:lang w:val="de-DE"/>
        </w:rPr>
        <w:t xml:space="preserve">Select für Forschung &amp; Lehre, Open für Forschung &amp; Lehre, Campus- und School-Vertrag und Open Value Subscription – Bildungslösungskunden dürfen eine Windows-Upgrade-Lizenz mit Windows XP Starter Edition, Windows Vista Starter Edition oder Windows 7 Starter Edition als qualifizierendes Betriebssystem erwerben. </w:t>
      </w:r>
    </w:p>
    <w:p w:rsidR="00B73A46" w:rsidRPr="00CE4221" w:rsidRDefault="00B73A46" w:rsidP="00B24C9D">
      <w:pPr>
        <w:pStyle w:val="ColorfulList-Accent11"/>
        <w:rPr>
          <w:rFonts w:ascii="Tahoma" w:hAnsi="Tahoma" w:cs="Tahoma"/>
          <w:sz w:val="18"/>
          <w:szCs w:val="18"/>
          <w:lang w:val="de-DE"/>
        </w:rPr>
      </w:pPr>
    </w:p>
    <w:p w:rsidR="00B73A46" w:rsidRPr="00CE4221" w:rsidRDefault="00B73A46" w:rsidP="00B24C9D">
      <w:pPr>
        <w:pStyle w:val="ColorfulList-Accent11"/>
        <w:rPr>
          <w:rFonts w:ascii="Tahoma" w:hAnsi="Tahoma" w:cs="Tahoma"/>
          <w:sz w:val="18"/>
          <w:szCs w:val="18"/>
          <w:lang w:val="de-DE"/>
        </w:rPr>
      </w:pPr>
      <w:r w:rsidRPr="00CE4221">
        <w:rPr>
          <w:rFonts w:ascii="Tahoma" w:hAnsi="Tahoma" w:cs="Tahoma"/>
          <w:sz w:val="18"/>
          <w:szCs w:val="18"/>
          <w:lang w:val="de-DE"/>
        </w:rPr>
        <w:t xml:space="preserve">Kunden, die das Upgrade auf dieser Grundlage erwerben, verzichten auf das Recht, diese Lizenz außerhalb des Landes, in dem sie erworben wurde, zu nutzen. </w:t>
      </w:r>
    </w:p>
    <w:p w:rsidR="00B24C9D" w:rsidRPr="007025E3" w:rsidRDefault="00B24C9D" w:rsidP="00916CA9">
      <w:pPr>
        <w:pStyle w:val="ColorfulList-Accent11"/>
        <w:rPr>
          <w:rFonts w:ascii="Tahoma" w:hAnsi="Tahoma" w:cs="Tahoma"/>
          <w:sz w:val="18"/>
          <w:szCs w:val="18"/>
          <w:lang w:val="de-DE"/>
        </w:rPr>
      </w:pPr>
    </w:p>
    <w:p w:rsidR="00B73A46" w:rsidRPr="00C83DF5" w:rsidRDefault="005D46BA" w:rsidP="00B24C9D">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Windows Intune (Pro Gerät)</w:t>
      </w:r>
    </w:p>
    <w:p w:rsidR="00EB4202" w:rsidRPr="00C83DF5" w:rsidRDefault="00EB4202" w:rsidP="00EB4202">
      <w:pPr>
        <w:pStyle w:val="FootnoteBulletLevel2"/>
        <w:spacing w:before="0"/>
        <w:ind w:left="720" w:firstLine="0"/>
        <w:rPr>
          <w:lang w:val="de-DE"/>
        </w:rPr>
      </w:pPr>
      <w:r w:rsidRPr="00C83DF5">
        <w:rPr>
          <w:rFonts w:ascii="Tahoma" w:hAnsi="Tahoma" w:cs="Tahoma"/>
          <w:sz w:val="18"/>
          <w:szCs w:val="18"/>
          <w:lang w:val="de-DE"/>
        </w:rPr>
        <w:t>Nähere Informationen finden Sie in der Produktliste von Oktober 2013.</w:t>
      </w:r>
    </w:p>
    <w:p w:rsidR="00EB4202" w:rsidRPr="007025E3" w:rsidRDefault="00EB4202" w:rsidP="00916CA9">
      <w:pPr>
        <w:pStyle w:val="ColorfulList-Accent11"/>
        <w:rPr>
          <w:rFonts w:ascii="Tahoma" w:hAnsi="Tahoma" w:cs="Tahoma"/>
          <w:sz w:val="18"/>
          <w:szCs w:val="18"/>
          <w:lang w:val="de-DE"/>
        </w:rPr>
      </w:pPr>
    </w:p>
    <w:p w:rsidR="00916CA9" w:rsidRPr="007025E3" w:rsidRDefault="00916CA9" w:rsidP="00916CA9">
      <w:pPr>
        <w:pStyle w:val="ColorfulList-Accent11"/>
        <w:rPr>
          <w:rFonts w:ascii="Tahoma" w:hAnsi="Tahoma" w:cs="Tahoma"/>
          <w:sz w:val="18"/>
          <w:szCs w:val="18"/>
          <w:lang w:val="de-DE"/>
        </w:rPr>
      </w:pPr>
    </w:p>
    <w:p w:rsidR="00916CA9" w:rsidRPr="007025E3" w:rsidRDefault="00916CA9" w:rsidP="00916CA9">
      <w:pPr>
        <w:pStyle w:val="ColorfulList-Accent11"/>
        <w:rPr>
          <w:rFonts w:ascii="Tahoma" w:hAnsi="Tahoma" w:cs="Tahoma"/>
          <w:sz w:val="18"/>
          <w:szCs w:val="18"/>
          <w:lang w:val="de-DE"/>
        </w:rPr>
      </w:pPr>
    </w:p>
    <w:p w:rsidR="00EB4202" w:rsidRPr="00C83DF5" w:rsidRDefault="00EB4202" w:rsidP="00EB4202">
      <w:pPr>
        <w:pStyle w:val="FootnoteBulletLevel1"/>
        <w:tabs>
          <w:tab w:val="left" w:pos="720"/>
        </w:tabs>
        <w:adjustRightInd/>
        <w:spacing w:before="0" w:after="60"/>
        <w:ind w:left="720" w:firstLine="0"/>
        <w:rPr>
          <w:lang w:val="de-DE"/>
        </w:rPr>
      </w:pPr>
      <w:r w:rsidRPr="00C83DF5">
        <w:rPr>
          <w:rFonts w:ascii="Tahoma" w:hAnsi="Tahoma" w:cs="Tahoma"/>
          <w:b/>
          <w:bCs/>
          <w:sz w:val="18"/>
          <w:szCs w:val="18"/>
          <w:lang w:val="de-DE"/>
        </w:rPr>
        <w:lastRenderedPageBreak/>
        <w:t>Windows Pro-Upgrade und Software Assurance für das Windows Desktop-Betriebssystem</w:t>
      </w:r>
    </w:p>
    <w:p w:rsidR="00EB4202" w:rsidRPr="00C83DF5" w:rsidRDefault="00EB4202" w:rsidP="00EB4202">
      <w:pPr>
        <w:pStyle w:val="FootnoteBulletLevel1"/>
        <w:spacing w:before="0" w:after="0"/>
        <w:ind w:left="720" w:firstLine="0"/>
        <w:rPr>
          <w:lang w:val="de-DE"/>
        </w:rPr>
      </w:pPr>
      <w:r w:rsidRPr="00C83DF5">
        <w:rPr>
          <w:rFonts w:ascii="Tahoma" w:hAnsi="Tahoma" w:cs="Tahoma"/>
          <w:sz w:val="18"/>
          <w:szCs w:val="18"/>
          <w:u w:val="single"/>
          <w:lang w:val="de-DE"/>
        </w:rPr>
        <w:t>Betriebssystem-Upgrade-Lizenz</w:t>
      </w:r>
    </w:p>
    <w:p w:rsidR="00EB4202" w:rsidRPr="00C83DF5" w:rsidRDefault="00EB4202" w:rsidP="00EB4202">
      <w:pPr>
        <w:pStyle w:val="FootnoteBulletLevel2"/>
        <w:tabs>
          <w:tab w:val="left" w:pos="720"/>
        </w:tabs>
        <w:adjustRightInd/>
        <w:spacing w:before="0"/>
        <w:ind w:left="720" w:firstLine="0"/>
        <w:rPr>
          <w:lang w:val="de-DE"/>
        </w:rPr>
      </w:pPr>
      <w:r w:rsidRPr="00C83DF5">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8.1 Pro-Upgrade erwirbt und auf dem er es ausführt, installiert haben.</w:t>
      </w:r>
    </w:p>
    <w:p w:rsidR="00EB4202" w:rsidRPr="007025E3" w:rsidRDefault="00EB4202" w:rsidP="00EB4202">
      <w:pPr>
        <w:pStyle w:val="FootnoteBulletLevel1"/>
        <w:spacing w:before="0" w:after="0"/>
        <w:ind w:left="720" w:firstLine="0"/>
        <w:rPr>
          <w:rFonts w:ascii="Tahoma" w:hAnsi="Tahoma" w:cs="Tahoma"/>
          <w:sz w:val="18"/>
          <w:szCs w:val="18"/>
          <w:lang w:val="de-DE"/>
        </w:rPr>
      </w:pPr>
    </w:p>
    <w:p w:rsidR="00EB4202" w:rsidRPr="00C83DF5" w:rsidRDefault="00EB4202" w:rsidP="00EB4202">
      <w:pPr>
        <w:pStyle w:val="FootnoteBulletLevel1"/>
        <w:spacing w:before="0" w:after="0"/>
        <w:ind w:left="720" w:firstLine="0"/>
        <w:rPr>
          <w:lang w:val="de-DE"/>
        </w:rPr>
      </w:pPr>
      <w:r w:rsidRPr="00C83DF5">
        <w:rPr>
          <w:rFonts w:ascii="Tahoma" w:hAnsi="Tahoma" w:cs="Tahoma"/>
          <w:sz w:val="18"/>
          <w:szCs w:val="18"/>
          <w:u w:val="single"/>
          <w:lang w:val="de-DE"/>
        </w:rPr>
        <w:t xml:space="preserve">Software Assurance </w:t>
      </w:r>
    </w:p>
    <w:p w:rsidR="00EB4202" w:rsidRPr="00C83DF5" w:rsidRDefault="00EB4202" w:rsidP="00EB4202">
      <w:pPr>
        <w:pStyle w:val="FootnoteBulletLevel1"/>
        <w:spacing w:before="0" w:after="0"/>
        <w:ind w:left="720" w:firstLine="0"/>
        <w:rPr>
          <w:lang w:val="de-DE"/>
        </w:rPr>
      </w:pPr>
      <w:r w:rsidRPr="00C83DF5">
        <w:rPr>
          <w:rFonts w:ascii="Tahoma" w:hAnsi="Tahoma" w:cs="Tahoma"/>
          <w:sz w:val="18"/>
          <w:szCs w:val="18"/>
          <w:lang w:val="de-DE"/>
        </w:rPr>
        <w:t>Kunden, die Interesse an Software Assurance für das Windows Desktop-Betriebssystem haben, stehen folgende Möglichkeiten offen.</w:t>
      </w:r>
      <w:r w:rsidR="00E71F46" w:rsidRPr="00C83DF5">
        <w:rPr>
          <w:rFonts w:ascii="Tahoma" w:hAnsi="Tahoma" w:cs="Tahoma"/>
          <w:sz w:val="18"/>
          <w:szCs w:val="18"/>
          <w:lang w:val="de-DE"/>
        </w:rPr>
        <w:t xml:space="preserve"> </w:t>
      </w:r>
      <w:r w:rsidRPr="00C83DF5">
        <w:rPr>
          <w:rFonts w:ascii="Tahoma" w:hAnsi="Tahoma" w:cs="Tahoma"/>
          <w:sz w:val="18"/>
          <w:szCs w:val="18"/>
          <w:lang w:val="de-DE"/>
        </w:rPr>
        <w:t>Die nachfolgend aufgeführten Optionen sind nur für die aufgeführten spezifischen Programme und nur unter den angegebenen Bedingungen verfügbar.</w:t>
      </w:r>
    </w:p>
    <w:p w:rsidR="00EB4202" w:rsidRPr="00C83DF5" w:rsidRDefault="00EB4202" w:rsidP="00EB4202">
      <w:pPr>
        <w:pStyle w:val="FootnoteBulletLevel1"/>
        <w:spacing w:before="0" w:after="0"/>
        <w:ind w:left="720" w:firstLine="0"/>
        <w:rPr>
          <w:lang w:val="de-DE"/>
        </w:rPr>
      </w:pPr>
      <w:r w:rsidRPr="00C83DF5">
        <w:rPr>
          <w:rFonts w:ascii="Tahoma" w:hAnsi="Tahoma" w:cs="Tahoma"/>
          <w:sz w:val="18"/>
          <w:szCs w:val="18"/>
          <w:lang w:val="de-DE"/>
        </w:rPr>
        <w:t>Nicht alle Optionen sind in allen Programmen verfügbar.</w:t>
      </w:r>
    </w:p>
    <w:p w:rsidR="00EB4202" w:rsidRPr="007025E3" w:rsidRDefault="00EB4202" w:rsidP="00EB4202">
      <w:pPr>
        <w:pStyle w:val="FootnoteBulletLevel1"/>
        <w:spacing w:before="0" w:after="0"/>
        <w:ind w:left="720" w:firstLine="0"/>
        <w:rPr>
          <w:rFonts w:ascii="Tahoma" w:hAnsi="Tahoma" w:cs="Tahoma"/>
          <w:sz w:val="18"/>
          <w:szCs w:val="18"/>
          <w:lang w:val="de-DE"/>
        </w:rPr>
      </w:pPr>
    </w:p>
    <w:p w:rsidR="00EB4202" w:rsidRPr="00C83DF5" w:rsidRDefault="00EB4202" w:rsidP="00EB4202">
      <w:pPr>
        <w:pStyle w:val="FootnoteBulletLevel1"/>
        <w:numPr>
          <w:ilvl w:val="0"/>
          <w:numId w:val="29"/>
        </w:numPr>
        <w:tabs>
          <w:tab w:val="left" w:pos="720"/>
        </w:tabs>
        <w:adjustRightInd/>
        <w:spacing w:before="0" w:after="60"/>
        <w:ind w:left="1080"/>
        <w:textAlignment w:val="auto"/>
        <w:rPr>
          <w:lang w:val="de-DE"/>
        </w:rPr>
      </w:pPr>
      <w:r w:rsidRPr="00C83DF5">
        <w:rPr>
          <w:rFonts w:ascii="Tahoma" w:hAnsi="Tahoma" w:cs="Tahoma"/>
          <w:sz w:val="18"/>
          <w:szCs w:val="18"/>
          <w:lang w:val="de-DE"/>
        </w:rPr>
        <w:t xml:space="preserve">Lizenzprogramme Select Plus, Open Value (nicht unternehmensweit) und Open: </w:t>
      </w:r>
    </w:p>
    <w:p w:rsidR="00EB4202" w:rsidRPr="00C83DF5" w:rsidRDefault="00EB4202" w:rsidP="00EB4202">
      <w:pPr>
        <w:pStyle w:val="Footnotedash"/>
        <w:tabs>
          <w:tab w:val="left" w:pos="720"/>
        </w:tabs>
        <w:spacing w:before="0"/>
        <w:rPr>
          <w:lang w:val="de-DE"/>
        </w:rPr>
      </w:pPr>
      <w:r w:rsidRPr="00C83DF5">
        <w:rPr>
          <w:rFonts w:ascii="Tahoma" w:eastAsia="Calibri" w:hAnsi="Tahoma" w:cs="Tahoma"/>
          <w:color w:val="000000"/>
          <w:sz w:val="18"/>
          <w:szCs w:val="18"/>
          <w:u w:val="single"/>
          <w:lang w:val="de-DE"/>
        </w:rPr>
        <w:t>Für neue Geräte oder Geräte mit neuen Lizenzen gilt</w:t>
      </w:r>
      <w:r w:rsidRPr="00916CA9">
        <w:rPr>
          <w:rFonts w:ascii="Tahoma" w:eastAsia="Calibri" w:hAnsi="Tahoma" w:cs="Tahoma"/>
          <w:color w:val="000000"/>
          <w:sz w:val="18"/>
          <w:szCs w:val="18"/>
          <w:lang w:val="de-DE"/>
        </w:rPr>
        <w:t>:</w:t>
      </w:r>
    </w:p>
    <w:p w:rsidR="00EB4202" w:rsidRPr="00C83DF5" w:rsidRDefault="00EB4202" w:rsidP="00372193">
      <w:pPr>
        <w:pStyle w:val="Footnotedash"/>
        <w:numPr>
          <w:ilvl w:val="2"/>
          <w:numId w:val="85"/>
        </w:numPr>
        <w:tabs>
          <w:tab w:val="left" w:pos="720"/>
        </w:tabs>
        <w:spacing w:before="0"/>
        <w:ind w:left="1800"/>
        <w:textAlignment w:val="auto"/>
        <w:rPr>
          <w:lang w:val="de-DE"/>
        </w:rPr>
      </w:pPr>
      <w:r w:rsidRPr="00C83DF5">
        <w:rPr>
          <w:rFonts w:ascii="Tahoma" w:eastAsia="Calibri" w:hAnsi="Tahoma" w:cs="Tahoma"/>
          <w:color w:val="000000"/>
          <w:sz w:val="18"/>
          <w:szCs w:val="18"/>
          <w:lang w:val="de-DE"/>
        </w:rPr>
        <w:t xml:space="preserve">Kunden können Software Assurance für über OEM, Einzelhändler oder Get Genuine Windows-Vertrag (GGWA) (in manchen Ländern auch unter dem Namen „Get Genuine Solution“ bekannt) lizenziertes Windows 8.1 Pro, Windows 8 Pro oder Windows 7 Professional </w:t>
      </w:r>
      <w:r w:rsidR="00372193">
        <w:rPr>
          <w:rFonts w:ascii="Tahoma" w:eastAsia="Calibri" w:hAnsi="Tahoma" w:cs="Tahoma"/>
          <w:color w:val="000000"/>
          <w:sz w:val="18"/>
          <w:szCs w:val="18"/>
          <w:lang w:val="de-DE"/>
        </w:rPr>
        <w:br/>
      </w:r>
      <w:r w:rsidRPr="00C83DF5">
        <w:rPr>
          <w:rFonts w:ascii="Tahoma" w:eastAsia="Calibri" w:hAnsi="Tahoma" w:cs="Tahoma"/>
          <w:color w:val="000000"/>
          <w:sz w:val="18"/>
          <w:szCs w:val="18"/>
          <w:lang w:val="de-DE"/>
        </w:rPr>
        <w:t>(32-Bit oder 64-Bit; N-, K- oder KN-Edition) innerhalb von 90 Tagen nach dem Kaufdatum der</w:t>
      </w:r>
      <w:r w:rsidR="00372193">
        <w:rPr>
          <w:rFonts w:ascii="Tahoma" w:eastAsia="Calibri" w:hAnsi="Tahoma" w:cs="Tahoma"/>
          <w:color w:val="000000"/>
          <w:sz w:val="18"/>
          <w:szCs w:val="18"/>
          <w:lang w:val="de-DE"/>
        </w:rPr>
        <w:t> </w:t>
      </w:r>
      <w:r w:rsidRPr="00C83DF5">
        <w:rPr>
          <w:rFonts w:ascii="Tahoma" w:eastAsia="Calibri" w:hAnsi="Tahoma" w:cs="Tahoma"/>
          <w:color w:val="000000"/>
          <w:sz w:val="18"/>
          <w:szCs w:val="18"/>
          <w:lang w:val="de-DE"/>
        </w:rPr>
        <w:t xml:space="preserve">OEM-, Einzelhändler- oder GGWA-Lizenz erwerben. </w:t>
      </w:r>
    </w:p>
    <w:p w:rsidR="00EB4202" w:rsidRPr="00C83DF5" w:rsidRDefault="00EB4202" w:rsidP="00EB4202">
      <w:pPr>
        <w:pStyle w:val="Footnotedash"/>
        <w:tabs>
          <w:tab w:val="left" w:pos="720"/>
        </w:tabs>
        <w:spacing w:before="0"/>
        <w:rPr>
          <w:lang w:val="de-DE"/>
        </w:rPr>
      </w:pPr>
      <w:r w:rsidRPr="00C83DF5">
        <w:rPr>
          <w:rFonts w:ascii="Tahoma" w:eastAsia="Calibri" w:hAnsi="Tahoma" w:cs="Tahoma"/>
          <w:color w:val="000000"/>
          <w:sz w:val="18"/>
          <w:szCs w:val="18"/>
          <w:u w:val="single"/>
          <w:lang w:val="de-DE"/>
        </w:rPr>
        <w:t>Für alle anderen Geräte gilt</w:t>
      </w:r>
      <w:r w:rsidRPr="00916CA9">
        <w:rPr>
          <w:rFonts w:ascii="Tahoma" w:eastAsia="Calibri" w:hAnsi="Tahoma" w:cs="Tahoma"/>
          <w:color w:val="000000"/>
          <w:sz w:val="18"/>
          <w:szCs w:val="18"/>
          <w:lang w:val="de-DE"/>
        </w:rPr>
        <w:t>:</w:t>
      </w:r>
    </w:p>
    <w:p w:rsidR="00EB4202" w:rsidRPr="00C83DF5" w:rsidRDefault="00EB4202" w:rsidP="00EB4202">
      <w:pPr>
        <w:pStyle w:val="Footnotedash"/>
        <w:numPr>
          <w:ilvl w:val="1"/>
          <w:numId w:val="31"/>
        </w:numPr>
        <w:tabs>
          <w:tab w:val="left" w:pos="720"/>
        </w:tabs>
        <w:spacing w:before="0"/>
        <w:ind w:left="1800"/>
        <w:textAlignment w:val="auto"/>
        <w:rPr>
          <w:lang w:val="de-DE"/>
        </w:rPr>
      </w:pPr>
      <w:r w:rsidRPr="00C83DF5">
        <w:rPr>
          <w:rFonts w:ascii="Tahoma" w:eastAsia="Calibri" w:hAnsi="Tahoma" w:cs="Tahoma"/>
          <w:color w:val="000000"/>
          <w:sz w:val="18"/>
          <w:szCs w:val="18"/>
          <w:lang w:val="de-DE"/>
        </w:rPr>
        <w:t>Kunden können Upgrade und Software Assurance für Windows 8.1 Pro für Desktops erwerben, auf denen der Kunde eines der in der Windows-Upgrade-Tabelle genannten qualifizierenden Betriebssysteme lizenziert und installiert hat.</w:t>
      </w:r>
    </w:p>
    <w:p w:rsidR="00EB4202" w:rsidRPr="007025E3" w:rsidRDefault="00EB4202" w:rsidP="00372193">
      <w:pPr>
        <w:pStyle w:val="FootnoteBulletLevel1"/>
        <w:tabs>
          <w:tab w:val="left" w:pos="720"/>
        </w:tabs>
        <w:adjustRightInd/>
        <w:spacing w:before="0" w:after="60"/>
        <w:rPr>
          <w:rFonts w:ascii="Tahoma" w:hAnsi="Tahoma" w:cs="Tahoma"/>
          <w:sz w:val="18"/>
          <w:szCs w:val="18"/>
          <w:lang w:val="de-DE"/>
        </w:rPr>
      </w:pPr>
    </w:p>
    <w:p w:rsidR="00EB4202" w:rsidRPr="00C83DF5" w:rsidRDefault="00EB4202" w:rsidP="00EB4202">
      <w:pPr>
        <w:pStyle w:val="FootnoteBulletLevel1"/>
        <w:numPr>
          <w:ilvl w:val="0"/>
          <w:numId w:val="29"/>
        </w:numPr>
        <w:tabs>
          <w:tab w:val="left" w:pos="720"/>
        </w:tabs>
        <w:adjustRightInd/>
        <w:spacing w:before="0" w:after="60"/>
        <w:ind w:left="1080"/>
        <w:textAlignment w:val="auto"/>
        <w:rPr>
          <w:lang w:val="de-DE"/>
        </w:rPr>
      </w:pPr>
      <w:r w:rsidRPr="00C83DF5">
        <w:rPr>
          <w:rFonts w:ascii="Tahoma" w:hAnsi="Tahoma" w:cs="Tahoma"/>
          <w:sz w:val="18"/>
          <w:szCs w:val="18"/>
          <w:lang w:val="de-DE"/>
        </w:rPr>
        <w:t>Konzernbeitritte und unternehmensweite Open Value-Verträge (zeitlich unbeschränkt und Abonnement):</w:t>
      </w:r>
    </w:p>
    <w:p w:rsidR="00EB4202" w:rsidRPr="00C83DF5" w:rsidRDefault="00EB4202" w:rsidP="00EB4202">
      <w:pPr>
        <w:pStyle w:val="Footnotedash"/>
        <w:tabs>
          <w:tab w:val="left" w:pos="720"/>
        </w:tabs>
        <w:spacing w:before="0"/>
        <w:rPr>
          <w:lang w:val="de-DE"/>
        </w:rPr>
      </w:pPr>
      <w:r w:rsidRPr="00C83DF5">
        <w:rPr>
          <w:rFonts w:ascii="Tahoma" w:eastAsia="Calibri" w:hAnsi="Tahoma" w:cs="Tahoma"/>
          <w:color w:val="000000"/>
          <w:sz w:val="18"/>
          <w:szCs w:val="18"/>
          <w:u w:val="single"/>
          <w:lang w:val="de-DE"/>
        </w:rPr>
        <w:t>Erste Konzernbeitritte oder Open Value-Verträge</w:t>
      </w:r>
      <w:r w:rsidRPr="00916CA9">
        <w:rPr>
          <w:rFonts w:ascii="Tahoma" w:eastAsia="Calibri" w:hAnsi="Tahoma" w:cs="Tahoma"/>
          <w:color w:val="000000"/>
          <w:sz w:val="18"/>
          <w:szCs w:val="18"/>
          <w:lang w:val="de-DE"/>
        </w:rPr>
        <w:t>:</w:t>
      </w:r>
    </w:p>
    <w:p w:rsidR="00EB4202" w:rsidRPr="00C83DF5" w:rsidRDefault="00EB4202" w:rsidP="00EB4202">
      <w:pPr>
        <w:pStyle w:val="Footnotedash"/>
        <w:numPr>
          <w:ilvl w:val="1"/>
          <w:numId w:val="31"/>
        </w:numPr>
        <w:tabs>
          <w:tab w:val="left" w:pos="720"/>
        </w:tabs>
        <w:spacing w:before="0"/>
        <w:ind w:left="1800"/>
        <w:textAlignment w:val="auto"/>
        <w:rPr>
          <w:lang w:val="de-DE"/>
        </w:rPr>
      </w:pPr>
      <w:r w:rsidRPr="00C83DF5">
        <w:rPr>
          <w:rFonts w:ascii="Tahoma" w:eastAsia="Calibri" w:hAnsi="Tahoma" w:cs="Tahoma"/>
          <w:color w:val="000000"/>
          <w:sz w:val="18"/>
          <w:szCs w:val="18"/>
          <w:lang w:val="de-DE"/>
        </w:rPr>
        <w:t>Kunden können Windows 8.1 Pro-Upgrade und Software Assurance für alle Qualifizierten Geräte erwerben.</w:t>
      </w:r>
      <w:r w:rsidR="00E71F46" w:rsidRPr="00C83DF5">
        <w:rPr>
          <w:rFonts w:ascii="Tahoma" w:eastAsia="Calibri" w:hAnsi="Tahoma" w:cs="Tahoma"/>
          <w:color w:val="000000"/>
          <w:sz w:val="18"/>
          <w:szCs w:val="18"/>
          <w:lang w:val="de-DE"/>
        </w:rPr>
        <w:t xml:space="preserve"> </w:t>
      </w:r>
      <w:r w:rsidRPr="00C83DF5">
        <w:rPr>
          <w:rFonts w:ascii="Tahoma" w:eastAsia="Calibri" w:hAnsi="Tahoma" w:cs="Tahoma"/>
          <w:color w:val="000000"/>
          <w:sz w:val="18"/>
          <w:szCs w:val="18"/>
          <w:lang w:val="de-DE"/>
        </w:rPr>
        <w:t>Der Kunde muss eines der in der obigen Windows-Upgrade-Tabelle in der Spalte „EA/OV-CW (neu)“ genannten qualifizierenden Betriebssysteme lizenziert und auf allen Qualifizierten Geräten installiert haben.</w:t>
      </w:r>
    </w:p>
    <w:p w:rsidR="00EB4202" w:rsidRPr="00C83DF5" w:rsidRDefault="00EB4202" w:rsidP="00EB4202">
      <w:pPr>
        <w:pStyle w:val="Footnotedash"/>
        <w:tabs>
          <w:tab w:val="left" w:pos="720"/>
        </w:tabs>
        <w:spacing w:before="0"/>
        <w:rPr>
          <w:lang w:val="de-DE"/>
        </w:rPr>
      </w:pPr>
      <w:r w:rsidRPr="00C83DF5">
        <w:rPr>
          <w:rFonts w:ascii="Tahoma" w:eastAsia="Calibri" w:hAnsi="Tahoma" w:cs="Tahoma"/>
          <w:color w:val="000000"/>
          <w:sz w:val="18"/>
          <w:szCs w:val="18"/>
          <w:u w:val="single"/>
          <w:lang w:val="de-DE"/>
        </w:rPr>
        <w:t>Bestehende Konzernbeitritte oder Open Value-Verträge (True Up und Ersatz)</w:t>
      </w:r>
      <w:r w:rsidRPr="00916CA9">
        <w:rPr>
          <w:rFonts w:ascii="Tahoma" w:eastAsia="Calibri" w:hAnsi="Tahoma" w:cs="Tahoma"/>
          <w:color w:val="000000"/>
          <w:sz w:val="18"/>
          <w:szCs w:val="18"/>
          <w:lang w:val="de-DE"/>
        </w:rPr>
        <w:t>:</w:t>
      </w:r>
    </w:p>
    <w:p w:rsidR="00EB4202" w:rsidRPr="00C83DF5" w:rsidRDefault="00EB4202" w:rsidP="00EB4202">
      <w:pPr>
        <w:pStyle w:val="Footnotedash"/>
        <w:numPr>
          <w:ilvl w:val="1"/>
          <w:numId w:val="31"/>
        </w:numPr>
        <w:tabs>
          <w:tab w:val="left" w:pos="720"/>
        </w:tabs>
        <w:spacing w:before="0"/>
        <w:ind w:left="1800"/>
        <w:textAlignment w:val="auto"/>
        <w:rPr>
          <w:lang w:val="de-DE"/>
        </w:rPr>
      </w:pPr>
      <w:r w:rsidRPr="00C83DF5">
        <w:rPr>
          <w:rFonts w:ascii="Tahoma" w:eastAsia="Calibri" w:hAnsi="Tahoma" w:cs="Tahoma"/>
          <w:color w:val="000000"/>
          <w:sz w:val="18"/>
          <w:szCs w:val="18"/>
          <w:lang w:val="de-DE"/>
        </w:rPr>
        <w:t>Kunden können Windows 8.1 Pro-Upgrade und Software Assurance für alle zusätzlichen Qualifizierten Geräte erwerben.</w:t>
      </w:r>
      <w:r w:rsidR="00E71F46" w:rsidRPr="00C83DF5">
        <w:rPr>
          <w:rFonts w:ascii="Tahoma" w:eastAsia="Calibri" w:hAnsi="Tahoma" w:cs="Tahoma"/>
          <w:color w:val="000000"/>
          <w:sz w:val="18"/>
          <w:szCs w:val="18"/>
          <w:lang w:val="de-DE"/>
        </w:rPr>
        <w:t xml:space="preserve"> </w:t>
      </w:r>
      <w:r w:rsidRPr="00C83DF5">
        <w:rPr>
          <w:rFonts w:ascii="Tahoma" w:eastAsia="Calibri" w:hAnsi="Tahoma" w:cs="Tahoma"/>
          <w:color w:val="000000"/>
          <w:sz w:val="18"/>
          <w:szCs w:val="18"/>
          <w:lang w:val="de-DE"/>
        </w:rP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rsidR="00EB4202" w:rsidRPr="00C83DF5" w:rsidRDefault="00EB4202" w:rsidP="0013504C">
      <w:pPr>
        <w:pStyle w:val="Footnotedash"/>
        <w:numPr>
          <w:ilvl w:val="1"/>
          <w:numId w:val="31"/>
        </w:numPr>
        <w:tabs>
          <w:tab w:val="left" w:pos="720"/>
        </w:tabs>
        <w:spacing w:before="0"/>
        <w:ind w:left="1800" w:right="-90"/>
        <w:textAlignment w:val="auto"/>
        <w:rPr>
          <w:lang w:val="de-DE"/>
        </w:rPr>
      </w:pPr>
      <w:r w:rsidRPr="00C83DF5">
        <w:rPr>
          <w:rFonts w:ascii="Tahoma" w:eastAsia="Calibri" w:hAnsi="Tahoma" w:cs="Tahoma"/>
          <w:color w:val="000000"/>
          <w:sz w:val="18"/>
          <w:szCs w:val="18"/>
          <w:lang w:val="de-DE"/>
        </w:rPr>
        <w:t>Bei einer Unternehmensverschmelzung oder einem Unternehmenskauf muss der Kunde eines</w:t>
      </w:r>
      <w:r w:rsidR="0013504C">
        <w:rPr>
          <w:rFonts w:ascii="Tahoma" w:eastAsia="Calibri" w:hAnsi="Tahoma" w:cs="Tahoma"/>
          <w:color w:val="000000"/>
          <w:sz w:val="18"/>
          <w:szCs w:val="18"/>
          <w:lang w:val="de-DE"/>
        </w:rPr>
        <w:t> </w:t>
      </w:r>
      <w:r w:rsidRPr="00C83DF5">
        <w:rPr>
          <w:rFonts w:ascii="Tahoma" w:eastAsia="Calibri" w:hAnsi="Tahoma" w:cs="Tahoma"/>
          <w:color w:val="000000"/>
          <w:sz w:val="18"/>
          <w:szCs w:val="18"/>
          <w:lang w:val="de-DE"/>
        </w:rPr>
        <w:t>der in der obigen Windows-Upgrade-Tabelle in der Spalte „EA/OV-CW (neu)“ genannten</w:t>
      </w:r>
      <w:r w:rsidR="0013504C">
        <w:rPr>
          <w:rFonts w:ascii="Tahoma" w:eastAsia="Calibri" w:hAnsi="Tahoma" w:cs="Tahoma"/>
          <w:color w:val="000000"/>
          <w:sz w:val="18"/>
          <w:szCs w:val="18"/>
          <w:lang w:val="de-DE"/>
        </w:rPr>
        <w:t> </w:t>
      </w:r>
      <w:r w:rsidRPr="00C83DF5">
        <w:rPr>
          <w:rFonts w:ascii="Tahoma" w:eastAsia="Calibri" w:hAnsi="Tahoma" w:cs="Tahoma"/>
          <w:color w:val="000000"/>
          <w:sz w:val="18"/>
          <w:szCs w:val="18"/>
          <w:lang w:val="de-DE"/>
        </w:rPr>
        <w:t>qualifizierenden Betriebssysteme lizenziert und auf allen durch die Unternehmensverschmelzung</w:t>
      </w:r>
      <w:r w:rsidR="0013504C">
        <w:rPr>
          <w:rFonts w:ascii="Tahoma" w:eastAsia="Calibri" w:hAnsi="Tahoma" w:cs="Tahoma"/>
          <w:color w:val="000000"/>
          <w:sz w:val="18"/>
          <w:szCs w:val="18"/>
          <w:lang w:val="de-DE"/>
        </w:rPr>
        <w:t xml:space="preserve"> </w:t>
      </w:r>
      <w:r w:rsidRPr="00C83DF5">
        <w:rPr>
          <w:rFonts w:ascii="Tahoma" w:eastAsia="Calibri" w:hAnsi="Tahoma" w:cs="Tahoma"/>
          <w:color w:val="000000"/>
          <w:sz w:val="18"/>
          <w:szCs w:val="18"/>
          <w:lang w:val="de-DE"/>
        </w:rPr>
        <w:t>oder den Unternehmenskauf erworbenen Qualifizierten Geräten</w:t>
      </w:r>
      <w:r w:rsidR="0013504C">
        <w:rPr>
          <w:rFonts w:ascii="Tahoma" w:eastAsia="Calibri" w:hAnsi="Tahoma" w:cs="Tahoma"/>
          <w:color w:val="000000"/>
          <w:sz w:val="18"/>
          <w:szCs w:val="18"/>
          <w:lang w:val="de-DE"/>
        </w:rPr>
        <w:t> </w:t>
      </w:r>
      <w:r w:rsidRPr="00C83DF5">
        <w:rPr>
          <w:rFonts w:ascii="Tahoma" w:eastAsia="Calibri" w:hAnsi="Tahoma" w:cs="Tahoma"/>
          <w:color w:val="000000"/>
          <w:sz w:val="18"/>
          <w:szCs w:val="18"/>
          <w:lang w:val="de-DE"/>
        </w:rPr>
        <w:t>installiert haben.</w:t>
      </w:r>
    </w:p>
    <w:p w:rsidR="00EB4202" w:rsidRPr="00C83DF5" w:rsidRDefault="00EB4202" w:rsidP="00EB4202">
      <w:pPr>
        <w:pStyle w:val="Footnotedash"/>
        <w:tabs>
          <w:tab w:val="left" w:pos="720"/>
        </w:tabs>
        <w:spacing w:before="0"/>
      </w:pPr>
      <w:r w:rsidRPr="00C83DF5">
        <w:rPr>
          <w:rFonts w:ascii="Tahoma" w:eastAsia="Calibri" w:hAnsi="Tahoma" w:cs="Tahoma"/>
          <w:color w:val="000000"/>
          <w:sz w:val="18"/>
          <w:szCs w:val="18"/>
          <w:u w:val="single"/>
        </w:rPr>
        <w:t>Verlängerung Ihres Konzernbeitritts</w:t>
      </w:r>
    </w:p>
    <w:p w:rsidR="00EB4202" w:rsidRPr="00C83DF5" w:rsidRDefault="00EB4202" w:rsidP="00EB4202">
      <w:pPr>
        <w:pStyle w:val="Footnotedash"/>
        <w:numPr>
          <w:ilvl w:val="1"/>
          <w:numId w:val="31"/>
        </w:numPr>
        <w:tabs>
          <w:tab w:val="left" w:pos="720"/>
        </w:tabs>
        <w:spacing w:before="0"/>
        <w:ind w:left="1800"/>
        <w:textAlignment w:val="auto"/>
        <w:rPr>
          <w:lang w:val="de-DE"/>
        </w:rPr>
      </w:pPr>
      <w:r w:rsidRPr="00C83DF5">
        <w:rPr>
          <w:rFonts w:ascii="Tahoma" w:eastAsia="Calibri" w:hAnsi="Tahoma" w:cs="Tahoma"/>
          <w:color w:val="000000"/>
          <w:sz w:val="18"/>
          <w:szCs w:val="18"/>
          <w:lang w:val="de-DE"/>
        </w:rPr>
        <w:t>Nach Ablauf eines bestehenden Konzernbeitritts für das Windows Desktop-Betriebssystem können die Kunden diesen durch einen neuen Konzernbeitritt für das Windows Desktop-Betriebssystem verlängern.</w:t>
      </w:r>
    </w:p>
    <w:p w:rsidR="00EB4202" w:rsidRPr="007025E3" w:rsidRDefault="00EB4202" w:rsidP="00EB4202">
      <w:pPr>
        <w:pStyle w:val="FootnoteBulletLevel2"/>
        <w:tabs>
          <w:tab w:val="left" w:pos="720"/>
        </w:tabs>
        <w:adjustRightInd/>
        <w:spacing w:before="0"/>
        <w:ind w:left="0" w:firstLine="0"/>
        <w:rPr>
          <w:rFonts w:ascii="Tahoma" w:hAnsi="Tahoma" w:cs="Tahoma"/>
          <w:sz w:val="18"/>
          <w:szCs w:val="18"/>
          <w:lang w:val="de-DE"/>
        </w:rPr>
      </w:pPr>
    </w:p>
    <w:p w:rsidR="00274737" w:rsidRPr="007025E3" w:rsidRDefault="00274737" w:rsidP="00EB4202">
      <w:pPr>
        <w:pStyle w:val="FootnoteBulletLevel2"/>
        <w:tabs>
          <w:tab w:val="left" w:pos="720"/>
        </w:tabs>
        <w:adjustRightInd/>
        <w:spacing w:before="0"/>
        <w:ind w:left="0" w:firstLine="0"/>
        <w:rPr>
          <w:rFonts w:ascii="Tahoma" w:hAnsi="Tahoma" w:cs="Tahoma"/>
          <w:sz w:val="18"/>
          <w:szCs w:val="18"/>
          <w:lang w:val="de-DE"/>
        </w:rPr>
      </w:pPr>
    </w:p>
    <w:p w:rsidR="00274737" w:rsidRPr="007025E3" w:rsidRDefault="00274737" w:rsidP="00EB4202">
      <w:pPr>
        <w:pStyle w:val="FootnoteBulletLevel2"/>
        <w:tabs>
          <w:tab w:val="left" w:pos="720"/>
        </w:tabs>
        <w:adjustRightInd/>
        <w:spacing w:before="0"/>
        <w:ind w:left="0" w:firstLine="0"/>
        <w:rPr>
          <w:rFonts w:ascii="Tahoma" w:hAnsi="Tahoma" w:cs="Tahoma"/>
          <w:sz w:val="18"/>
          <w:szCs w:val="18"/>
          <w:lang w:val="de-DE"/>
        </w:rPr>
      </w:pPr>
    </w:p>
    <w:p w:rsidR="00274737" w:rsidRPr="007025E3" w:rsidRDefault="00274737" w:rsidP="00EB4202">
      <w:pPr>
        <w:pStyle w:val="FootnoteBulletLevel2"/>
        <w:tabs>
          <w:tab w:val="left" w:pos="720"/>
        </w:tabs>
        <w:adjustRightInd/>
        <w:spacing w:before="0"/>
        <w:ind w:left="0" w:firstLine="0"/>
        <w:rPr>
          <w:rFonts w:ascii="Tahoma" w:hAnsi="Tahoma" w:cs="Tahoma"/>
          <w:sz w:val="18"/>
          <w:szCs w:val="18"/>
          <w:lang w:val="de-DE"/>
        </w:rPr>
      </w:pPr>
    </w:p>
    <w:p w:rsidR="00274737" w:rsidRPr="007025E3" w:rsidRDefault="00274737" w:rsidP="00EB4202">
      <w:pPr>
        <w:pStyle w:val="FootnoteBulletLevel2"/>
        <w:tabs>
          <w:tab w:val="left" w:pos="720"/>
        </w:tabs>
        <w:adjustRightInd/>
        <w:spacing w:before="0"/>
        <w:ind w:left="0" w:firstLine="0"/>
        <w:rPr>
          <w:rFonts w:ascii="Tahoma" w:hAnsi="Tahoma" w:cs="Tahoma"/>
          <w:sz w:val="18"/>
          <w:szCs w:val="18"/>
          <w:lang w:val="de-DE"/>
        </w:rPr>
      </w:pPr>
    </w:p>
    <w:p w:rsidR="00274737" w:rsidRPr="007025E3" w:rsidRDefault="00274737" w:rsidP="00EB4202">
      <w:pPr>
        <w:pStyle w:val="FootnoteBulletLevel2"/>
        <w:tabs>
          <w:tab w:val="left" w:pos="720"/>
        </w:tabs>
        <w:adjustRightInd/>
        <w:spacing w:before="0"/>
        <w:ind w:left="0" w:firstLine="0"/>
        <w:rPr>
          <w:rFonts w:ascii="Tahoma" w:hAnsi="Tahoma" w:cs="Tahoma"/>
          <w:sz w:val="18"/>
          <w:szCs w:val="18"/>
          <w:lang w:val="de-DE"/>
        </w:rPr>
      </w:pPr>
    </w:p>
    <w:p w:rsidR="00EB4202" w:rsidRPr="00C83DF5" w:rsidRDefault="00EB4202" w:rsidP="00EB4202">
      <w:pPr>
        <w:pStyle w:val="FootnoteBulletLevel2"/>
        <w:numPr>
          <w:ilvl w:val="0"/>
          <w:numId w:val="25"/>
        </w:numPr>
        <w:tabs>
          <w:tab w:val="left" w:pos="720"/>
        </w:tabs>
        <w:adjustRightInd/>
        <w:spacing w:before="0" w:after="60"/>
        <w:ind w:left="1440"/>
        <w:textAlignment w:val="auto"/>
        <w:rPr>
          <w:lang w:val="de-DE"/>
        </w:rPr>
      </w:pPr>
      <w:r w:rsidRPr="00C83DF5">
        <w:rPr>
          <w:rFonts w:ascii="Tahoma" w:hAnsi="Tahoma" w:cs="Tahoma"/>
          <w:sz w:val="18"/>
          <w:szCs w:val="18"/>
          <w:lang w:val="de-DE"/>
        </w:rPr>
        <w:lastRenderedPageBreak/>
        <w:t xml:space="preserve">Kunden mit Campus- und School-Vertrag und Open Value Subscription – Bildungslösungen: </w:t>
      </w:r>
    </w:p>
    <w:p w:rsidR="00EB4202" w:rsidRPr="00C83DF5" w:rsidRDefault="00EB4202" w:rsidP="00EB4202">
      <w:pPr>
        <w:pStyle w:val="Footnotedash"/>
        <w:numPr>
          <w:ilvl w:val="1"/>
          <w:numId w:val="31"/>
        </w:numPr>
        <w:tabs>
          <w:tab w:val="left" w:pos="720"/>
        </w:tabs>
        <w:spacing w:before="0"/>
        <w:ind w:left="1800"/>
        <w:textAlignment w:val="auto"/>
        <w:rPr>
          <w:lang w:val="de-DE"/>
        </w:rPr>
      </w:pPr>
      <w:r w:rsidRPr="00C83DF5">
        <w:rPr>
          <w:rFonts w:ascii="Tahoma" w:eastAsia="Calibri" w:hAnsi="Tahoma" w:cs="Tahoma"/>
          <w:color w:val="000000"/>
          <w:sz w:val="18"/>
          <w:szCs w:val="18"/>
          <w:lang w:val="de-DE"/>
        </w:rPr>
        <w:t>Das Windows-Betriebssystem wird nur als Upgrade lizenziert.</w:t>
      </w:r>
      <w:r w:rsidR="00E71F46" w:rsidRPr="00C83DF5">
        <w:rPr>
          <w:rFonts w:ascii="Tahoma" w:eastAsia="Calibri" w:hAnsi="Tahoma" w:cs="Tahoma"/>
          <w:color w:val="000000"/>
          <w:sz w:val="18"/>
          <w:szCs w:val="18"/>
          <w:lang w:val="de-DE"/>
        </w:rPr>
        <w:t xml:space="preserve"> </w:t>
      </w:r>
      <w:r w:rsidRPr="00C83DF5">
        <w:rPr>
          <w:rFonts w:ascii="Tahoma" w:eastAsia="Calibri" w:hAnsi="Tahoma" w:cs="Tahoma"/>
          <w:color w:val="000000"/>
          <w:sz w:val="18"/>
          <w:szCs w:val="18"/>
          <w:lang w:val="de-DE"/>
        </w:rPr>
        <w:t xml:space="preserve">Daher müssen Kunden, die das Windows-Betriebssystem ausführen möchten, zunächst ein qualifizierendes Betriebssystem lizenziert und auf ihrem Desktop installiert haben. Hierbei handelt es sich um die in der Windows-Upgrade-Tabelle in der Spalte „Forschung &amp; Lehre“ genannten qualifizierenden Betriebssysteme. </w:t>
      </w:r>
    </w:p>
    <w:p w:rsidR="00EB4202" w:rsidRPr="00C83DF5" w:rsidRDefault="00EB4202" w:rsidP="00EB4202">
      <w:pPr>
        <w:pStyle w:val="FootnoteBulletLevel2"/>
        <w:spacing w:before="0"/>
        <w:ind w:left="720" w:firstLine="0"/>
        <w:rPr>
          <w:lang w:val="de-DE"/>
        </w:rPr>
      </w:pPr>
      <w:r w:rsidRPr="00C83DF5">
        <w:rPr>
          <w:rFonts w:ascii="Tahoma" w:eastAsia="Calibri" w:hAnsi="Tahoma" w:cs="Tahoma"/>
          <w:color w:val="000000"/>
          <w:sz w:val="18"/>
          <w:szCs w:val="18"/>
          <w:lang w:val="de-DE"/>
        </w:rPr>
        <w:t>Trotz gegenteiliger Bestimmungen in den Produktbenutzungsrechten (PUR) wird Einrichtungen, die sich für die Studentenoption entscheiden, maximal eine Windows To Go-Instanz pro lizenziertem Studentengerät erlaubt.</w:t>
      </w:r>
      <w:r w:rsidR="00E71F46" w:rsidRPr="00C83DF5">
        <w:rPr>
          <w:rFonts w:ascii="Tahoma" w:eastAsia="Calibri" w:hAnsi="Tahoma" w:cs="Tahoma"/>
          <w:color w:val="000000"/>
          <w:sz w:val="18"/>
          <w:szCs w:val="18"/>
          <w:lang w:val="de-DE"/>
        </w:rPr>
        <w:t xml:space="preserve"> </w:t>
      </w:r>
      <w:r w:rsidRPr="00C83DF5">
        <w:rPr>
          <w:rFonts w:ascii="Tahoma" w:eastAsia="Calibri" w:hAnsi="Tahoma" w:cs="Tahoma"/>
          <w:color w:val="000000"/>
          <w:sz w:val="18"/>
          <w:szCs w:val="18"/>
          <w:lang w:val="de-DE"/>
        </w:rPr>
        <w:t>Einrichtungen müssen sicherstellen, dass Studenten, die nicht mehr bei der Einrichtung eingeschrieben sind, ihre Nutzung von Windows To Go einstellen und USB-Geräte mit einer Windows To Go-Instanz an die Einrichtung zurückgeben.</w:t>
      </w:r>
      <w:r w:rsidR="00E71F46" w:rsidRPr="00C83DF5">
        <w:rPr>
          <w:rFonts w:ascii="Tahoma" w:eastAsia="Calibri" w:hAnsi="Tahoma" w:cs="Tahoma"/>
          <w:color w:val="000000"/>
          <w:sz w:val="18"/>
          <w:szCs w:val="18"/>
          <w:lang w:val="de-DE"/>
        </w:rPr>
        <w:t xml:space="preserve"> </w:t>
      </w:r>
      <w:r w:rsidRPr="00C83DF5">
        <w:rPr>
          <w:rFonts w:ascii="Tahoma" w:hAnsi="Tahoma" w:cs="Tahoma"/>
          <w:sz w:val="18"/>
          <w:szCs w:val="18"/>
          <w:lang w:val="de-DE"/>
        </w:rPr>
        <w:t>Einrichtungen, die sich für die Studentenoption entscheiden, sind nicht berechtigt, Windows Enterprise auf Geräten im Besitz von Studenten zu installieren.</w:t>
      </w:r>
    </w:p>
    <w:p w:rsidR="00973A93" w:rsidRPr="007025E3" w:rsidRDefault="00973A93" w:rsidP="00AF3B19">
      <w:pPr>
        <w:rPr>
          <w:rFonts w:cs="Tahoma"/>
          <w:bCs/>
          <w:szCs w:val="18"/>
          <w:lang w:val="de-DE"/>
        </w:rPr>
      </w:pPr>
    </w:p>
    <w:p w:rsidR="00B73A46" w:rsidRPr="00C83DF5" w:rsidRDefault="00B73A46" w:rsidP="00F64DEA">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Microsoft Windows XP Professional N (ohne Windows Media Player)</w:t>
      </w:r>
    </w:p>
    <w:p w:rsidR="00B73A46" w:rsidRPr="00C83DF5" w:rsidRDefault="00B73A46" w:rsidP="00F64DEA">
      <w:pPr>
        <w:pStyle w:val="FootnoteBulletLevel2"/>
        <w:tabs>
          <w:tab w:val="clear" w:pos="1260"/>
          <w:tab w:val="num" w:pos="900"/>
        </w:tabs>
        <w:spacing w:before="0"/>
        <w:ind w:left="720" w:firstLine="0"/>
        <w:rPr>
          <w:lang w:val="de-DE"/>
        </w:rPr>
      </w:pPr>
      <w:r w:rsidRPr="00C83DF5">
        <w:rPr>
          <w:rFonts w:ascii="Tahoma" w:hAnsi="Tahoma" w:cs="Tahoma"/>
          <w:sz w:val="18"/>
          <w:szCs w:val="18"/>
          <w:u w:val="single"/>
          <w:lang w:val="de-DE"/>
        </w:rPr>
        <w:t>Berechtigung</w:t>
      </w:r>
      <w:r w:rsidRPr="00C83DF5">
        <w:rPr>
          <w:rFonts w:ascii="Tahoma" w:hAnsi="Tahoma" w:cs="Tahoma"/>
          <w:sz w:val="18"/>
          <w:szCs w:val="18"/>
          <w:lang w:val="de-DE"/>
        </w:rPr>
        <w:br/>
        <w:t>Kunden mit Volumenlizenzverträgen, die folgende Kriterien erfüllen, sind berechtigt, Medien für Microsoft Windows XP Professional N zu erwerben.</w:t>
      </w:r>
    </w:p>
    <w:p w:rsidR="00F64DEA" w:rsidRPr="007025E3" w:rsidRDefault="00F64DEA" w:rsidP="00F64DEA">
      <w:pPr>
        <w:pStyle w:val="FootnoteBulletLevel2"/>
        <w:tabs>
          <w:tab w:val="clear" w:pos="1260"/>
          <w:tab w:val="num" w:pos="900"/>
        </w:tabs>
        <w:spacing w:before="0"/>
        <w:ind w:left="720" w:firstLine="0"/>
        <w:rPr>
          <w:rFonts w:ascii="Tahoma" w:hAnsi="Tahoma" w:cs="Tahoma"/>
          <w:sz w:val="18"/>
          <w:szCs w:val="18"/>
          <w:lang w:val="de-DE"/>
        </w:rPr>
      </w:pPr>
    </w:p>
    <w:p w:rsidR="00B73A46" w:rsidRPr="00C83DF5" w:rsidRDefault="00B73A46" w:rsidP="00F64DEA">
      <w:pPr>
        <w:pStyle w:val="Footnotedash"/>
        <w:tabs>
          <w:tab w:val="clear" w:pos="1620"/>
          <w:tab w:val="num" w:pos="2160"/>
        </w:tabs>
        <w:spacing w:before="0" w:after="0"/>
        <w:ind w:left="720" w:firstLine="7"/>
        <w:rPr>
          <w:lang w:val="de-DE"/>
        </w:rPr>
      </w:pPr>
      <w:r w:rsidRPr="00C83DF5">
        <w:rPr>
          <w:rFonts w:ascii="Tahoma" w:hAnsi="Tahoma" w:cs="Tahoma"/>
          <w:sz w:val="18"/>
          <w:szCs w:val="18"/>
          <w:lang w:val="de-DE"/>
        </w:rPr>
        <w:t xml:space="preserve">Sie müssen über mindestens einen der folgenden aktiven Verträge oder Beitritte mit Microsoft Ireland Operations Ltd verfügen: </w:t>
      </w:r>
    </w:p>
    <w:p w:rsidR="00F64DEA" w:rsidRPr="007025E3" w:rsidRDefault="00F64DEA" w:rsidP="00F64DEA">
      <w:pPr>
        <w:pStyle w:val="Footnotedash"/>
        <w:tabs>
          <w:tab w:val="clear" w:pos="1620"/>
          <w:tab w:val="num" w:pos="2160"/>
        </w:tabs>
        <w:spacing w:before="0" w:after="0"/>
        <w:ind w:left="720" w:firstLine="7"/>
        <w:rPr>
          <w:rFonts w:ascii="Tahoma" w:hAnsi="Tahoma" w:cs="Tahoma"/>
          <w:sz w:val="18"/>
          <w:szCs w:val="18"/>
          <w:lang w:val="de-DE"/>
        </w:rPr>
      </w:pP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Select-, Konzern- oder Konzern-Abonnement-Beitritt</w:t>
      </w: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 xml:space="preserve">Open-Lizenz*, Open Value, Campus- und School-Vertrag, Open Value Subscription – Bildungslösungen </w:t>
      </w:r>
    </w:p>
    <w:p w:rsidR="00B73A46" w:rsidRPr="00C83DF5" w:rsidRDefault="00B73A46" w:rsidP="00F64DEA">
      <w:pPr>
        <w:pStyle w:val="Footnotedash"/>
        <w:spacing w:before="0"/>
        <w:ind w:left="1440" w:firstLine="0"/>
        <w:rPr>
          <w:lang w:val="de-DE"/>
        </w:rPr>
      </w:pPr>
      <w:r w:rsidRPr="00C83DF5">
        <w:rPr>
          <w:rFonts w:ascii="Tahoma" w:hAnsi="Tahoma" w:cs="Tahoma"/>
          <w:sz w:val="18"/>
          <w:szCs w:val="18"/>
          <w:lang w:val="de-DE"/>
        </w:rPr>
        <w:t>(*Bei einer Open-Lizenz ist ein „aktiver Vertrag“ einer, der mit einer aktiven Open-Lizenz-Autorisierungsnummer verknüpft ist.)</w:t>
      </w:r>
    </w:p>
    <w:p w:rsidR="00F64DEA" w:rsidRPr="007025E3" w:rsidRDefault="00F64DEA" w:rsidP="00F64DEA">
      <w:pPr>
        <w:pStyle w:val="Footnotedash"/>
        <w:spacing w:before="0" w:after="0"/>
        <w:ind w:left="1440" w:firstLine="0"/>
        <w:rPr>
          <w:rFonts w:ascii="Tahoma" w:hAnsi="Tahoma" w:cs="Tahoma"/>
          <w:sz w:val="18"/>
          <w:szCs w:val="18"/>
          <w:lang w:val="de-DE"/>
        </w:rPr>
      </w:pPr>
    </w:p>
    <w:p w:rsidR="00B73A46" w:rsidRPr="00C83DF5" w:rsidRDefault="00B73A46" w:rsidP="00F64DEA">
      <w:pPr>
        <w:pStyle w:val="Footnotedash"/>
        <w:tabs>
          <w:tab w:val="left" w:pos="1620"/>
        </w:tabs>
        <w:spacing w:before="0" w:after="0"/>
        <w:ind w:left="720" w:firstLine="7"/>
        <w:rPr>
          <w:lang w:val="de-DE"/>
        </w:rPr>
      </w:pPr>
      <w:r w:rsidRPr="00C83DF5">
        <w:rPr>
          <w:rFonts w:ascii="Tahoma" w:hAnsi="Tahoma" w:cs="Tahoma"/>
          <w:sz w:val="18"/>
          <w:szCs w:val="18"/>
          <w:lang w:val="de-DE"/>
        </w:rPr>
        <w:t>Sie müssen über aktive Software Assurance für das Windows Desktop-Betriebssystem oder über Windows XP Professional-Upgrade-Lizenzen verfügen, die frühestens am 2. Februar 2005 erworben wurden.</w:t>
      </w:r>
    </w:p>
    <w:p w:rsidR="00F64DEA" w:rsidRPr="007025E3" w:rsidRDefault="00F64DEA" w:rsidP="00F64DEA">
      <w:pPr>
        <w:pStyle w:val="Footnotedash"/>
        <w:tabs>
          <w:tab w:val="left" w:pos="1620"/>
        </w:tabs>
        <w:spacing w:before="0" w:after="0"/>
        <w:ind w:left="720" w:firstLine="7"/>
        <w:rPr>
          <w:rFonts w:ascii="Tahoma" w:hAnsi="Tahoma" w:cs="Tahoma"/>
          <w:sz w:val="18"/>
          <w:szCs w:val="18"/>
          <w:lang w:val="de-DE"/>
        </w:rPr>
      </w:pPr>
    </w:p>
    <w:p w:rsidR="00766C40" w:rsidRPr="00C83DF5" w:rsidRDefault="00B73A46" w:rsidP="00F64DEA">
      <w:pPr>
        <w:pStyle w:val="Footnotedash"/>
        <w:tabs>
          <w:tab w:val="left" w:pos="1620"/>
        </w:tabs>
        <w:spacing w:before="0" w:after="0"/>
        <w:ind w:left="720" w:firstLine="7"/>
        <w:rPr>
          <w:lang w:val="de-DE"/>
        </w:rPr>
      </w:pPr>
      <w:r w:rsidRPr="00C83DF5">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rsidR="00F64DEA" w:rsidRPr="007025E3" w:rsidRDefault="00F64DEA" w:rsidP="00F64DEA">
      <w:pPr>
        <w:pStyle w:val="FootnoteBulletLevel1"/>
        <w:tabs>
          <w:tab w:val="clear" w:pos="900"/>
        </w:tabs>
        <w:adjustRightInd/>
        <w:spacing w:before="0" w:after="0"/>
        <w:ind w:left="720" w:firstLine="0"/>
        <w:textAlignment w:val="auto"/>
        <w:rPr>
          <w:rFonts w:ascii="Tahoma" w:hAnsi="Tahoma" w:cs="Tahoma"/>
          <w:b/>
          <w:bCs/>
          <w:sz w:val="18"/>
          <w:szCs w:val="18"/>
          <w:lang w:val="de-DE"/>
        </w:rPr>
      </w:pPr>
    </w:p>
    <w:p w:rsidR="00B73A46" w:rsidRPr="00C83DF5" w:rsidRDefault="00B73A46" w:rsidP="00F64DEA">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Windows XP Professional</w:t>
      </w:r>
    </w:p>
    <w:p w:rsidR="00B73A46" w:rsidRPr="00C83DF5" w:rsidRDefault="00B73A46" w:rsidP="00F64DEA">
      <w:pPr>
        <w:pStyle w:val="FootnoteBulletLevel2"/>
        <w:spacing w:before="0"/>
        <w:ind w:left="720" w:firstLine="0"/>
        <w:rPr>
          <w:lang w:val="de-DE"/>
        </w:rPr>
      </w:pPr>
      <w:r w:rsidRPr="00C83DF5">
        <w:rPr>
          <w:rFonts w:ascii="Tahoma" w:hAnsi="Tahoma" w:cs="Tahoma"/>
          <w:sz w:val="18"/>
          <w:szCs w:val="18"/>
          <w:lang w:val="de-DE"/>
        </w:rPr>
        <w:t>Nutzungseinschränkungen für Windows XP Professional in Korea:</w:t>
      </w:r>
    </w:p>
    <w:p w:rsidR="00B73A46" w:rsidRPr="00C83DF5" w:rsidRDefault="00B73A46" w:rsidP="00F64DEA">
      <w:pPr>
        <w:pStyle w:val="FootnoteBulletLevel2"/>
        <w:spacing w:before="0"/>
        <w:ind w:left="720" w:firstLine="0"/>
        <w:rPr>
          <w:lang w:val="de-DE"/>
        </w:rPr>
      </w:pPr>
      <w:r w:rsidRPr="00C83DF5">
        <w:rPr>
          <w:rFonts w:ascii="Tahoma" w:hAnsi="Tahoma" w:cs="Tahoma"/>
          <w:sz w:val="18"/>
          <w:szCs w:val="18"/>
          <w:lang w:val="de-DE"/>
        </w:rPr>
        <w:t>Sie gelten auch für die Nutzung von Windows XP Professional aufgrund von Downgraderechten.</w:t>
      </w:r>
    </w:p>
    <w:p w:rsidR="00F64DEA" w:rsidRPr="007025E3" w:rsidRDefault="00F64DEA" w:rsidP="00F64DEA">
      <w:pPr>
        <w:pStyle w:val="FootnoteBulletLevel2"/>
        <w:spacing w:before="0"/>
        <w:ind w:left="720" w:firstLine="0"/>
        <w:rPr>
          <w:rFonts w:ascii="Tahoma" w:hAnsi="Tahoma" w:cs="Tahoma"/>
          <w:sz w:val="18"/>
          <w:szCs w:val="18"/>
          <w:lang w:val="de-DE"/>
        </w:rPr>
      </w:pP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rsidR="00B73A46" w:rsidRPr="00C83DF5" w:rsidRDefault="00B73A46" w:rsidP="00346F4B">
      <w:pPr>
        <w:pStyle w:val="Footnotedash"/>
        <w:numPr>
          <w:ilvl w:val="0"/>
          <w:numId w:val="32"/>
        </w:numPr>
        <w:adjustRightInd/>
        <w:spacing w:before="0"/>
        <w:ind w:left="1440"/>
        <w:textAlignment w:val="auto"/>
      </w:pPr>
      <w:r w:rsidRPr="00C83DF5">
        <w:rPr>
          <w:rFonts w:ascii="Tahoma" w:hAnsi="Tahoma" w:cs="Tahoma"/>
          <w:sz w:val="18"/>
          <w:szCs w:val="18"/>
          <w:lang w:val="de-DE"/>
        </w:rPr>
        <w:t xml:space="preserve">Diese Einschränkungen gelten nicht für Kunden, die ihre Lizenz für die koreanische Version von Windows XP Professional vor dem 24. </w:t>
      </w:r>
      <w:r w:rsidRPr="00C83DF5">
        <w:rPr>
          <w:rFonts w:ascii="Tahoma" w:hAnsi="Tahoma" w:cs="Tahoma"/>
          <w:sz w:val="18"/>
          <w:szCs w:val="18"/>
        </w:rPr>
        <w:t xml:space="preserve">August 2006 erworben haben. </w:t>
      </w: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Sie gelten auch nicht für multinationale Kunden, die ihren Hauptsitz außerhalb Koreas haben und nur ein Image der Software nutzen.</w:t>
      </w: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 xml:space="preserve">Die KFTC hat keine Einschränkungen für die Nutzung anderer Sprachversionen als der koreanischen angeordnet. </w:t>
      </w: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Die KFTC hat keine Einschränkungen für die Tablet PC- oder 64-Bit-Editionen in einer beliebigen Sprachversion angeordnet.</w:t>
      </w:r>
    </w:p>
    <w:p w:rsidR="00F64DEA" w:rsidRPr="007025E3"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de-DE"/>
        </w:rPr>
      </w:pPr>
    </w:p>
    <w:p w:rsidR="00B73A46" w:rsidRPr="00C83DF5" w:rsidRDefault="00B73A46" w:rsidP="00F64DEA">
      <w:pPr>
        <w:pStyle w:val="FootnoteBulletLevel2"/>
        <w:spacing w:before="0"/>
        <w:ind w:left="720" w:hanging="7"/>
        <w:rPr>
          <w:lang w:val="de-DE"/>
        </w:rPr>
      </w:pPr>
      <w:r w:rsidRPr="00C83DF5">
        <w:rPr>
          <w:rFonts w:ascii="Tahoma" w:hAnsi="Tahoma" w:cs="Tahoma"/>
          <w:sz w:val="18"/>
          <w:szCs w:val="18"/>
          <w:u w:val="single"/>
          <w:lang w:val="de-DE"/>
        </w:rPr>
        <w:t>Einschränkungen</w:t>
      </w:r>
      <w:r w:rsidRPr="00371BC0">
        <w:rPr>
          <w:rFonts w:ascii="Tahoma" w:hAnsi="Tahoma" w:cs="Tahoma"/>
          <w:sz w:val="18"/>
          <w:szCs w:val="18"/>
          <w:lang w:val="de-DE"/>
        </w:rPr>
        <w:t>:</w:t>
      </w:r>
    </w:p>
    <w:p w:rsidR="00B73A46" w:rsidRPr="00C83DF5" w:rsidRDefault="00B73A46" w:rsidP="00F64DEA">
      <w:pPr>
        <w:pStyle w:val="FootnoteBulletLevel2"/>
        <w:spacing w:before="0"/>
        <w:ind w:left="720" w:hanging="7"/>
        <w:rPr>
          <w:lang w:val="de-DE"/>
        </w:rPr>
      </w:pPr>
      <w:r w:rsidRPr="00C83DF5">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rsidR="00B73A46" w:rsidRPr="00C83DF5" w:rsidRDefault="00B73A46" w:rsidP="00F64DEA">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lastRenderedPageBreak/>
        <w:t>Windows XP Professional K und KN</w:t>
      </w:r>
    </w:p>
    <w:p w:rsidR="00B73A46" w:rsidRPr="00C83DF5" w:rsidRDefault="00B73A46" w:rsidP="00F64DEA">
      <w:pPr>
        <w:pStyle w:val="FootnoteBulletLevel2"/>
        <w:spacing w:before="0"/>
        <w:ind w:left="720" w:hanging="7"/>
        <w:rPr>
          <w:lang w:val="de-DE"/>
        </w:rPr>
      </w:pPr>
      <w:r w:rsidRPr="00C83DF5">
        <w:rPr>
          <w:rFonts w:ascii="Tahoma" w:hAnsi="Tahoma" w:cs="Tahoma"/>
          <w:sz w:val="18"/>
          <w:szCs w:val="18"/>
          <w:lang w:val="de-DE"/>
        </w:rPr>
        <w:t xml:space="preserve">Kunden mit Volumenlizenzverträgen und ihre verbundenen Unternehmen dürfen Windows XP Professional K oder KN nur zur Nutzung in Korea bereitstellen. </w:t>
      </w:r>
    </w:p>
    <w:p w:rsidR="00F64DEA" w:rsidRPr="007025E3" w:rsidRDefault="00F64DEA" w:rsidP="00F64DEA">
      <w:pPr>
        <w:pStyle w:val="FootnoteBulletLevel2"/>
        <w:spacing w:before="0"/>
        <w:ind w:left="720" w:hanging="7"/>
        <w:rPr>
          <w:rFonts w:ascii="Tahoma" w:hAnsi="Tahoma" w:cs="Tahoma"/>
          <w:sz w:val="16"/>
          <w:szCs w:val="16"/>
          <w:lang w:val="de-DE"/>
        </w:rPr>
      </w:pPr>
    </w:p>
    <w:p w:rsidR="00B73A46" w:rsidRPr="00C83DF5" w:rsidRDefault="00B73A46" w:rsidP="00F64DEA">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Windows Vista Business KN</w:t>
      </w:r>
    </w:p>
    <w:p w:rsidR="00B73A46" w:rsidRPr="00C83DF5" w:rsidRDefault="00B73A46" w:rsidP="00371BC0">
      <w:pPr>
        <w:pStyle w:val="FootnoteBulletLevel2"/>
        <w:spacing w:before="0"/>
        <w:ind w:left="720" w:hanging="7"/>
        <w:rPr>
          <w:lang w:val="de-DE"/>
        </w:rPr>
      </w:pPr>
      <w:r w:rsidRPr="00C83DF5">
        <w:rPr>
          <w:rFonts w:ascii="Tahoma" w:hAnsi="Tahoma" w:cs="Tahoma"/>
          <w:sz w:val="18"/>
          <w:szCs w:val="18"/>
          <w:u w:val="single"/>
          <w:lang w:val="de-DE"/>
        </w:rPr>
        <w:t>Berechtigung</w:t>
      </w:r>
      <w:r w:rsidRPr="00371BC0">
        <w:rPr>
          <w:rFonts w:ascii="Tahoma" w:hAnsi="Tahoma" w:cs="Tahoma"/>
          <w:sz w:val="18"/>
          <w:szCs w:val="18"/>
          <w:lang w:val="de-DE"/>
        </w:rPr>
        <w:t>:</w:t>
      </w:r>
      <w:r w:rsidRPr="00C83DF5">
        <w:rPr>
          <w:rFonts w:ascii="Tahoma" w:hAnsi="Tahoma" w:cs="Tahoma"/>
          <w:sz w:val="18"/>
          <w:szCs w:val="18"/>
          <w:u w:val="single"/>
          <w:lang w:val="de-DE"/>
        </w:rPr>
        <w:br/>
      </w:r>
      <w:r w:rsidRPr="00C83DF5">
        <w:rPr>
          <w:rFonts w:ascii="Tahoma" w:hAnsi="Tahoma" w:cs="Tahoma"/>
          <w:sz w:val="18"/>
          <w:szCs w:val="18"/>
          <w:lang w:val="de-DE"/>
        </w:rPr>
        <w:t>Volumenlizenzkunden in Korea, die über einen aktiven Volumenlizenzvertrag oder Beitritt mit Microsoft</w:t>
      </w:r>
      <w:r w:rsidR="00371BC0">
        <w:rPr>
          <w:rFonts w:ascii="Tahoma" w:hAnsi="Tahoma" w:cs="Tahoma"/>
          <w:sz w:val="18"/>
          <w:szCs w:val="18"/>
          <w:lang w:val="de-DE"/>
        </w:rPr>
        <w:t> </w:t>
      </w:r>
      <w:r w:rsidRPr="00C83DF5">
        <w:rPr>
          <w:rFonts w:ascii="Tahoma" w:hAnsi="Tahoma" w:cs="Tahoma"/>
          <w:sz w:val="18"/>
          <w:szCs w:val="18"/>
          <w:lang w:val="de-DE"/>
        </w:rPr>
        <w:t>Operations Pte Ltd verfügen, sind berechtigt, Medien für Windows Vista Business KN für</w:t>
      </w:r>
      <w:r w:rsidR="00371BC0">
        <w:rPr>
          <w:rFonts w:ascii="Tahoma" w:hAnsi="Tahoma" w:cs="Tahoma"/>
          <w:sz w:val="18"/>
          <w:szCs w:val="18"/>
          <w:lang w:val="de-DE"/>
        </w:rPr>
        <w:t> </w:t>
      </w:r>
      <w:r w:rsidRPr="00C83DF5">
        <w:rPr>
          <w:rFonts w:ascii="Tahoma" w:hAnsi="Tahoma" w:cs="Tahoma"/>
          <w:sz w:val="18"/>
          <w:szCs w:val="18"/>
          <w:lang w:val="de-DE"/>
        </w:rPr>
        <w:t>die</w:t>
      </w:r>
      <w:r w:rsidR="00371BC0">
        <w:rPr>
          <w:rFonts w:ascii="Tahoma" w:hAnsi="Tahoma" w:cs="Tahoma"/>
          <w:sz w:val="18"/>
          <w:szCs w:val="18"/>
          <w:lang w:val="de-DE"/>
        </w:rPr>
        <w:t> </w:t>
      </w:r>
      <w:r w:rsidRPr="00C83DF5">
        <w:rPr>
          <w:rFonts w:ascii="Tahoma" w:hAnsi="Tahoma" w:cs="Tahoma"/>
          <w:sz w:val="18"/>
          <w:szCs w:val="18"/>
          <w:lang w:val="de-DE"/>
        </w:rPr>
        <w:t>Bereitstellung und Nutzung in Korea zu erwerben. Keine andere Verwendung ist erlaubt.</w:t>
      </w:r>
    </w:p>
    <w:p w:rsidR="00F64DEA" w:rsidRPr="007025E3" w:rsidRDefault="00F64DEA" w:rsidP="00F64DEA">
      <w:pPr>
        <w:pStyle w:val="FootnoteBulletLevel2"/>
        <w:spacing w:before="0"/>
        <w:ind w:left="720" w:hanging="7"/>
        <w:rPr>
          <w:rFonts w:ascii="Tahoma" w:hAnsi="Tahoma" w:cs="Tahoma"/>
          <w:sz w:val="16"/>
          <w:szCs w:val="16"/>
          <w:lang w:val="de-DE"/>
        </w:rPr>
      </w:pPr>
    </w:p>
    <w:p w:rsidR="00B73A46" w:rsidRPr="00C83DF5" w:rsidRDefault="00B73A46" w:rsidP="00F64DEA">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Windows 7 Professional KN</w:t>
      </w:r>
    </w:p>
    <w:p w:rsidR="00B47893" w:rsidRPr="00C83DF5" w:rsidRDefault="00B73A46" w:rsidP="00F64DEA">
      <w:pPr>
        <w:pStyle w:val="FootnoteBulletLevel2"/>
        <w:spacing w:before="0"/>
        <w:ind w:left="720" w:hanging="7"/>
        <w:rPr>
          <w:lang w:val="de-DE"/>
        </w:rPr>
      </w:pPr>
      <w:r w:rsidRPr="00C83DF5">
        <w:rPr>
          <w:rFonts w:ascii="Tahoma" w:hAnsi="Tahoma" w:cs="Tahoma"/>
          <w:sz w:val="18"/>
          <w:szCs w:val="18"/>
          <w:u w:val="single"/>
          <w:lang w:val="de-DE"/>
        </w:rPr>
        <w:t>Berechtigung</w:t>
      </w:r>
      <w:r w:rsidRPr="00371BC0">
        <w:rPr>
          <w:rFonts w:ascii="Tahoma" w:hAnsi="Tahoma" w:cs="Tahoma"/>
          <w:sz w:val="18"/>
          <w:szCs w:val="18"/>
          <w:lang w:val="de-DE"/>
        </w:rPr>
        <w:t>:</w:t>
      </w:r>
      <w:r w:rsidRPr="00C83DF5">
        <w:rPr>
          <w:rFonts w:ascii="Tahoma" w:hAnsi="Tahoma" w:cs="Tahoma"/>
          <w:sz w:val="18"/>
          <w:szCs w:val="18"/>
          <w:u w:val="single"/>
          <w:lang w:val="de-DE"/>
        </w:rPr>
        <w:br/>
      </w:r>
      <w:r w:rsidRPr="00C83DF5">
        <w:rPr>
          <w:rFonts w:ascii="Tahoma" w:hAnsi="Tahoma" w:cs="Tahoma"/>
          <w:sz w:val="18"/>
          <w:szCs w:val="18"/>
          <w:lang w:val="de-DE"/>
        </w:rPr>
        <w:t>Volumenlizenzkunden in Korea, die über einen aktiven Volumenlizenzvertrag oder Beitritt mit Microsoft Operations Pte Ltd verfügen, sind berechtigt, Medien für Windows 7 Professional KN für die Bereitstellung und Nutzung in Korea zu erwerben. Keine andere Verwendung ist erlaubt.</w:t>
      </w:r>
    </w:p>
    <w:p w:rsidR="00F64DEA" w:rsidRPr="007025E3" w:rsidRDefault="00F64DEA" w:rsidP="00F64DEA">
      <w:pPr>
        <w:pStyle w:val="FootnoteBulletLevel2"/>
        <w:spacing w:before="0"/>
        <w:ind w:left="720" w:hanging="7"/>
        <w:rPr>
          <w:rFonts w:ascii="Tahoma" w:hAnsi="Tahoma" w:cs="Tahoma"/>
          <w:sz w:val="16"/>
          <w:szCs w:val="16"/>
          <w:lang w:val="de-DE"/>
        </w:rPr>
      </w:pPr>
    </w:p>
    <w:p w:rsidR="00B73A46" w:rsidRPr="00C83DF5" w:rsidRDefault="00B73A46" w:rsidP="00F64DEA">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Windows Vista Business N (ohne Windows Media Player)</w:t>
      </w:r>
    </w:p>
    <w:p w:rsidR="00B73A46" w:rsidRPr="00C83DF5" w:rsidRDefault="00B73A46" w:rsidP="00F64DEA">
      <w:pPr>
        <w:pStyle w:val="FootnoteBulletLevel2"/>
        <w:spacing w:before="0"/>
        <w:ind w:left="720" w:hanging="7"/>
        <w:rPr>
          <w:lang w:val="de-DE"/>
        </w:rPr>
      </w:pPr>
      <w:r w:rsidRPr="00C83DF5">
        <w:rPr>
          <w:rFonts w:ascii="Tahoma" w:hAnsi="Tahoma" w:cs="Tahoma"/>
          <w:sz w:val="18"/>
          <w:szCs w:val="18"/>
          <w:u w:val="single"/>
          <w:lang w:val="de-DE"/>
        </w:rPr>
        <w:t>Berechtigung</w:t>
      </w:r>
      <w:r w:rsidRPr="00371BC0">
        <w:rPr>
          <w:rFonts w:ascii="Tahoma" w:hAnsi="Tahoma" w:cs="Tahoma"/>
          <w:sz w:val="18"/>
          <w:szCs w:val="18"/>
          <w:lang w:val="de-DE"/>
        </w:rPr>
        <w:t>:</w:t>
      </w:r>
      <w:r w:rsidRPr="00C83DF5">
        <w:rPr>
          <w:rFonts w:ascii="Tahoma" w:hAnsi="Tahoma" w:cs="Tahoma"/>
          <w:sz w:val="18"/>
          <w:szCs w:val="18"/>
          <w:u w:val="single"/>
          <w:lang w:val="de-DE"/>
        </w:rPr>
        <w:br/>
      </w:r>
      <w:r w:rsidRPr="00C83DF5">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rsidR="00F64DEA" w:rsidRPr="007025E3" w:rsidRDefault="00F64DEA" w:rsidP="00F64DEA">
      <w:pPr>
        <w:pStyle w:val="FootnoteBulletLevel2"/>
        <w:spacing w:before="0"/>
        <w:ind w:left="720" w:hanging="7"/>
        <w:rPr>
          <w:rFonts w:ascii="Tahoma" w:hAnsi="Tahoma" w:cs="Tahoma"/>
          <w:sz w:val="16"/>
          <w:szCs w:val="16"/>
          <w:lang w:val="de-DE"/>
        </w:rPr>
      </w:pPr>
    </w:p>
    <w:p w:rsidR="00B73A46" w:rsidRPr="00C83DF5" w:rsidRDefault="00B73A46" w:rsidP="00F64DEA">
      <w:pPr>
        <w:pStyle w:val="Footnotedash"/>
        <w:spacing w:before="0" w:after="0"/>
        <w:ind w:left="720" w:hanging="7"/>
        <w:rPr>
          <w:lang w:val="de-DE"/>
        </w:rPr>
      </w:pPr>
      <w:r w:rsidRPr="00C83DF5">
        <w:rPr>
          <w:rFonts w:ascii="Tahoma" w:hAnsi="Tahoma" w:cs="Tahoma"/>
          <w:sz w:val="18"/>
          <w:szCs w:val="18"/>
          <w:lang w:val="de-DE"/>
        </w:rPr>
        <w:t xml:space="preserve">Sie müssen über mindestens einen der folgenden aktiven Verträge oder Beitritte mit Microsoft Ireland Operations Ltd verfügen: </w:t>
      </w:r>
    </w:p>
    <w:p w:rsidR="00F64DEA" w:rsidRPr="007025E3" w:rsidRDefault="00F64DEA" w:rsidP="00F64DEA">
      <w:pPr>
        <w:pStyle w:val="Footnotedash"/>
        <w:spacing w:before="0" w:after="0"/>
        <w:ind w:left="720" w:hanging="7"/>
        <w:rPr>
          <w:rFonts w:ascii="Tahoma" w:hAnsi="Tahoma" w:cs="Tahoma"/>
          <w:sz w:val="16"/>
          <w:szCs w:val="16"/>
          <w:lang w:val="de-DE"/>
        </w:rPr>
      </w:pP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Select-, Konzern- oder Konzern-Abonnement-Beitritt</w:t>
      </w: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 xml:space="preserve">Open-Lizenz*, Open Value, Campus- und School-Vertrag, Open Value Subscription – Bildungslösungen </w:t>
      </w:r>
    </w:p>
    <w:p w:rsidR="00B73A46" w:rsidRPr="00C83DF5" w:rsidRDefault="00B73A46" w:rsidP="00F64DEA">
      <w:pPr>
        <w:pStyle w:val="Footnotedash"/>
        <w:tabs>
          <w:tab w:val="clear" w:pos="1620"/>
        </w:tabs>
        <w:adjustRightInd/>
        <w:spacing w:before="0"/>
        <w:ind w:left="1440" w:firstLine="0"/>
        <w:textAlignment w:val="auto"/>
        <w:rPr>
          <w:lang w:val="de-DE"/>
        </w:rPr>
      </w:pPr>
      <w:r w:rsidRPr="00C83DF5">
        <w:rPr>
          <w:rFonts w:ascii="Tahoma" w:hAnsi="Tahoma" w:cs="Tahoma"/>
          <w:sz w:val="18"/>
          <w:szCs w:val="18"/>
          <w:lang w:val="de-DE"/>
        </w:rPr>
        <w:t>(*Bei einer Open-Lizenz ist ein „aktiver Vertrag“ einer, der mit einer aktiven Open-Lizenz-Autorisierungsnummer verknüpft ist.)</w:t>
      </w:r>
    </w:p>
    <w:p w:rsidR="00F64DEA" w:rsidRPr="007025E3" w:rsidRDefault="00F64DEA" w:rsidP="00AF3B19">
      <w:pPr>
        <w:pStyle w:val="Footnotedash"/>
        <w:tabs>
          <w:tab w:val="clear" w:pos="1620"/>
        </w:tabs>
        <w:adjustRightInd/>
        <w:spacing w:before="0" w:after="0"/>
        <w:ind w:left="0" w:firstLine="0"/>
        <w:textAlignment w:val="auto"/>
        <w:rPr>
          <w:rFonts w:ascii="Tahoma" w:hAnsi="Tahoma" w:cs="Tahoma"/>
          <w:sz w:val="16"/>
          <w:szCs w:val="16"/>
          <w:lang w:val="de-DE"/>
        </w:rPr>
      </w:pPr>
    </w:p>
    <w:p w:rsidR="00B73A46" w:rsidRPr="00C83DF5" w:rsidRDefault="00B73A46" w:rsidP="00371BC0">
      <w:pPr>
        <w:pStyle w:val="Footnotedash"/>
        <w:spacing w:before="0" w:after="0"/>
        <w:ind w:left="720" w:hanging="7"/>
        <w:rPr>
          <w:lang w:val="de-DE"/>
        </w:rPr>
      </w:pPr>
      <w:r w:rsidRPr="00C83DF5">
        <w:rPr>
          <w:rFonts w:ascii="Tahoma" w:hAnsi="Tahoma" w:cs="Tahoma"/>
          <w:sz w:val="18"/>
          <w:szCs w:val="18"/>
          <w:lang w:val="de-DE"/>
        </w:rPr>
        <w:t>Sie müssen über aktive Software Assurance für das Windows Desktop-Betriebssystem oder über Windows</w:t>
      </w:r>
      <w:r w:rsidR="00371BC0">
        <w:rPr>
          <w:rFonts w:ascii="Tahoma" w:hAnsi="Tahoma" w:cs="Tahoma"/>
          <w:sz w:val="18"/>
          <w:szCs w:val="18"/>
          <w:lang w:val="de-DE"/>
        </w:rPr>
        <w:t> </w:t>
      </w:r>
      <w:r w:rsidRPr="00C83DF5">
        <w:rPr>
          <w:rFonts w:ascii="Tahoma" w:hAnsi="Tahoma" w:cs="Tahoma"/>
          <w:sz w:val="18"/>
          <w:szCs w:val="18"/>
          <w:lang w:val="de-DE"/>
        </w:rPr>
        <w:t>Vista Business-Upgrade-Lizenzen verfügen.</w:t>
      </w:r>
    </w:p>
    <w:p w:rsidR="00F64DEA" w:rsidRPr="00091435" w:rsidRDefault="00F64DEA" w:rsidP="00F64DEA">
      <w:pPr>
        <w:pStyle w:val="Footnotedash"/>
        <w:spacing w:before="0" w:after="0"/>
        <w:ind w:left="720" w:hanging="7"/>
        <w:rPr>
          <w:rFonts w:ascii="Tahoma" w:hAnsi="Tahoma" w:cs="Tahoma"/>
          <w:sz w:val="16"/>
          <w:szCs w:val="16"/>
          <w:lang w:val="de-DE"/>
        </w:rPr>
      </w:pPr>
    </w:p>
    <w:p w:rsidR="00B73A46" w:rsidRPr="00C83DF5" w:rsidRDefault="00B73A46" w:rsidP="00F64DEA">
      <w:pPr>
        <w:pStyle w:val="Footnotedash"/>
        <w:spacing w:before="0" w:after="0"/>
        <w:ind w:left="720" w:hanging="7"/>
        <w:rPr>
          <w:lang w:val="de-DE"/>
        </w:rPr>
      </w:pPr>
      <w:r w:rsidRPr="00C83DF5">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B3E62" w:rsidRPr="007025E3" w:rsidRDefault="00EB3E62" w:rsidP="00091435">
      <w:pPr>
        <w:pStyle w:val="Footnotedash"/>
        <w:tabs>
          <w:tab w:val="clear" w:pos="1620"/>
          <w:tab w:val="left" w:pos="1102"/>
        </w:tabs>
        <w:spacing w:before="0" w:after="0"/>
        <w:ind w:left="720" w:hanging="7"/>
        <w:rPr>
          <w:rFonts w:ascii="Tahoma" w:hAnsi="Tahoma" w:cs="Tahoma"/>
          <w:sz w:val="16"/>
          <w:szCs w:val="16"/>
          <w:lang w:val="de-DE"/>
        </w:rPr>
      </w:pPr>
    </w:p>
    <w:p w:rsidR="00B73A46" w:rsidRPr="00C83DF5" w:rsidRDefault="00B73A46" w:rsidP="00EB3E62">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Windows 7 Professional N (ohne Windows Media Player)</w:t>
      </w:r>
    </w:p>
    <w:p w:rsidR="00B73A46" w:rsidRPr="00C83DF5" w:rsidRDefault="00B73A46" w:rsidP="00091435">
      <w:pPr>
        <w:pStyle w:val="FootnoteBulletLevel2"/>
        <w:spacing w:before="0"/>
        <w:ind w:left="720" w:firstLine="0"/>
        <w:rPr>
          <w:lang w:val="de-DE"/>
        </w:rPr>
      </w:pPr>
      <w:r w:rsidRPr="00C83DF5">
        <w:rPr>
          <w:rFonts w:ascii="Tahoma" w:hAnsi="Tahoma" w:cs="Tahoma"/>
          <w:sz w:val="18"/>
          <w:szCs w:val="18"/>
          <w:u w:val="single"/>
          <w:lang w:val="de-DE"/>
        </w:rPr>
        <w:t>Berechtigung</w:t>
      </w:r>
      <w:r w:rsidRPr="00371BC0">
        <w:rPr>
          <w:rFonts w:ascii="Tahoma" w:hAnsi="Tahoma" w:cs="Tahoma"/>
          <w:sz w:val="18"/>
          <w:szCs w:val="18"/>
          <w:lang w:val="de-DE"/>
        </w:rPr>
        <w:t>:</w:t>
      </w:r>
      <w:r w:rsidRPr="00C83DF5">
        <w:rPr>
          <w:rFonts w:ascii="Tahoma" w:hAnsi="Tahoma" w:cs="Tahoma"/>
          <w:sz w:val="18"/>
          <w:szCs w:val="18"/>
          <w:u w:val="single"/>
          <w:lang w:val="de-DE"/>
        </w:rPr>
        <w:br/>
      </w:r>
      <w:r w:rsidRPr="00C83DF5">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w:t>
      </w:r>
      <w:r w:rsidR="00091435">
        <w:rPr>
          <w:rFonts w:ascii="Tahoma" w:hAnsi="Tahoma" w:cs="Tahoma"/>
          <w:sz w:val="18"/>
          <w:szCs w:val="18"/>
          <w:lang w:val="de-DE"/>
        </w:rPr>
        <w:t> </w:t>
      </w:r>
      <w:r w:rsidRPr="00C83DF5">
        <w:rPr>
          <w:rFonts w:ascii="Tahoma" w:hAnsi="Tahoma" w:cs="Tahoma"/>
          <w:sz w:val="18"/>
          <w:szCs w:val="18"/>
          <w:lang w:val="de-DE"/>
        </w:rPr>
        <w:t>Europäischen Freihandelszone (EFTA), in Bulgarien, Kroatien, Rumänien oder der Schweiz zu erwerben.</w:t>
      </w:r>
    </w:p>
    <w:p w:rsidR="00B73A46" w:rsidRPr="00C83DF5" w:rsidRDefault="00B73A46" w:rsidP="00EB3E62">
      <w:pPr>
        <w:pStyle w:val="Footnotedash"/>
        <w:spacing w:before="0" w:after="0"/>
        <w:ind w:left="720" w:firstLine="0"/>
        <w:rPr>
          <w:lang w:val="de-DE"/>
        </w:rPr>
      </w:pPr>
      <w:r w:rsidRPr="00C83DF5">
        <w:rPr>
          <w:rFonts w:ascii="Tahoma" w:hAnsi="Tahoma" w:cs="Tahoma"/>
          <w:sz w:val="18"/>
          <w:szCs w:val="18"/>
          <w:lang w:val="de-DE"/>
        </w:rPr>
        <w:t xml:space="preserve">Sie müssen über mindestens einen der folgenden aktiven Verträge oder Beitritte mit Microsoft Ireland Operations Ltd verfügen: </w:t>
      </w: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Select-, Konzern- oder Konzern-Abonnement-Beitritt</w:t>
      </w:r>
    </w:p>
    <w:p w:rsidR="00B73A46" w:rsidRPr="00C83DF5" w:rsidRDefault="00B73A46"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 xml:space="preserve">Open-Lizenz*, Open Value, Campus- und School-Vertrag, Open Value Subscription – Bildungslösungen </w:t>
      </w:r>
    </w:p>
    <w:p w:rsidR="00B73A46" w:rsidRPr="00C83DF5" w:rsidRDefault="00B73A46" w:rsidP="00EB3E62">
      <w:pPr>
        <w:pStyle w:val="Footnotedash"/>
        <w:tabs>
          <w:tab w:val="clear" w:pos="1620"/>
        </w:tabs>
        <w:adjustRightInd/>
        <w:spacing w:before="0"/>
        <w:ind w:left="1440" w:firstLine="0"/>
        <w:textAlignment w:val="auto"/>
        <w:rPr>
          <w:lang w:val="de-DE"/>
        </w:rPr>
      </w:pPr>
      <w:r w:rsidRPr="00C83DF5">
        <w:rPr>
          <w:rFonts w:ascii="Tahoma" w:hAnsi="Tahoma" w:cs="Tahoma"/>
          <w:sz w:val="18"/>
          <w:szCs w:val="18"/>
          <w:lang w:val="de-DE"/>
        </w:rPr>
        <w:t>(*Bei einer Open-Lizenz ist ein „aktiver Vertrag“ einer, der mit einer aktiven Open-Lizenz-Autorisierungsnummer verknüpft ist.)</w:t>
      </w:r>
    </w:p>
    <w:p w:rsidR="00B73A46" w:rsidRPr="00C83DF5" w:rsidRDefault="00B73A46" w:rsidP="00EB3E62">
      <w:pPr>
        <w:pStyle w:val="Footnotedash"/>
        <w:spacing w:before="0" w:after="0"/>
        <w:ind w:left="720" w:firstLine="0"/>
        <w:rPr>
          <w:lang w:val="de-DE"/>
        </w:rPr>
      </w:pPr>
      <w:r w:rsidRPr="00C83DF5">
        <w:rPr>
          <w:rFonts w:ascii="Tahoma" w:hAnsi="Tahoma" w:cs="Tahoma"/>
          <w:sz w:val="18"/>
          <w:szCs w:val="18"/>
          <w:lang w:val="de-DE"/>
        </w:rPr>
        <w:t>Sie müssen über aktive Software Assurance für das Windows Desktop-Betriebssytem oder Windows 8 Pro oder über Upgrade-Lizenzen verfügen.</w:t>
      </w:r>
    </w:p>
    <w:p w:rsidR="00EB3E62" w:rsidRPr="007025E3" w:rsidRDefault="00EB3E62" w:rsidP="00EB3E62">
      <w:pPr>
        <w:pStyle w:val="Footnotedash"/>
        <w:spacing w:before="0" w:after="0"/>
        <w:ind w:left="720" w:firstLine="0"/>
        <w:rPr>
          <w:rFonts w:ascii="Tahoma" w:hAnsi="Tahoma" w:cs="Tahoma"/>
          <w:sz w:val="16"/>
          <w:szCs w:val="16"/>
          <w:lang w:val="de-DE"/>
        </w:rPr>
      </w:pPr>
    </w:p>
    <w:p w:rsidR="00B73A46" w:rsidRPr="00C83DF5" w:rsidRDefault="00B73A46" w:rsidP="00EB3E62">
      <w:pPr>
        <w:pStyle w:val="Footnotedash"/>
        <w:spacing w:before="0" w:after="0"/>
        <w:ind w:left="720" w:firstLine="0"/>
        <w:rPr>
          <w:lang w:val="de-DE"/>
        </w:rPr>
      </w:pPr>
      <w:r w:rsidRPr="00C83DF5">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B3E62" w:rsidRPr="007025E3" w:rsidRDefault="00EB3E62" w:rsidP="00EB3E62">
      <w:pPr>
        <w:pStyle w:val="Footnotedash"/>
        <w:spacing w:before="0" w:after="0"/>
        <w:ind w:left="720" w:firstLine="0"/>
        <w:rPr>
          <w:rFonts w:ascii="Tahoma" w:hAnsi="Tahoma" w:cs="Tahoma"/>
          <w:sz w:val="16"/>
          <w:szCs w:val="16"/>
          <w:lang w:val="de-DE"/>
        </w:rPr>
      </w:pPr>
    </w:p>
    <w:p w:rsidR="00697E59" w:rsidRPr="00C83DF5" w:rsidRDefault="00B73A46" w:rsidP="00EB3E62">
      <w:pPr>
        <w:pStyle w:val="Footnotedash"/>
        <w:spacing w:before="0" w:after="0"/>
        <w:ind w:left="720" w:firstLine="0"/>
        <w:rPr>
          <w:lang w:val="de-DE"/>
        </w:rPr>
      </w:pPr>
      <w:r w:rsidRPr="00C83DF5">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rsidR="008A5D64" w:rsidRPr="00C83DF5" w:rsidRDefault="008A5D64" w:rsidP="007B35CE">
      <w:pPr>
        <w:pStyle w:val="FootnoteBulletLevel1"/>
        <w:keepNext/>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lastRenderedPageBreak/>
        <w:t>Windows 8 Pro KN und Windows 8.1 Pro KN</w:t>
      </w:r>
    </w:p>
    <w:p w:rsidR="008A5D64" w:rsidRPr="00C83DF5" w:rsidRDefault="008A5D64" w:rsidP="004E434D">
      <w:pPr>
        <w:pStyle w:val="FootnoteBulletLevel2"/>
        <w:spacing w:before="0"/>
        <w:ind w:left="720" w:hanging="7"/>
        <w:rPr>
          <w:lang w:val="de-DE"/>
        </w:rPr>
      </w:pPr>
      <w:r w:rsidRPr="00C83DF5">
        <w:rPr>
          <w:rFonts w:ascii="Tahoma" w:hAnsi="Tahoma" w:cs="Tahoma"/>
          <w:sz w:val="18"/>
          <w:szCs w:val="18"/>
          <w:u w:val="single"/>
          <w:lang w:val="de-DE"/>
        </w:rPr>
        <w:t>Berechtigung</w:t>
      </w:r>
      <w:r w:rsidRPr="00C83DF5">
        <w:rPr>
          <w:rFonts w:ascii="Tahoma" w:hAnsi="Tahoma" w:cs="Tahoma"/>
          <w:sz w:val="18"/>
          <w:szCs w:val="18"/>
          <w:u w:val="single"/>
          <w:lang w:val="de-DE"/>
        </w:rPr>
        <w:br/>
      </w:r>
      <w:r w:rsidRPr="00C83DF5">
        <w:rPr>
          <w:rFonts w:ascii="Tahoma" w:hAnsi="Tahoma" w:cs="Tahoma"/>
          <w:sz w:val="18"/>
          <w:szCs w:val="18"/>
          <w:lang w:val="de-DE"/>
        </w:rPr>
        <w:t>Volumenlizenzkunden in Korea, die über einen aktiven Volumenlizenzvertrag oder Beitritt mit Microsoft Operations Pte Ltd verfügen, sind berechtigt, Medien für Windows 8 Pro KN und Windows 8.1 Pro KN für</w:t>
      </w:r>
      <w:r w:rsidR="004E434D">
        <w:rPr>
          <w:rFonts w:ascii="Tahoma" w:hAnsi="Tahoma" w:cs="Tahoma"/>
          <w:sz w:val="18"/>
          <w:szCs w:val="18"/>
          <w:lang w:val="de-DE"/>
        </w:rPr>
        <w:t> </w:t>
      </w:r>
      <w:r w:rsidRPr="00C83DF5">
        <w:rPr>
          <w:rFonts w:ascii="Tahoma" w:hAnsi="Tahoma" w:cs="Tahoma"/>
          <w:sz w:val="18"/>
          <w:szCs w:val="18"/>
          <w:lang w:val="de-DE"/>
        </w:rPr>
        <w:t>die</w:t>
      </w:r>
      <w:r w:rsidR="004E434D">
        <w:rPr>
          <w:rFonts w:ascii="Tahoma" w:hAnsi="Tahoma" w:cs="Tahoma"/>
          <w:sz w:val="18"/>
          <w:szCs w:val="18"/>
          <w:lang w:val="de-DE"/>
        </w:rPr>
        <w:t> </w:t>
      </w:r>
      <w:r w:rsidRPr="00C83DF5">
        <w:rPr>
          <w:rFonts w:ascii="Tahoma" w:hAnsi="Tahoma" w:cs="Tahoma"/>
          <w:sz w:val="18"/>
          <w:szCs w:val="18"/>
          <w:lang w:val="de-DE"/>
        </w:rPr>
        <w:t>Bereitstellung und Nutzung in Korea zu erwerben. Keine andere Verwendung ist erlaubt.</w:t>
      </w:r>
    </w:p>
    <w:p w:rsidR="00804794" w:rsidRPr="007025E3"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lang w:val="de-DE"/>
        </w:rPr>
      </w:pPr>
    </w:p>
    <w:p w:rsidR="008A5D64" w:rsidRPr="00C83DF5" w:rsidRDefault="008A5D64" w:rsidP="00804794">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Windows 8 Pro N und Windows 8.1 Pro N (ohne Windows Media Player)</w:t>
      </w:r>
    </w:p>
    <w:p w:rsidR="008A5D64" w:rsidRPr="00C83DF5" w:rsidRDefault="008A5D64" w:rsidP="00687398">
      <w:pPr>
        <w:pStyle w:val="FootnoteBulletLevel2"/>
        <w:spacing w:before="0"/>
        <w:ind w:left="720" w:firstLine="0"/>
        <w:rPr>
          <w:lang w:val="de-DE"/>
        </w:rPr>
      </w:pPr>
      <w:r w:rsidRPr="00C83DF5">
        <w:rPr>
          <w:rFonts w:ascii="Tahoma" w:hAnsi="Tahoma" w:cs="Tahoma"/>
          <w:sz w:val="18"/>
          <w:szCs w:val="18"/>
          <w:u w:val="single"/>
          <w:lang w:val="de-DE"/>
        </w:rPr>
        <w:t>Berechtigung</w:t>
      </w:r>
      <w:r w:rsidRPr="00687398">
        <w:rPr>
          <w:rFonts w:ascii="Tahoma" w:hAnsi="Tahoma" w:cs="Tahoma"/>
          <w:sz w:val="18"/>
          <w:szCs w:val="18"/>
          <w:lang w:val="de-DE"/>
        </w:rPr>
        <w:t>:</w:t>
      </w:r>
      <w:r w:rsidRPr="00C83DF5">
        <w:rPr>
          <w:rFonts w:ascii="Tahoma" w:hAnsi="Tahoma" w:cs="Tahoma"/>
          <w:sz w:val="18"/>
          <w:szCs w:val="18"/>
          <w:u w:val="single"/>
          <w:lang w:val="de-DE"/>
        </w:rPr>
        <w:br/>
      </w:r>
      <w:r w:rsidRPr="00C83DF5">
        <w:rPr>
          <w:rFonts w:ascii="Tahoma" w:hAnsi="Tahoma" w:cs="Tahoma"/>
          <w:sz w:val="18"/>
          <w:szCs w:val="18"/>
          <w:lang w:val="de-DE"/>
        </w:rPr>
        <w:t>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w:t>
      </w:r>
      <w:r w:rsidR="00687398">
        <w:rPr>
          <w:rFonts w:ascii="Tahoma" w:hAnsi="Tahoma" w:cs="Tahoma"/>
          <w:sz w:val="18"/>
          <w:szCs w:val="18"/>
          <w:lang w:val="de-DE"/>
        </w:rPr>
        <w:t> </w:t>
      </w:r>
      <w:r w:rsidRPr="00C83DF5">
        <w:rPr>
          <w:rFonts w:ascii="Tahoma" w:hAnsi="Tahoma" w:cs="Tahoma"/>
          <w:sz w:val="18"/>
          <w:szCs w:val="18"/>
          <w:lang w:val="de-DE"/>
        </w:rPr>
        <w:t>der Schweiz zu erwerben.</w:t>
      </w:r>
    </w:p>
    <w:p w:rsidR="008A5D64" w:rsidRPr="00C83DF5" w:rsidRDefault="008A5D64" w:rsidP="00804794">
      <w:pPr>
        <w:pStyle w:val="Footnotedash"/>
        <w:spacing w:before="0" w:after="0"/>
        <w:ind w:left="720" w:hanging="7"/>
        <w:rPr>
          <w:lang w:val="de-DE"/>
        </w:rPr>
      </w:pPr>
      <w:r w:rsidRPr="00C83DF5">
        <w:rPr>
          <w:rFonts w:ascii="Tahoma" w:hAnsi="Tahoma" w:cs="Tahoma"/>
          <w:sz w:val="18"/>
          <w:szCs w:val="18"/>
          <w:lang w:val="de-DE"/>
        </w:rPr>
        <w:t xml:space="preserve">Sie müssen über mindestens einen der folgenden aktiven Verträge oder Beitritte mit Microsoft Ireland Operations Ltd verfügen: </w:t>
      </w:r>
    </w:p>
    <w:p w:rsidR="00804794" w:rsidRPr="007025E3" w:rsidRDefault="00804794" w:rsidP="00804794">
      <w:pPr>
        <w:pStyle w:val="Footnotedash"/>
        <w:spacing w:before="0" w:after="0"/>
        <w:ind w:left="720" w:hanging="7"/>
        <w:rPr>
          <w:rFonts w:ascii="Tahoma" w:hAnsi="Tahoma" w:cs="Tahoma"/>
          <w:sz w:val="18"/>
          <w:szCs w:val="18"/>
          <w:lang w:val="de-DE"/>
        </w:rPr>
      </w:pPr>
    </w:p>
    <w:p w:rsidR="008A5D64" w:rsidRPr="00C83DF5" w:rsidRDefault="008A5D64"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Select-, Konzern- oder Konzern-Abonnement-Beitritt</w:t>
      </w:r>
    </w:p>
    <w:p w:rsidR="008A5D64" w:rsidRPr="00C83DF5" w:rsidRDefault="008A5D64" w:rsidP="00346F4B">
      <w:pPr>
        <w:pStyle w:val="Footnotedash"/>
        <w:numPr>
          <w:ilvl w:val="0"/>
          <w:numId w:val="32"/>
        </w:numPr>
        <w:adjustRightInd/>
        <w:spacing w:before="0"/>
        <w:ind w:left="1440"/>
        <w:textAlignment w:val="auto"/>
        <w:rPr>
          <w:lang w:val="de-DE"/>
        </w:rPr>
      </w:pPr>
      <w:r w:rsidRPr="00C83DF5">
        <w:rPr>
          <w:rFonts w:ascii="Tahoma" w:hAnsi="Tahoma" w:cs="Tahoma"/>
          <w:sz w:val="18"/>
          <w:szCs w:val="18"/>
          <w:lang w:val="de-DE"/>
        </w:rPr>
        <w:t xml:space="preserve">Open-Lizenz*, Open Value, Campus- und School-Vertrag, Open Value Subscription – Bildungslösungen </w:t>
      </w:r>
    </w:p>
    <w:p w:rsidR="008A5D64" w:rsidRPr="00C83DF5" w:rsidRDefault="008A5D64" w:rsidP="00804794">
      <w:pPr>
        <w:pStyle w:val="Footnotedash"/>
        <w:tabs>
          <w:tab w:val="clear" w:pos="1620"/>
        </w:tabs>
        <w:adjustRightInd/>
        <w:spacing w:before="0"/>
        <w:ind w:left="1440" w:firstLine="0"/>
        <w:textAlignment w:val="auto"/>
        <w:rPr>
          <w:lang w:val="de-DE"/>
        </w:rPr>
      </w:pPr>
      <w:r w:rsidRPr="00C83DF5">
        <w:rPr>
          <w:rFonts w:ascii="Tahoma" w:hAnsi="Tahoma" w:cs="Tahoma"/>
          <w:sz w:val="18"/>
          <w:szCs w:val="18"/>
          <w:lang w:val="de-DE"/>
        </w:rPr>
        <w:t>(*Bei einer Open-Lizenz ist ein „aktiver Vertrag“ einer, der mit einer aktiven Open-Lizenz-Autorisierungsnummer verknüpft ist.)</w:t>
      </w:r>
    </w:p>
    <w:p w:rsidR="00804794" w:rsidRPr="00C83DF5" w:rsidRDefault="00804794" w:rsidP="00804794">
      <w:pPr>
        <w:pStyle w:val="Footnotedash"/>
        <w:tabs>
          <w:tab w:val="clear" w:pos="1620"/>
        </w:tabs>
        <w:adjustRightInd/>
        <w:spacing w:before="0" w:after="0"/>
        <w:ind w:left="1440" w:firstLine="0"/>
        <w:textAlignment w:val="auto"/>
        <w:rPr>
          <w:lang w:val="de-DE"/>
        </w:rPr>
      </w:pPr>
    </w:p>
    <w:p w:rsidR="008A5D64" w:rsidRPr="00C83DF5" w:rsidRDefault="008A5D64" w:rsidP="00804794">
      <w:pPr>
        <w:pStyle w:val="Footnotedash"/>
        <w:spacing w:before="0" w:after="0"/>
        <w:ind w:left="720" w:hanging="7"/>
        <w:rPr>
          <w:lang w:val="de-DE"/>
        </w:rPr>
      </w:pPr>
      <w:r w:rsidRPr="00C83DF5">
        <w:rPr>
          <w:rFonts w:ascii="Tahoma" w:hAnsi="Tahoma" w:cs="Tahoma"/>
          <w:sz w:val="18"/>
          <w:szCs w:val="18"/>
          <w:lang w:val="de-DE"/>
        </w:rPr>
        <w:t>Sie müssen über aktive Software Assurance für das Windows Desktop-Betriebssystem oder über Windows 8 Pro-Upgrade-Lizenzen verfügen.</w:t>
      </w:r>
    </w:p>
    <w:p w:rsidR="00804794" w:rsidRPr="007025E3" w:rsidRDefault="00804794" w:rsidP="00804794">
      <w:pPr>
        <w:pStyle w:val="Footnotedash"/>
        <w:spacing w:before="0" w:after="0"/>
        <w:ind w:left="720" w:hanging="7"/>
        <w:rPr>
          <w:rFonts w:ascii="Tahoma" w:hAnsi="Tahoma" w:cs="Tahoma"/>
          <w:sz w:val="18"/>
          <w:szCs w:val="18"/>
          <w:lang w:val="de-DE"/>
        </w:rPr>
      </w:pPr>
    </w:p>
    <w:p w:rsidR="008A5D64" w:rsidRPr="00C83DF5" w:rsidRDefault="008A5D64" w:rsidP="00804794">
      <w:pPr>
        <w:pStyle w:val="Footnotedash"/>
        <w:spacing w:before="0" w:after="0"/>
        <w:ind w:left="720" w:hanging="7"/>
        <w:rPr>
          <w:lang w:val="de-DE"/>
        </w:rPr>
      </w:pPr>
      <w:r w:rsidRPr="00C83DF5">
        <w:rPr>
          <w:rFonts w:ascii="Tahoma" w:hAnsi="Tahoma" w:cs="Tahoma"/>
          <w:sz w:val="18"/>
          <w:szCs w:val="18"/>
          <w:lang w:val="de-DE"/>
        </w:rPr>
        <w:t>Sie müssen ihren Sitz in einem Land der Europäischen Union (EU), der Europäischen Freihandelszone (EFTA), in Bulgarien, Kroatien, Rumänien oder der Schweiz haben.</w:t>
      </w:r>
    </w:p>
    <w:p w:rsidR="00804794" w:rsidRPr="007025E3"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lang w:val="de-DE"/>
        </w:rPr>
      </w:pPr>
    </w:p>
    <w:p w:rsidR="00B73A46" w:rsidRPr="00C83DF5" w:rsidRDefault="00B73A46" w:rsidP="00804794">
      <w:pPr>
        <w:pStyle w:val="FootnoteBulletLevel1"/>
        <w:tabs>
          <w:tab w:val="clear" w:pos="900"/>
        </w:tabs>
        <w:adjustRightInd/>
        <w:spacing w:before="0" w:after="60"/>
        <w:ind w:left="720" w:firstLine="0"/>
        <w:textAlignment w:val="auto"/>
        <w:rPr>
          <w:lang w:val="de-DE"/>
        </w:rPr>
      </w:pPr>
      <w:r w:rsidRPr="00C83DF5">
        <w:rPr>
          <w:rFonts w:ascii="Tahoma" w:hAnsi="Tahoma" w:cs="Tahoma"/>
          <w:b/>
          <w:bCs/>
          <w:sz w:val="18"/>
          <w:szCs w:val="18"/>
          <w:lang w:val="de-DE"/>
        </w:rPr>
        <w:t>Vermietungsrechte für Windows</w:t>
      </w:r>
    </w:p>
    <w:p w:rsidR="00B73A46" w:rsidRPr="00C83DF5" w:rsidRDefault="00B73A46" w:rsidP="00687398">
      <w:pPr>
        <w:pStyle w:val="FootnoteBulletLevel1"/>
        <w:tabs>
          <w:tab w:val="clear" w:pos="900"/>
        </w:tabs>
        <w:adjustRightInd/>
        <w:spacing w:before="0" w:after="0"/>
        <w:ind w:left="720" w:firstLine="0"/>
        <w:textAlignment w:val="auto"/>
        <w:rPr>
          <w:lang w:val="de-DE"/>
        </w:rPr>
      </w:pPr>
      <w:r w:rsidRPr="00C83DF5">
        <w:rPr>
          <w:rFonts w:ascii="Tahoma" w:hAnsi="Tahoma" w:cs="Tahoma"/>
          <w:sz w:val="18"/>
          <w:szCs w:val="18"/>
          <w:u w:val="single"/>
          <w:lang w:val="de-DE"/>
        </w:rPr>
        <w:t>Vermietungsrechtelizenzen</w:t>
      </w:r>
      <w:r w:rsidRPr="00687398">
        <w:rPr>
          <w:rFonts w:ascii="Tahoma" w:hAnsi="Tahoma" w:cs="Tahoma"/>
          <w:sz w:val="18"/>
          <w:szCs w:val="18"/>
          <w:lang w:val="de-DE"/>
        </w:rPr>
        <w:t>:</w:t>
      </w:r>
      <w:r w:rsidRPr="00C83DF5">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w:t>
      </w:r>
      <w:r w:rsidR="00687398">
        <w:rPr>
          <w:rFonts w:ascii="Tahoma" w:hAnsi="Tahoma" w:cs="Tahoma"/>
          <w:sz w:val="18"/>
          <w:szCs w:val="18"/>
          <w:lang w:val="de-DE"/>
        </w:rPr>
        <w:t> </w:t>
      </w:r>
      <w:r w:rsidRPr="00C83DF5">
        <w:rPr>
          <w:rFonts w:ascii="Tahoma" w:hAnsi="Tahoma" w:cs="Tahoma"/>
          <w:sz w:val="18"/>
          <w:szCs w:val="18"/>
          <w:lang w:val="de-DE"/>
        </w:rPr>
        <w:t>genannten qualifizierenden Betriebssysteme lizenziert sein.</w:t>
      </w:r>
    </w:p>
    <w:p w:rsidR="00804794" w:rsidRPr="00687398"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rsidR="005F52C6" w:rsidRPr="00C83DF5" w:rsidRDefault="00B73A46" w:rsidP="00804794">
      <w:pPr>
        <w:pStyle w:val="FootnoteBulletLevel1"/>
        <w:tabs>
          <w:tab w:val="clear" w:pos="900"/>
        </w:tabs>
        <w:adjustRightInd/>
        <w:spacing w:before="0" w:after="0"/>
        <w:ind w:left="720" w:firstLine="0"/>
        <w:textAlignment w:val="auto"/>
        <w:rPr>
          <w:lang w:val="de-DE"/>
        </w:rPr>
      </w:pPr>
      <w:r w:rsidRPr="00C83DF5">
        <w:rPr>
          <w:rFonts w:ascii="Tahoma" w:hAnsi="Tahoma" w:cs="Tahoma"/>
          <w:sz w:val="18"/>
          <w:szCs w:val="18"/>
          <w:u w:val="single"/>
          <w:lang w:val="de-DE"/>
        </w:rPr>
        <w:t>Windows Vista, Windows 7 Professional, Windows 8 Pro und Windows 8.1 Pro</w:t>
      </w:r>
      <w:r w:rsidRPr="00687398">
        <w:rPr>
          <w:rFonts w:ascii="Tahoma" w:hAnsi="Tahoma" w:cs="Tahoma"/>
          <w:sz w:val="18"/>
          <w:szCs w:val="18"/>
          <w:lang w:val="de-DE"/>
        </w:rPr>
        <w:t>:</w:t>
      </w:r>
    </w:p>
    <w:p w:rsidR="00B73A46" w:rsidRPr="00C83DF5" w:rsidRDefault="00B73A46" w:rsidP="00687398">
      <w:pPr>
        <w:pStyle w:val="FootnoteBulletLevel1"/>
        <w:tabs>
          <w:tab w:val="clear" w:pos="900"/>
        </w:tabs>
        <w:adjustRightInd/>
        <w:spacing w:before="0" w:after="0"/>
        <w:ind w:left="720" w:firstLine="0"/>
        <w:textAlignment w:val="auto"/>
        <w:rPr>
          <w:lang w:val="de-DE"/>
        </w:rPr>
      </w:pPr>
      <w:r w:rsidRPr="00C83DF5">
        <w:rPr>
          <w:rFonts w:ascii="Tahoma" w:hAnsi="Tahoma" w:cs="Tahoma"/>
          <w:sz w:val="18"/>
          <w:szCs w:val="18"/>
          <w:lang w:val="de-DE"/>
        </w:rPr>
        <w:t>Kunden, die über das Select- oder das Open-Lizenzprogramm Vermietungsrechtelizenzen erwerben möchten, müssen zunächst ein qualifizierendes Betriebssystem für ihren De</w:t>
      </w:r>
      <w:r w:rsidR="00687398">
        <w:rPr>
          <w:rFonts w:ascii="Tahoma" w:hAnsi="Tahoma" w:cs="Tahoma"/>
          <w:sz w:val="18"/>
          <w:szCs w:val="18"/>
          <w:lang w:val="de-DE"/>
        </w:rPr>
        <w:t>sktop lizenzieren und es darauf </w:t>
      </w:r>
      <w:r w:rsidRPr="00C83DF5">
        <w:rPr>
          <w:rFonts w:ascii="Tahoma" w:hAnsi="Tahoma" w:cs="Tahoma"/>
          <w:sz w:val="18"/>
          <w:szCs w:val="18"/>
          <w:lang w:val="de-DE"/>
        </w:rPr>
        <w:t>installieren</w:t>
      </w:r>
      <w:r w:rsidRPr="00C83DF5">
        <w:rPr>
          <w:rFonts w:ascii="Tahoma" w:hAnsi="Tahoma" w:cs="Tahoma"/>
          <w:i/>
          <w:iCs/>
          <w:sz w:val="18"/>
          <w:szCs w:val="18"/>
          <w:lang w:val="de-DE"/>
        </w:rPr>
        <w:t>.</w:t>
      </w:r>
      <w:r w:rsidRPr="00C83DF5">
        <w:rPr>
          <w:rFonts w:ascii="Tahoma" w:hAnsi="Tahoma" w:cs="Tahoma"/>
          <w:sz w:val="18"/>
          <w:szCs w:val="18"/>
          <w:lang w:val="de-DE"/>
        </w:rPr>
        <w:t xml:space="preserve"> Lizenzierte qualifizierende Betriebssysteme umfassen auch Lizenzen, die über den Get</w:t>
      </w:r>
      <w:r w:rsidR="00687398">
        <w:rPr>
          <w:rFonts w:ascii="Tahoma" w:hAnsi="Tahoma" w:cs="Tahoma"/>
          <w:sz w:val="18"/>
          <w:szCs w:val="18"/>
          <w:lang w:val="de-DE"/>
        </w:rPr>
        <w:t> </w:t>
      </w:r>
      <w:r w:rsidRPr="00C83DF5">
        <w:rPr>
          <w:rFonts w:ascii="Tahoma" w:hAnsi="Tahoma" w:cs="Tahoma"/>
          <w:sz w:val="18"/>
          <w:szCs w:val="18"/>
          <w:lang w:val="de-DE"/>
        </w:rPr>
        <w:t>Genuine Windows-Vertrag unter diesen Programmen erworben wurden.</w:t>
      </w:r>
    </w:p>
    <w:p w:rsidR="00B73A46" w:rsidRPr="00687398" w:rsidRDefault="00B73A46" w:rsidP="00804794">
      <w:pPr>
        <w:ind w:left="720"/>
        <w:rPr>
          <w:rFonts w:cs="Tahoma"/>
          <w:szCs w:val="18"/>
          <w:lang w:val="de-DE"/>
        </w:rPr>
      </w:pPr>
    </w:p>
    <w:p w:rsidR="00B73A46" w:rsidRPr="00C83DF5" w:rsidRDefault="00B73A46" w:rsidP="00804794">
      <w:pPr>
        <w:ind w:left="720"/>
        <w:rPr>
          <w:lang w:val="de-DE"/>
        </w:rPr>
      </w:pPr>
      <w:r w:rsidRPr="00C83DF5">
        <w:rPr>
          <w:rFonts w:cs="Tahoma"/>
          <w:szCs w:val="18"/>
          <w:u w:val="single"/>
          <w:lang w:val="de-DE"/>
        </w:rPr>
        <w:t>Regeln für qualifizierende Betriebssysteme</w:t>
      </w:r>
      <w:r w:rsidRPr="00687398">
        <w:rPr>
          <w:rFonts w:cs="Tahoma"/>
          <w:szCs w:val="18"/>
          <w:lang w:val="de-DE"/>
        </w:rPr>
        <w:t>:</w:t>
      </w:r>
      <w:r w:rsidRPr="00C83DF5">
        <w:rPr>
          <w:rFonts w:cs="Tahoma"/>
          <w:szCs w:val="18"/>
          <w:lang w:val="de-DE"/>
        </w:rPr>
        <w:t xml:space="preserve"> (Alle Bedingungen müssen erfüllt sein, damit das Basisbetriebssystem Sie für die Vermietungsrechtelizenz qualifiziert): </w:t>
      </w:r>
    </w:p>
    <w:p w:rsidR="00B73A46" w:rsidRPr="00C83DF5" w:rsidRDefault="00B73A46" w:rsidP="00F02E9F">
      <w:pPr>
        <w:ind w:left="1440"/>
        <w:rPr>
          <w:lang w:val="de-DE"/>
        </w:rPr>
      </w:pPr>
    </w:p>
    <w:p w:rsidR="00B73A46" w:rsidRPr="00C83DF5" w:rsidRDefault="00B73A46" w:rsidP="00687398">
      <w:pPr>
        <w:numPr>
          <w:ilvl w:val="0"/>
          <w:numId w:val="28"/>
        </w:numPr>
        <w:ind w:left="1440"/>
        <w:rPr>
          <w:lang w:val="de-DE"/>
        </w:rPr>
      </w:pPr>
      <w:r w:rsidRPr="00C83DF5">
        <w:rPr>
          <w:rFonts w:cs="Tahoma"/>
          <w:szCs w:val="18"/>
          <w:lang w:val="de-DE"/>
        </w:rPr>
        <w:t>Die Lizenz für das qualifizierende Betriebssystem muss demselben Gerät zugeordnet sein wie die zu</w:t>
      </w:r>
      <w:r w:rsidR="00687398">
        <w:rPr>
          <w:rFonts w:cs="Tahoma"/>
          <w:szCs w:val="18"/>
          <w:lang w:val="de-DE"/>
        </w:rPr>
        <w:t> </w:t>
      </w:r>
      <w:r w:rsidRPr="00C83DF5">
        <w:rPr>
          <w:rFonts w:cs="Tahoma"/>
          <w:szCs w:val="18"/>
          <w:lang w:val="de-DE"/>
        </w:rPr>
        <w:t>vergebende VL-Vermietungsrechtelizenz.</w:t>
      </w:r>
    </w:p>
    <w:p w:rsidR="00B73A46" w:rsidRPr="00C83DF5" w:rsidRDefault="00B73A46" w:rsidP="00346F4B">
      <w:pPr>
        <w:numPr>
          <w:ilvl w:val="0"/>
          <w:numId w:val="28"/>
        </w:numPr>
        <w:ind w:left="1440"/>
        <w:rPr>
          <w:lang w:val="de-DE"/>
        </w:rPr>
      </w:pPr>
      <w:r w:rsidRPr="00C83DF5">
        <w:rPr>
          <w:rFonts w:cs="Tahoma"/>
          <w:szCs w:val="18"/>
          <w:lang w:val="de-DE"/>
        </w:rPr>
        <w:t>Das qualifizierende Betriebssystem muss auf diesem Gerät installiert sein.</w:t>
      </w:r>
    </w:p>
    <w:p w:rsidR="00E31CC0" w:rsidRPr="00C83DF5" w:rsidRDefault="00E31CC0" w:rsidP="00997D81">
      <w:pPr>
        <w:rPr>
          <w:lang w:val="de-DE"/>
        </w:rPr>
      </w:pPr>
    </w:p>
    <w:p w:rsidR="00B73A46" w:rsidRPr="00C83DF5" w:rsidRDefault="00B73A46" w:rsidP="00EE035D">
      <w:pPr>
        <w:pStyle w:val="EndnoteText"/>
        <w:ind w:left="720"/>
        <w:rPr>
          <w:lang w:val="de-DE"/>
        </w:rPr>
      </w:pPr>
      <w:r w:rsidRPr="00C83DF5">
        <w:rPr>
          <w:rFonts w:ascii="Tahoma" w:hAnsi="Tahoma" w:cs="Tahoma"/>
          <w:sz w:val="18"/>
          <w:szCs w:val="18"/>
          <w:lang w:val="de-DE"/>
        </w:rPr>
        <w:t>Die qualifizierenden Betriebssysteme nach Programmart sind:</w:t>
      </w:r>
    </w:p>
    <w:p w:rsidR="00B73A46" w:rsidRPr="007025E3" w:rsidRDefault="00B73A46" w:rsidP="00B73A46">
      <w:pPr>
        <w:pStyle w:val="EndnoteText"/>
        <w:rPr>
          <w:rFonts w:ascii="Tahoma" w:hAnsi="Tahoma" w:cs="Tahoma"/>
          <w:sz w:val="18"/>
          <w:szCs w:val="18"/>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C83DF5"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C83DF5" w:rsidRDefault="009B3FA2" w:rsidP="00D303F6">
            <w:pPr>
              <w:ind w:left="29" w:right="14"/>
              <w:rPr>
                <w:rFonts w:eastAsia="Calibri" w:cs="Tahoma"/>
                <w:bCs/>
                <w:szCs w:val="18"/>
                <w:lang w:val="de-DE"/>
              </w:rPr>
            </w:pPr>
            <w:r w:rsidRPr="00C83DF5">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9B3FA2">
            <w:pPr>
              <w:jc w:val="center"/>
              <w:rPr>
                <w:rFonts w:eastAsia="Calibri" w:cs="Tahoma"/>
                <w:b/>
                <w:bCs/>
                <w:sz w:val="14"/>
                <w:szCs w:val="18"/>
              </w:rPr>
            </w:pPr>
            <w:r w:rsidRPr="00C83DF5">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1B15A5">
            <w:pPr>
              <w:jc w:val="center"/>
              <w:rPr>
                <w:rFonts w:eastAsia="Calibri" w:cs="Tahoma"/>
                <w:b/>
                <w:bCs/>
                <w:sz w:val="14"/>
                <w:szCs w:val="18"/>
              </w:rPr>
            </w:pPr>
            <w:r w:rsidRPr="00C83DF5">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50116B">
            <w:pPr>
              <w:jc w:val="center"/>
              <w:rPr>
                <w:rFonts w:eastAsia="Calibri" w:cs="Tahoma"/>
                <w:b/>
                <w:bCs/>
                <w:sz w:val="14"/>
                <w:szCs w:val="18"/>
              </w:rPr>
            </w:pPr>
            <w:r w:rsidRPr="00C83DF5">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83DF5" w:rsidRDefault="00B73A46" w:rsidP="005F0406">
            <w:pPr>
              <w:jc w:val="center"/>
              <w:rPr>
                <w:rFonts w:eastAsia="Calibri" w:cs="Tahoma"/>
                <w:b/>
                <w:bCs/>
                <w:sz w:val="14"/>
                <w:szCs w:val="18"/>
              </w:rPr>
            </w:pPr>
            <w:r w:rsidRPr="00C83DF5">
              <w:rPr>
                <w:rFonts w:cs="Tahoma"/>
                <w:b/>
                <w:bCs/>
                <w:sz w:val="14"/>
                <w:szCs w:val="18"/>
              </w:rPr>
              <w:t>Open-Lizenz</w:t>
            </w:r>
          </w:p>
        </w:tc>
        <w:tc>
          <w:tcPr>
            <w:tcW w:w="16" w:type="dxa"/>
            <w:vAlign w:val="center"/>
          </w:tcPr>
          <w:p w:rsidR="00B73A46" w:rsidRPr="00C83DF5" w:rsidRDefault="00B73A46" w:rsidP="00713A6C">
            <w:pPr>
              <w:rPr>
                <w:rFonts w:eastAsia="Calibri" w:cs="Tahoma"/>
                <w:szCs w:val="18"/>
              </w:rPr>
            </w:pPr>
          </w:p>
        </w:tc>
      </w:tr>
      <w:tr w:rsidR="00BF7A97" w:rsidRPr="004D388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7025E3" w:rsidRDefault="00BF7A97" w:rsidP="00713A6C">
            <w:pPr>
              <w:rPr>
                <w:rFonts w:cs="Tahoma"/>
                <w:b/>
                <w:bCs/>
                <w:szCs w:val="18"/>
                <w:lang w:val="de-DE"/>
              </w:rPr>
            </w:pPr>
            <w:r w:rsidRPr="007025E3">
              <w:rPr>
                <w:rFonts w:cs="Tahoma"/>
                <w:b/>
                <w:bCs/>
                <w:szCs w:val="18"/>
                <w:lang w:val="de-DE"/>
              </w:rPr>
              <w:t xml:space="preserve">Windows 8 und Windows 8.1 </w:t>
            </w:r>
            <w:r w:rsidR="00D303F6" w:rsidRPr="007025E3">
              <w:rPr>
                <w:rFonts w:cs="Tahoma"/>
                <w:b/>
                <w:bCs/>
                <w:szCs w:val="18"/>
                <w:lang w:val="de-DE"/>
              </w:rPr>
              <w:br/>
            </w:r>
            <w:r w:rsidRPr="007025E3">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025E3" w:rsidRDefault="00BF7A97" w:rsidP="00BF7A97">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025E3" w:rsidRDefault="00BF7A97" w:rsidP="00BF7A97">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025E3" w:rsidRDefault="00BF7A97" w:rsidP="00BF7A97">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025E3" w:rsidRDefault="00BF7A97" w:rsidP="00BF7A97">
            <w:pPr>
              <w:jc w:val="center"/>
              <w:rPr>
                <w:rFonts w:eastAsia="Times New Roman" w:cs="Tahoma"/>
                <w:szCs w:val="18"/>
                <w:lang w:val="de-DE"/>
              </w:rPr>
            </w:pPr>
          </w:p>
        </w:tc>
        <w:tc>
          <w:tcPr>
            <w:tcW w:w="16" w:type="dxa"/>
            <w:vAlign w:val="center"/>
          </w:tcPr>
          <w:p w:rsidR="00BF7A97" w:rsidRPr="007025E3" w:rsidRDefault="00BF7A97" w:rsidP="00713A6C">
            <w:pPr>
              <w:rPr>
                <w:rFonts w:eastAsia="Calibri" w:cs="Tahoma"/>
                <w:szCs w:val="18"/>
                <w:lang w:val="de-DE"/>
              </w:rPr>
            </w:pPr>
          </w:p>
        </w:tc>
      </w:tr>
      <w:tr w:rsidR="00BF7A97" w:rsidRPr="00C83DF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C83DF5" w:rsidRDefault="00BF7A97" w:rsidP="00BF7A97">
            <w:pPr>
              <w:ind w:left="522"/>
              <w:rPr>
                <w:rFonts w:cs="Tahoma"/>
                <w:b/>
                <w:bCs/>
                <w:szCs w:val="18"/>
              </w:rPr>
            </w:pPr>
            <w:r w:rsidRPr="00C83DF5">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83DF5" w:rsidRDefault="00BF7A97" w:rsidP="00BF7A97">
            <w:pPr>
              <w:jc w:val="center"/>
              <w:rPr>
                <w:rFonts w:eastAsia="Times New Roman" w:cs="Tahoma"/>
                <w:szCs w:val="18"/>
              </w:rPr>
            </w:pPr>
            <w:r w:rsidRPr="00C83DF5">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83DF5"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83DF5" w:rsidRDefault="00BF7A97" w:rsidP="00BF7A97">
            <w:pPr>
              <w:jc w:val="center"/>
              <w:rPr>
                <w:rFonts w:eastAsia="Times New Roman" w:cs="Tahoma"/>
                <w:szCs w:val="18"/>
              </w:rPr>
            </w:pPr>
            <w:r w:rsidRPr="00C83DF5">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C83DF5" w:rsidRDefault="00BF7A97" w:rsidP="00BF7A97">
            <w:pPr>
              <w:jc w:val="center"/>
              <w:rPr>
                <w:rFonts w:eastAsia="Times New Roman" w:cs="Tahoma"/>
                <w:szCs w:val="18"/>
              </w:rPr>
            </w:pPr>
            <w:r w:rsidRPr="00C83DF5">
              <w:rPr>
                <w:rFonts w:eastAsia="Times New Roman" w:cs="Tahoma"/>
                <w:szCs w:val="18"/>
              </w:rPr>
              <w:t>x</w:t>
            </w:r>
          </w:p>
        </w:tc>
        <w:tc>
          <w:tcPr>
            <w:tcW w:w="16" w:type="dxa"/>
            <w:vAlign w:val="center"/>
          </w:tcPr>
          <w:p w:rsidR="00BF7A97" w:rsidRPr="00C83DF5" w:rsidRDefault="00BF7A97" w:rsidP="00713A6C">
            <w:pPr>
              <w:rPr>
                <w:rFonts w:eastAsia="Calibri" w:cs="Tahoma"/>
                <w:szCs w:val="18"/>
              </w:rPr>
            </w:pPr>
          </w:p>
        </w:tc>
      </w:tr>
      <w:tr w:rsidR="00B73A46" w:rsidRPr="00C83DF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rPr>
                <w:rFonts w:eastAsia="Calibri" w:cs="Tahoma"/>
                <w:b/>
                <w:bCs/>
                <w:szCs w:val="18"/>
              </w:rPr>
            </w:pPr>
            <w:r w:rsidRPr="00C83DF5">
              <w:rPr>
                <w:rFonts w:cs="Tahoma"/>
                <w:b/>
                <w:bCs/>
                <w:szCs w:val="18"/>
              </w:rPr>
              <w:lastRenderedPageBreak/>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BF7A97">
            <w:pPr>
              <w:jc w:val="center"/>
              <w:rPr>
                <w:rFonts w:eastAsia="Times New Roman" w:cs="Tahoma"/>
                <w:szCs w:val="18"/>
              </w:rPr>
            </w:pPr>
          </w:p>
        </w:tc>
        <w:tc>
          <w:tcPr>
            <w:tcW w:w="16" w:type="dxa"/>
            <w:vAlign w:val="center"/>
          </w:tcPr>
          <w:p w:rsidR="00B73A46" w:rsidRPr="00C83DF5" w:rsidRDefault="00B73A46" w:rsidP="00713A6C">
            <w:pPr>
              <w:rPr>
                <w:rFonts w:eastAsia="Calibri" w:cs="Tahoma"/>
                <w:szCs w:val="18"/>
              </w:rPr>
            </w:pPr>
          </w:p>
        </w:tc>
      </w:tr>
      <w:tr w:rsidR="00B73A46" w:rsidRPr="00C83DF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BF7A97">
            <w:pPr>
              <w:ind w:left="522"/>
              <w:rPr>
                <w:rFonts w:eastAsia="Calibri" w:cs="Tahoma"/>
                <w:bCs/>
                <w:szCs w:val="18"/>
              </w:rPr>
            </w:pPr>
            <w:r w:rsidRPr="00C83DF5">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6" w:type="dxa"/>
            <w:vAlign w:val="center"/>
          </w:tcPr>
          <w:p w:rsidR="00B73A46" w:rsidRPr="00C83DF5" w:rsidRDefault="00B73A46" w:rsidP="00713A6C">
            <w:pPr>
              <w:rPr>
                <w:rFonts w:eastAsia="Calibri" w:cs="Tahoma"/>
                <w:szCs w:val="18"/>
              </w:rPr>
            </w:pPr>
          </w:p>
        </w:tc>
      </w:tr>
      <w:tr w:rsidR="00B73A46" w:rsidRPr="004D388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DF3AED">
            <w:pPr>
              <w:keepNext/>
              <w:rPr>
                <w:rFonts w:eastAsia="Calibri" w:cs="Tahoma"/>
                <w:b/>
                <w:bCs/>
                <w:szCs w:val="18"/>
                <w:lang w:val="de-DE"/>
              </w:rPr>
            </w:pPr>
            <w:r w:rsidRPr="007025E3">
              <w:rPr>
                <w:rFonts w:cs="Tahoma"/>
                <w:b/>
                <w:bCs/>
                <w:szCs w:val="18"/>
                <w:lang w:val="de-DE"/>
              </w:rPr>
              <w:t>Windows Vista (32-Bit oder 64-Bi</w:t>
            </w:r>
            <w:r w:rsidRPr="00C83DF5">
              <w:rPr>
                <w:rFonts w:cs="Tahoma"/>
                <w:b/>
                <w:bCs/>
                <w:szCs w:val="18"/>
                <w:lang w:val="de-DE"/>
              </w:rPr>
              <w:t>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AD6873" w:rsidP="00713A6C">
            <w:pPr>
              <w:jc w:val="center"/>
              <w:rPr>
                <w:rFonts w:eastAsia="Calibri" w:cs="Tahoma"/>
                <w:szCs w:val="18"/>
                <w:lang w:val="de-DE"/>
              </w:rPr>
            </w:pPr>
            <w:r w:rsidRPr="00C83DF5">
              <w:rPr>
                <w:rFonts w:cs="Tahoma"/>
                <w:szCs w:val="18"/>
                <w:lang w:val="de-DE"/>
              </w:rPr>
              <w:t xml:space="preserve"> </w:t>
            </w:r>
          </w:p>
        </w:tc>
        <w:tc>
          <w:tcPr>
            <w:tcW w:w="16" w:type="dxa"/>
            <w:vAlign w:val="center"/>
          </w:tcPr>
          <w:p w:rsidR="00B73A46" w:rsidRPr="00C83DF5" w:rsidRDefault="00B73A46" w:rsidP="00713A6C">
            <w:pPr>
              <w:rPr>
                <w:rFonts w:eastAsia="Calibri" w:cs="Tahoma"/>
                <w:szCs w:val="18"/>
                <w:lang w:val="de-DE"/>
              </w:rPr>
            </w:pPr>
          </w:p>
        </w:tc>
      </w:tr>
      <w:tr w:rsidR="00B73A46" w:rsidRPr="00C83DF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ind w:firstLine="540"/>
              <w:rPr>
                <w:rFonts w:eastAsia="Calibri" w:cs="Tahoma"/>
                <w:szCs w:val="18"/>
              </w:rPr>
            </w:pPr>
            <w:r w:rsidRPr="00C83DF5">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83DF5" w:rsidRDefault="00B73A46" w:rsidP="00713A6C">
            <w:pPr>
              <w:jc w:val="center"/>
              <w:rPr>
                <w:rFonts w:eastAsia="Calibri" w:cs="Tahoma"/>
                <w:szCs w:val="18"/>
              </w:rPr>
            </w:pPr>
            <w:r w:rsidRPr="00C83DF5">
              <w:rPr>
                <w:rFonts w:cs="Tahoma"/>
                <w:szCs w:val="18"/>
              </w:rPr>
              <w:t>x</w:t>
            </w:r>
          </w:p>
        </w:tc>
        <w:tc>
          <w:tcPr>
            <w:tcW w:w="16" w:type="dxa"/>
            <w:vAlign w:val="center"/>
          </w:tcPr>
          <w:p w:rsidR="00B73A46" w:rsidRPr="00C83DF5" w:rsidRDefault="00B73A46" w:rsidP="00713A6C">
            <w:pPr>
              <w:rPr>
                <w:rFonts w:eastAsia="Calibri" w:cs="Tahoma"/>
                <w:szCs w:val="18"/>
              </w:rPr>
            </w:pPr>
          </w:p>
        </w:tc>
      </w:tr>
    </w:tbl>
    <w:p w:rsidR="00B73A46" w:rsidRPr="00A663C9" w:rsidRDefault="00B73A46" w:rsidP="00B73A46">
      <w:pPr>
        <w:rPr>
          <w:rFonts w:eastAsia="Calibri" w:cs="Tahoma"/>
          <w:szCs w:val="18"/>
        </w:rPr>
      </w:pPr>
    </w:p>
    <w:p w:rsidR="00B73A46" w:rsidRPr="00C83DF5" w:rsidRDefault="00B73A46" w:rsidP="00EE035D">
      <w:pPr>
        <w:ind w:left="720"/>
        <w:rPr>
          <w:lang w:val="de-DE"/>
        </w:rPr>
      </w:pPr>
      <w:r w:rsidRPr="00C83DF5">
        <w:rPr>
          <w:rFonts w:cs="Tahoma"/>
          <w:szCs w:val="18"/>
          <w:lang w:val="de-DE"/>
        </w:rPr>
        <w:t>Kunden, die eine Vermietungsrechtelizenz zusätzlich zu einer Lizenz für ein qualifizierendes Betriebssystem</w:t>
      </w:r>
      <w:r w:rsidR="00E71F46" w:rsidRPr="00C83DF5">
        <w:rPr>
          <w:rStyle w:val="CommentReference"/>
          <w:rFonts w:cs="Tahoma"/>
          <w:sz w:val="18"/>
          <w:szCs w:val="18"/>
          <w:lang w:val="de-DE"/>
        </w:rPr>
        <w:t xml:space="preserve"> </w:t>
      </w:r>
      <w:r w:rsidRPr="00C83DF5">
        <w:rPr>
          <w:rFonts w:cs="Tahoma"/>
          <w:szCs w:val="18"/>
          <w:lang w:val="de-DE"/>
        </w:rPr>
        <w:t>erwerben, erweitern ihre Rechte gemäß der Lizenz für das qualifizierende Betriebssystem,</w:t>
      </w:r>
      <w:r w:rsidRPr="00C83DF5">
        <w:rPr>
          <w:rStyle w:val="CommentReference"/>
          <w:rFonts w:cs="Tahoma"/>
          <w:sz w:val="18"/>
          <w:szCs w:val="18"/>
          <w:lang w:val="de-DE"/>
        </w:rPr>
        <w:t xml:space="preserve"> </w:t>
      </w:r>
      <w:r w:rsidRPr="00C83DF5">
        <w:rPr>
          <w:rFonts w:cs="Tahoma"/>
          <w:szCs w:val="18"/>
          <w:lang w:val="de-DE"/>
        </w:rPr>
        <w:t xml:space="preserve">damit Dritte dieselbe Software verwenden können. Die Vermietungsrechtelizenz gewährt kein Versionsupgrade. </w:t>
      </w:r>
    </w:p>
    <w:p w:rsidR="00B73A46" w:rsidRPr="007025E3" w:rsidRDefault="00B73A46" w:rsidP="00804794">
      <w:pPr>
        <w:ind w:left="720"/>
        <w:rPr>
          <w:rFonts w:cs="Tahoma"/>
          <w:szCs w:val="18"/>
          <w:lang w:val="de-DE"/>
        </w:rPr>
      </w:pPr>
    </w:p>
    <w:p w:rsidR="00B73A46" w:rsidRPr="00C83DF5" w:rsidRDefault="00B73A46" w:rsidP="00804794">
      <w:pPr>
        <w:ind w:left="720"/>
        <w:rPr>
          <w:lang w:val="de-DE"/>
        </w:rPr>
      </w:pPr>
      <w:r w:rsidRPr="00C83DF5">
        <w:rPr>
          <w:rFonts w:cs="Tahoma"/>
          <w:szCs w:val="18"/>
          <w:u w:val="single"/>
          <w:lang w:val="de-DE"/>
        </w:rPr>
        <w:t>Software Assurance-Ausnahme</w:t>
      </w:r>
    </w:p>
    <w:p w:rsidR="00B73A46" w:rsidRPr="00C83DF5" w:rsidRDefault="00B73A46" w:rsidP="00A663C9">
      <w:pPr>
        <w:ind w:left="720"/>
        <w:rPr>
          <w:lang w:val="de-DE"/>
        </w:rPr>
      </w:pPr>
      <w:r w:rsidRPr="00C83DF5">
        <w:rPr>
          <w:rFonts w:cs="Tahoma"/>
          <w:szCs w:val="18"/>
          <w:lang w:val="de-DE"/>
        </w:rPr>
        <w:t>Kunden, die Vermietungsrechtelizenzen erwerben, sind nicht berechtigt, Software Assurance für dieselben</w:t>
      </w:r>
      <w:r w:rsidR="00A663C9">
        <w:rPr>
          <w:rFonts w:cs="Tahoma"/>
          <w:szCs w:val="18"/>
          <w:lang w:val="de-DE"/>
        </w:rPr>
        <w:t> </w:t>
      </w:r>
      <w:r w:rsidRPr="00C83DF5">
        <w:rPr>
          <w:rFonts w:cs="Tahoma"/>
          <w:szCs w:val="18"/>
          <w:lang w:val="de-DE"/>
        </w:rPr>
        <w:t xml:space="preserve">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rsidR="00B73A46" w:rsidRPr="007025E3" w:rsidRDefault="00B73A46" w:rsidP="0061415A">
      <w:pPr>
        <w:ind w:right="-810"/>
        <w:rPr>
          <w:color w:val="000000"/>
          <w:lang w:val="de-DE"/>
        </w:rPr>
      </w:pPr>
    </w:p>
    <w:bookmarkEnd w:id="1126"/>
    <w:bookmarkEnd w:id="1127"/>
    <w:bookmarkEnd w:id="1128"/>
    <w:p w:rsidR="00104195" w:rsidRPr="007025E3" w:rsidRDefault="00104195" w:rsidP="0061415A">
      <w:pPr>
        <w:ind w:right="-810"/>
        <w:rPr>
          <w:color w:val="000000"/>
          <w:lang w:val="de-DE"/>
        </w:rPr>
      </w:pPr>
    </w:p>
    <w:p w:rsidR="00104195" w:rsidRPr="00C83DF5" w:rsidRDefault="00A560B6" w:rsidP="00104195">
      <w:pPr>
        <w:pStyle w:val="Heading2"/>
        <w:ind w:hanging="720"/>
        <w:rPr>
          <w:lang w:val="de-DE"/>
        </w:rPr>
      </w:pPr>
      <w:bookmarkStart w:id="1130" w:name="_98_Windows_Multipoint"/>
      <w:bookmarkStart w:id="1131" w:name="_98Windows_Intune_Add-on"/>
      <w:bookmarkStart w:id="1132" w:name="_97_Windows_Intune"/>
      <w:bookmarkStart w:id="1133" w:name="_33_Windows_Intune"/>
      <w:bookmarkStart w:id="1134" w:name="_33_Add-on_für"/>
      <w:bookmarkStart w:id="1135" w:name="Srv_110WindowsIntuneAddOn"/>
      <w:bookmarkStart w:id="1136" w:name="_Toc336338366"/>
      <w:bookmarkStart w:id="1137" w:name="Srv_104WindowsIntuneAddOn"/>
      <w:bookmarkStart w:id="1138" w:name="_Toc370983400"/>
      <w:bookmarkEnd w:id="1130"/>
      <w:bookmarkEnd w:id="1131"/>
      <w:bookmarkEnd w:id="1132"/>
      <w:bookmarkEnd w:id="1133"/>
      <w:bookmarkEnd w:id="1134"/>
      <w:r w:rsidRPr="00C83DF5">
        <w:rPr>
          <w:rFonts w:ascii="Tahoma" w:hAnsi="Tahoma" w:cs="Tahoma"/>
          <w:caps/>
          <w:color w:val="EE6000"/>
          <w:sz w:val="22"/>
          <w:szCs w:val="18"/>
          <w:vertAlign w:val="superscript"/>
          <w:lang w:val="de-DE"/>
        </w:rPr>
        <w:t>33</w:t>
      </w:r>
      <w:r w:rsidRPr="00106236">
        <w:rPr>
          <w:rFonts w:ascii="Tahoma" w:hAnsi="Tahoma" w:cs="Tahoma"/>
          <w:caps/>
          <w:color w:val="EE6000"/>
          <w:sz w:val="22"/>
          <w:szCs w:val="18"/>
          <w:lang w:val="de-DE"/>
        </w:rPr>
        <w:t xml:space="preserve"> </w:t>
      </w:r>
      <w:r w:rsidRPr="00C83DF5">
        <w:rPr>
          <w:rFonts w:ascii="Tahoma" w:hAnsi="Tahoma" w:cs="Tahoma"/>
          <w:color w:val="EE6000"/>
          <w:sz w:val="22"/>
          <w:szCs w:val="18"/>
          <w:lang w:val="de-DE"/>
        </w:rPr>
        <w:t>Add-on für Windows Intune</w:t>
      </w:r>
      <w:bookmarkEnd w:id="1135"/>
      <w:bookmarkEnd w:id="1136"/>
      <w:r w:rsidRPr="00C83DF5">
        <w:rPr>
          <w:rFonts w:ascii="Tahoma" w:hAnsi="Tahoma" w:cs="Tahoma"/>
          <w:color w:val="EE6000"/>
          <w:sz w:val="22"/>
          <w:szCs w:val="18"/>
          <w:lang w:val="de-DE"/>
        </w:rPr>
        <w:t xml:space="preserve"> (pro Gerät)</w:t>
      </w:r>
      <w:bookmarkEnd w:id="1138"/>
    </w:p>
    <w:bookmarkEnd w:id="1137"/>
    <w:p w:rsidR="00104195" w:rsidRPr="007025E3" w:rsidRDefault="00104195" w:rsidP="00104195">
      <w:pPr>
        <w:ind w:left="720"/>
        <w:rPr>
          <w:lang w:val="de-DE" w:eastAsia="ja-JP"/>
        </w:rPr>
      </w:pPr>
    </w:p>
    <w:p w:rsidR="00104195" w:rsidRPr="00C83DF5" w:rsidRDefault="00104195" w:rsidP="00104195">
      <w:pPr>
        <w:ind w:left="720"/>
        <w:rPr>
          <w:lang w:val="de-DE"/>
        </w:rPr>
      </w:pPr>
      <w:r w:rsidRPr="00C83DF5">
        <w:rPr>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E71F46" w:rsidRPr="00C83DF5">
        <w:rPr>
          <w:lang w:val="de-DE"/>
        </w:rPr>
        <w:t xml:space="preserve"> </w:t>
      </w:r>
      <w:r w:rsidRPr="00C83DF5">
        <w:rPr>
          <w:lang w:val="de-DE"/>
        </w:rPr>
        <w:t xml:space="preserve">Add-On-Lizenzen für Windows Intune (Pro Gerät) müssen unter dem gleichen Beitritt erworben werden wie die entsprechende Software Assurance bzw. Windows VDA-Lizenz. </w:t>
      </w:r>
    </w:p>
    <w:p w:rsidR="00104195" w:rsidRPr="007025E3" w:rsidRDefault="00104195" w:rsidP="00104195">
      <w:pPr>
        <w:ind w:left="720"/>
        <w:rPr>
          <w:lang w:val="de-DE" w:eastAsia="ja-JP"/>
        </w:rPr>
      </w:pPr>
    </w:p>
    <w:p w:rsidR="00104195" w:rsidRPr="00C83DF5" w:rsidRDefault="00104195" w:rsidP="00104195">
      <w:pPr>
        <w:spacing w:after="60"/>
        <w:ind w:left="720"/>
        <w:rPr>
          <w:lang w:val="de-DE"/>
        </w:rPr>
      </w:pPr>
      <w:r w:rsidRPr="00C83DF5">
        <w:rPr>
          <w:b/>
          <w:lang w:val="de-DE"/>
        </w:rPr>
        <w:t>Neuzuweisung von Lizenzen</w:t>
      </w:r>
    </w:p>
    <w:p w:rsidR="00104195" w:rsidRPr="00C83DF5" w:rsidRDefault="00104195" w:rsidP="0061415A">
      <w:pPr>
        <w:ind w:left="720"/>
        <w:rPr>
          <w:lang w:val="de-DE"/>
        </w:rPr>
      </w:pPr>
      <w:r w:rsidRPr="00C83DF5">
        <w:rPr>
          <w:lang w:val="de-DE"/>
        </w:rPr>
        <w:t>Kunden sind berechtigt, Add-On-Lizenzen für Windows Intune (Pro Gerät) neu zuzuweisen, jedoch nicht nur</w:t>
      </w:r>
      <w:r w:rsidR="0061415A">
        <w:rPr>
          <w:lang w:val="de-DE"/>
        </w:rPr>
        <w:t> </w:t>
      </w:r>
      <w:r w:rsidRPr="00C83DF5">
        <w:rPr>
          <w:lang w:val="de-DE"/>
        </w:rPr>
        <w:t>kurzzeitig (d. h. nicht innerhalb von 90 Tagen nach der letzten Zuweisung).</w:t>
      </w:r>
      <w:r w:rsidR="00E71F46" w:rsidRPr="00C83DF5">
        <w:rPr>
          <w:lang w:val="de-DE"/>
        </w:rPr>
        <w:t xml:space="preserve"> </w:t>
      </w:r>
      <w:r w:rsidRPr="00C83DF5">
        <w:rPr>
          <w:lang w:val="de-DE"/>
        </w:rPr>
        <w:t>Kunden sind berechtigt, eine Add-On-Lizenz für Windows Intune (Pro Gerät) früher neu zuzuweisen, wenn sie das vorhandene lizenzierte Gerät aufgrund eines Hardwarefehlers außer Dienst stellen.</w:t>
      </w:r>
      <w:r w:rsidR="00E71F46" w:rsidRPr="00C83DF5">
        <w:rPr>
          <w:lang w:val="de-DE"/>
        </w:rPr>
        <w:t xml:space="preserve"> </w:t>
      </w:r>
      <w:r w:rsidRPr="00C83DF5">
        <w:rPr>
          <w:lang w:val="de-DE"/>
        </w:rPr>
        <w:t xml:space="preserve">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rsidR="00023FE7" w:rsidRPr="00C83DF5" w:rsidRDefault="00113665">
      <w:pPr>
        <w:pStyle w:val="Heading2"/>
        <w:ind w:left="0"/>
        <w:rPr>
          <w:lang w:val="de-DE"/>
        </w:rPr>
      </w:pPr>
      <w:r w:rsidRPr="00C83DF5">
        <w:rPr>
          <w:rFonts w:ascii="Tahoma" w:hAnsi="Tahoma" w:cs="Tahoma"/>
          <w:sz w:val="28"/>
          <w:lang w:val="de-DE"/>
        </w:rPr>
        <w:br w:type="page"/>
      </w:r>
      <w:bookmarkStart w:id="1139" w:name="_Toc336338287"/>
      <w:bookmarkStart w:id="1140" w:name="_Toc370983401"/>
      <w:r w:rsidRPr="00C83DF5">
        <w:rPr>
          <w:rFonts w:ascii="Tahoma" w:hAnsi="Tahoma" w:cs="Tahoma"/>
          <w:sz w:val="28"/>
          <w:lang w:val="de-DE"/>
        </w:rPr>
        <w:lastRenderedPageBreak/>
        <w:t>Server-Pool</w:t>
      </w:r>
      <w:bookmarkEnd w:id="1139"/>
      <w:bookmarkEnd w:id="1140"/>
    </w:p>
    <w:p w:rsidR="00023FE7" w:rsidRPr="007025E3" w:rsidRDefault="00023FE7">
      <w:pPr>
        <w:pStyle w:val="EndnoteText"/>
        <w:rPr>
          <w:rFonts w:ascii="Tahoma" w:hAnsi="Tahoma" w:cs="Tahoma"/>
          <w:lang w:val="de-DE"/>
        </w:rPr>
      </w:pPr>
    </w:p>
    <w:p w:rsidR="003C75C8" w:rsidRPr="007025E3" w:rsidRDefault="003C75C8" w:rsidP="003C75C8">
      <w:pPr>
        <w:pStyle w:val="EndnoteText"/>
        <w:rPr>
          <w:sz w:val="18"/>
          <w:lang w:val="de-DE"/>
        </w:rPr>
      </w:pPr>
      <w:bookmarkStart w:id="1141" w:name="Srv_25BingMapsandAddons"/>
    </w:p>
    <w:p w:rsidR="004640EC" w:rsidRPr="00C83DF5" w:rsidRDefault="00A560B6" w:rsidP="00803FF8">
      <w:pPr>
        <w:pStyle w:val="Heading2"/>
        <w:ind w:left="225" w:hanging="225"/>
        <w:rPr>
          <w:lang w:val="de-DE"/>
        </w:rPr>
      </w:pPr>
      <w:bookmarkStart w:id="1142" w:name="_34_Bing_Maps"/>
      <w:bookmarkStart w:id="1143" w:name="_34_Add-On_für"/>
      <w:bookmarkStart w:id="1144" w:name="Srv_27BingMapsSvrandContentPack"/>
      <w:bookmarkStart w:id="1145" w:name="_Toc336338288"/>
      <w:bookmarkStart w:id="1146" w:name="_Toc370983402"/>
      <w:bookmarkEnd w:id="1142"/>
      <w:bookmarkEnd w:id="1143"/>
      <w:r w:rsidRPr="00C83DF5">
        <w:rPr>
          <w:rFonts w:ascii="Tahoma" w:hAnsi="Tahoma" w:cs="Tahoma"/>
          <w:caps/>
          <w:color w:val="EE6000"/>
          <w:sz w:val="22"/>
          <w:vertAlign w:val="superscript"/>
          <w:lang w:val="de-DE"/>
        </w:rPr>
        <w:t>34</w:t>
      </w:r>
      <w:r w:rsidRPr="00C83DF5">
        <w:rPr>
          <w:rFonts w:ascii="Tahoma" w:hAnsi="Tahoma" w:cs="Tahoma"/>
          <w:color w:val="EE6000"/>
          <w:sz w:val="22"/>
          <w:lang w:val="de-DE"/>
        </w:rPr>
        <w:t xml:space="preserve"> Add-On für Bing Maps Öffentliche Website-Nutzung und Add-On-AL für Bing Maps Interne Website-Nutzung</w:t>
      </w:r>
      <w:bookmarkEnd w:id="1144"/>
      <w:bookmarkEnd w:id="1145"/>
      <w:bookmarkEnd w:id="1146"/>
    </w:p>
    <w:p w:rsidR="004668D9" w:rsidRPr="007025E3" w:rsidRDefault="004668D9" w:rsidP="004640EC">
      <w:pPr>
        <w:pStyle w:val="NormalWeb"/>
        <w:spacing w:before="0" w:beforeAutospacing="0" w:after="0" w:afterAutospacing="0"/>
        <w:ind w:left="720"/>
        <w:rPr>
          <w:rFonts w:ascii="Tahoma" w:hAnsi="Tahoma" w:cs="Tahoma"/>
          <w:sz w:val="18"/>
          <w:szCs w:val="18"/>
          <w:lang w:val="de-DE"/>
        </w:rPr>
      </w:pPr>
    </w:p>
    <w:p w:rsidR="004640EC" w:rsidRPr="00C83DF5" w:rsidRDefault="004640EC" w:rsidP="00803FF8">
      <w:pPr>
        <w:pStyle w:val="NormalWeb"/>
        <w:spacing w:before="0" w:beforeAutospacing="0" w:after="0" w:afterAutospacing="0"/>
        <w:ind w:left="720"/>
        <w:rPr>
          <w:lang w:val="de-DE"/>
        </w:rPr>
      </w:pPr>
      <w:r w:rsidRPr="00C83DF5">
        <w:rPr>
          <w:rFonts w:ascii="Tahoma" w:hAnsi="Tahoma" w:cs="Tahoma"/>
          <w:sz w:val="18"/>
          <w:szCs w:val="18"/>
          <w:lang w:val="de-DE"/>
        </w:rPr>
        <w:t>Jedes Angebot für eine Add-On-AL für Bing Maps Öffentliche Website-Nutzung besteht aus einer unterschiedlichen Anzahl an Abrechenbaren Transaktionen (hierin definiert).</w:t>
      </w:r>
      <w:r w:rsidR="00E71F46" w:rsidRPr="00C83DF5">
        <w:rPr>
          <w:rFonts w:ascii="Tahoma" w:hAnsi="Tahoma" w:cs="Tahoma"/>
          <w:sz w:val="18"/>
          <w:szCs w:val="18"/>
          <w:lang w:val="de-DE"/>
        </w:rPr>
        <w:t xml:space="preserve"> </w:t>
      </w:r>
      <w:r w:rsidRPr="00C83DF5">
        <w:rPr>
          <w:rFonts w:ascii="Tahoma" w:hAnsi="Tahoma" w:cs="Tahoma"/>
          <w:sz w:val="18"/>
          <w:szCs w:val="18"/>
          <w:lang w:val="de-DE"/>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803FF8">
        <w:rPr>
          <w:rFonts w:ascii="Tahoma" w:hAnsi="Tahoma" w:cs="Tahoma"/>
          <w:sz w:val="18"/>
          <w:szCs w:val="18"/>
          <w:lang w:val="de-DE"/>
        </w:rPr>
        <w:t> </w:t>
      </w:r>
      <w:r w:rsidRPr="00C83DF5">
        <w:rPr>
          <w:rFonts w:ascii="Tahoma" w:hAnsi="Tahoma" w:cs="Tahoma"/>
          <w:sz w:val="18"/>
          <w:szCs w:val="18"/>
          <w:lang w:val="de-DE"/>
        </w:rPr>
        <w:t xml:space="preserve">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4640EC" w:rsidRPr="00803FF8" w:rsidRDefault="004640EC" w:rsidP="004640EC">
      <w:pPr>
        <w:ind w:left="720"/>
        <w:rPr>
          <w:rFonts w:cs="Tahoma"/>
          <w:szCs w:val="18"/>
          <w:lang w:val="de-DE"/>
        </w:rPr>
      </w:pPr>
    </w:p>
    <w:p w:rsidR="004640EC" w:rsidRPr="00C83DF5" w:rsidRDefault="004640EC" w:rsidP="004640EC">
      <w:pPr>
        <w:ind w:left="720"/>
        <w:rPr>
          <w:lang w:val="de-DE"/>
        </w:rPr>
      </w:pPr>
      <w:r w:rsidRPr="00C83DF5">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Platinum, die nur einmal erworben werden kann.</w:t>
      </w:r>
      <w:r w:rsidR="00E71F46" w:rsidRPr="00C83DF5">
        <w:rPr>
          <w:rFonts w:cs="Tahoma"/>
          <w:szCs w:val="18"/>
          <w:lang w:val="de-DE"/>
        </w:rPr>
        <w:t xml:space="preserve"> </w:t>
      </w:r>
      <w:r w:rsidRPr="00C83DF5">
        <w:rPr>
          <w:rFonts w:cs="Tahoma"/>
          <w:szCs w:val="18"/>
          <w:lang w:val="de-DE"/>
        </w:rPr>
        <w:t>Nicht genutzte monatliche Abrechenbare Transaktionen können bis zum Ablauf des Beitrittsdatums monatlich vorgetragen werden.</w:t>
      </w:r>
      <w:r w:rsidR="00E71F46" w:rsidRPr="00C83DF5">
        <w:rPr>
          <w:rFonts w:cs="Tahoma"/>
          <w:szCs w:val="18"/>
          <w:lang w:val="de-DE"/>
        </w:rPr>
        <w:t xml:space="preserve"> </w:t>
      </w:r>
      <w:r w:rsidRPr="00C83DF5">
        <w:rPr>
          <w:rFonts w:cs="Tahoma"/>
          <w:szCs w:val="18"/>
          <w:lang w:val="de-DE"/>
        </w:rPr>
        <w:t>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w:t>
      </w:r>
      <w:r w:rsidR="00E71F46" w:rsidRPr="00C83DF5">
        <w:rPr>
          <w:rFonts w:cs="Tahoma"/>
          <w:szCs w:val="18"/>
          <w:lang w:val="de-DE"/>
        </w:rPr>
        <w:t xml:space="preserve"> </w:t>
      </w:r>
      <w:r w:rsidRPr="00C83DF5">
        <w:rPr>
          <w:rFonts w:cs="Tahoma"/>
          <w:szCs w:val="18"/>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4640EC" w:rsidRPr="007025E3" w:rsidRDefault="004640EC" w:rsidP="004640EC">
      <w:pPr>
        <w:ind w:left="720"/>
        <w:rPr>
          <w:rFonts w:cs="Tahoma"/>
          <w:szCs w:val="18"/>
          <w:lang w:val="de-DE"/>
        </w:rPr>
      </w:pPr>
    </w:p>
    <w:p w:rsidR="004640EC" w:rsidRPr="00C83DF5" w:rsidRDefault="004640EC" w:rsidP="004640EC">
      <w:pPr>
        <w:spacing w:after="60"/>
        <w:ind w:left="720"/>
      </w:pPr>
      <w:r w:rsidRPr="00C83DF5">
        <w:rPr>
          <w:rFonts w:cs="Tahoma"/>
          <w:b/>
          <w:color w:val="000000" w:themeColor="text1"/>
          <w:szCs w:val="18"/>
        </w:rPr>
        <w:t>Bing Maps Platinum Add-On-AL</w:t>
      </w:r>
    </w:p>
    <w:p w:rsidR="004640EC" w:rsidRPr="00C83DF5" w:rsidRDefault="004640EC" w:rsidP="004640EC">
      <w:pPr>
        <w:pStyle w:val="NormalWeb"/>
        <w:spacing w:before="0" w:beforeAutospacing="0" w:after="0" w:afterAutospacing="0"/>
        <w:ind w:left="720"/>
        <w:rPr>
          <w:lang w:val="de-DE"/>
        </w:rPr>
      </w:pPr>
      <w:r w:rsidRPr="00C83DF5">
        <w:rPr>
          <w:rFonts w:ascii="Tahoma" w:hAnsi="Tahoma" w:cs="Tahoma"/>
          <w:sz w:val="18"/>
          <w:szCs w:val="18"/>
          <w:lang w:val="de-DE"/>
        </w:rPr>
        <w:t>Das Angebot für Bing Maps Platinum Add-On-AL umfasst höchstens 400 Millionen Abrechenbare Transaktionen pro Jahr.</w:t>
      </w:r>
      <w:r w:rsidR="00E71F46" w:rsidRPr="00C83DF5">
        <w:rPr>
          <w:rFonts w:ascii="Tahoma" w:hAnsi="Tahoma" w:cs="Tahoma"/>
          <w:sz w:val="18"/>
          <w:szCs w:val="18"/>
          <w:lang w:val="de-DE"/>
        </w:rPr>
        <w:t xml:space="preserve"> </w:t>
      </w:r>
      <w:r w:rsidRPr="00C83DF5">
        <w:rPr>
          <w:rFonts w:ascii="Tahoma" w:hAnsi="Tahoma" w:cs="Tahoma"/>
          <w:sz w:val="18"/>
          <w:szCs w:val="18"/>
          <w:lang w:val="de-DE"/>
        </w:rPr>
        <w:t>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4640EC" w:rsidRPr="007025E3" w:rsidRDefault="004640EC" w:rsidP="004640EC">
      <w:pPr>
        <w:pStyle w:val="NormalWeb"/>
        <w:spacing w:before="0" w:beforeAutospacing="0" w:after="0" w:afterAutospacing="0"/>
        <w:ind w:left="720"/>
        <w:rPr>
          <w:rFonts w:ascii="Tahoma" w:hAnsi="Tahoma" w:cs="Tahoma"/>
          <w:sz w:val="18"/>
          <w:szCs w:val="18"/>
          <w:lang w:val="de-DE"/>
        </w:rPr>
      </w:pPr>
    </w:p>
    <w:p w:rsidR="004640EC" w:rsidRPr="00C83DF5" w:rsidRDefault="004640EC" w:rsidP="004640EC">
      <w:pPr>
        <w:spacing w:after="60"/>
        <w:ind w:left="720"/>
        <w:rPr>
          <w:lang w:val="de-DE"/>
        </w:rPr>
      </w:pPr>
      <w:r w:rsidRPr="00C83DF5">
        <w:rPr>
          <w:rFonts w:cs="Tahoma"/>
          <w:b/>
          <w:color w:val="000000" w:themeColor="text1"/>
          <w:szCs w:val="18"/>
          <w:lang w:val="de-DE"/>
        </w:rPr>
        <w:t>Kundensupport für Bing Maps</w:t>
      </w:r>
    </w:p>
    <w:p w:rsidR="004640EC" w:rsidRPr="00C83DF5" w:rsidRDefault="004640EC" w:rsidP="004640EC">
      <w:pPr>
        <w:pStyle w:val="NormalWeb"/>
        <w:spacing w:before="0" w:beforeAutospacing="0" w:after="0" w:afterAutospacing="0"/>
        <w:ind w:left="720"/>
        <w:rPr>
          <w:lang w:val="de-DE"/>
        </w:rPr>
      </w:pPr>
      <w:r w:rsidRPr="00C83DF5">
        <w:rPr>
          <w:rFonts w:ascii="Tahoma" w:hAnsi="Tahoma" w:cs="Tahoma"/>
          <w:sz w:val="18"/>
          <w:szCs w:val="18"/>
          <w:lang w:val="de-DE"/>
        </w:rPr>
        <w:t>Der Kundensupport für Bing Maps steht allen Kunden, die Bing Maps erworben haben, wie folgt zur Verfügung.</w:t>
      </w:r>
    </w:p>
    <w:p w:rsidR="004640EC" w:rsidRPr="007025E3" w:rsidRDefault="004640EC" w:rsidP="004640EC">
      <w:pPr>
        <w:pStyle w:val="NormalWeb"/>
        <w:spacing w:before="0" w:beforeAutospacing="0" w:after="0" w:afterAutospacing="0"/>
        <w:ind w:left="720"/>
        <w:rPr>
          <w:rFonts w:ascii="Tahoma" w:hAnsi="Tahoma" w:cs="Tahoma"/>
          <w:sz w:val="18"/>
          <w:szCs w:val="18"/>
          <w:lang w:val="de-DE"/>
        </w:rPr>
      </w:pPr>
    </w:p>
    <w:p w:rsidR="004640EC" w:rsidRPr="00C83DF5" w:rsidRDefault="004640EC" w:rsidP="004640EC">
      <w:pPr>
        <w:spacing w:after="60"/>
        <w:ind w:left="720"/>
        <w:rPr>
          <w:lang w:val="de-DE"/>
        </w:rPr>
      </w:pPr>
      <w:r w:rsidRPr="00C83DF5">
        <w:rPr>
          <w:rFonts w:cs="Tahoma"/>
          <w:b/>
          <w:bCs/>
          <w:color w:val="000000"/>
          <w:szCs w:val="18"/>
          <w:lang w:val="de-DE"/>
        </w:rPr>
        <w:t>Der Kundensupport für Bing Maps umfasst Folgendes:</w:t>
      </w:r>
    </w:p>
    <w:p w:rsidR="004640EC" w:rsidRPr="00C83DF5" w:rsidRDefault="004640EC" w:rsidP="004640EC">
      <w:pPr>
        <w:ind w:left="720"/>
        <w:rPr>
          <w:lang w:val="de-DE"/>
        </w:rPr>
      </w:pPr>
      <w:r w:rsidRPr="00C83DF5">
        <w:rPr>
          <w:rFonts w:cs="Tahoma"/>
          <w:color w:val="000000"/>
          <w:szCs w:val="18"/>
          <w:lang w:val="de-DE"/>
        </w:rPr>
        <w:t xml:space="preserve">Direkte Kontaktaufnahme mit dem Technischen Support für Bing Maps per E-Mail, Telefon oder Internet während der folgenden Geschäftszeiten: montags bis freitags von 8:00 bis 2:00 Uhr GMT (außer an </w:t>
      </w:r>
      <w:r w:rsidR="00B33E2C">
        <w:rPr>
          <w:rFonts w:cs="Tahoma"/>
          <w:color w:val="000000"/>
          <w:szCs w:val="18"/>
          <w:lang w:val="de-DE"/>
        </w:rPr>
        <w:br/>
      </w:r>
      <w:r w:rsidRPr="00C83DF5">
        <w:rPr>
          <w:rFonts w:cs="Tahoma"/>
          <w:color w:val="000000"/>
          <w:szCs w:val="18"/>
          <w:lang w:val="de-DE"/>
        </w:rPr>
        <w:t>US-amerikanischen Feiertagen).</w:t>
      </w:r>
      <w:r w:rsidR="00E71F46" w:rsidRPr="00C83DF5">
        <w:rPr>
          <w:rFonts w:cs="Tahoma"/>
          <w:color w:val="000000"/>
          <w:szCs w:val="18"/>
          <w:lang w:val="de-DE"/>
        </w:rPr>
        <w:t xml:space="preserve"> </w:t>
      </w:r>
      <w:r w:rsidRPr="00C83DF5">
        <w:rPr>
          <w:rFonts w:cs="Tahoma"/>
          <w:color w:val="000000"/>
          <w:szCs w:val="18"/>
          <w:lang w:val="de-DE"/>
        </w:rPr>
        <w:t>Den Kunden steht das Supportteam für Notfälle auch außerhalb der Geschäftszeiten (von 2:00 bis 8:00 Uhr GMT) ausschließlich über die nachstehende Telefonnummer zur Verfügung.</w:t>
      </w:r>
      <w:r w:rsidR="00E71F46" w:rsidRPr="00C83DF5">
        <w:rPr>
          <w:rFonts w:cs="Tahoma"/>
          <w:color w:val="000000"/>
          <w:szCs w:val="18"/>
          <w:lang w:val="de-DE"/>
        </w:rPr>
        <w:t xml:space="preserve"> </w:t>
      </w:r>
      <w:r w:rsidRPr="00C83DF5">
        <w:rPr>
          <w:rFonts w:cs="Tahoma"/>
          <w:color w:val="000000"/>
          <w:szCs w:val="18"/>
          <w:lang w:val="de-DE"/>
        </w:rPr>
        <w:t>Die Bearbeitung aller vorgetragenen Anliegen, bei denen es sich nicht um Notfälle handelt, erfolgt zu den normalen Geschäftszeiten.</w:t>
      </w:r>
      <w:r w:rsidR="00E71F46" w:rsidRPr="00C83DF5">
        <w:rPr>
          <w:rFonts w:cs="Tahoma"/>
          <w:color w:val="000000"/>
          <w:szCs w:val="18"/>
          <w:lang w:val="de-DE"/>
        </w:rPr>
        <w:t xml:space="preserve"> </w:t>
      </w:r>
      <w:r w:rsidRPr="00C83DF5">
        <w:rPr>
          <w:rFonts w:cs="Tahoma"/>
          <w:color w:val="000000"/>
          <w:szCs w:val="18"/>
          <w:lang w:val="de-DE"/>
        </w:rPr>
        <w:t>Das Supportteam kann wie folgt erreicht werden:</w:t>
      </w:r>
    </w:p>
    <w:p w:rsidR="004640EC" w:rsidRDefault="004640EC" w:rsidP="004640EC">
      <w:pPr>
        <w:ind w:left="720"/>
        <w:rPr>
          <w:lang w:val="de-DE"/>
        </w:rPr>
      </w:pPr>
    </w:p>
    <w:p w:rsidR="00174C80" w:rsidRDefault="00174C80" w:rsidP="004640EC">
      <w:pPr>
        <w:ind w:left="720"/>
        <w:rPr>
          <w:lang w:val="de-DE"/>
        </w:rPr>
      </w:pPr>
    </w:p>
    <w:p w:rsidR="00174C80" w:rsidRPr="00C83DF5" w:rsidRDefault="00174C80" w:rsidP="004640EC">
      <w:pPr>
        <w:ind w:left="720"/>
        <w:rPr>
          <w:lang w:val="de-DE"/>
        </w:rPr>
      </w:pPr>
    </w:p>
    <w:p w:rsidR="004640EC" w:rsidRPr="00C83DF5" w:rsidRDefault="004640EC" w:rsidP="004640EC">
      <w:pPr>
        <w:ind w:left="720"/>
        <w:rPr>
          <w:lang w:val="de-DE"/>
        </w:rPr>
      </w:pPr>
      <w:r w:rsidRPr="00C83DF5">
        <w:rPr>
          <w:rFonts w:cs="Tahoma"/>
          <w:color w:val="000000"/>
          <w:szCs w:val="18"/>
          <w:lang w:val="de-DE"/>
        </w:rPr>
        <w:lastRenderedPageBreak/>
        <w:t>E-Mail:</w:t>
      </w:r>
    </w:p>
    <w:p w:rsidR="004640EC" w:rsidRPr="00C83DF5" w:rsidRDefault="005519A5" w:rsidP="004640EC">
      <w:pPr>
        <w:ind w:left="720"/>
        <w:rPr>
          <w:lang w:val="de-DE"/>
        </w:rPr>
      </w:pPr>
      <w:hyperlink r:id="rId42" w:history="1">
        <w:r w:rsidR="00CF5A3E" w:rsidRPr="00C83DF5">
          <w:rPr>
            <w:rStyle w:val="Hyperlink"/>
            <w:rFonts w:cs="Tahoma"/>
            <w:szCs w:val="18"/>
            <w:lang w:val="de-DE"/>
          </w:rPr>
          <w:t>bmesupp@microsoft.com</w:t>
        </w:r>
      </w:hyperlink>
    </w:p>
    <w:p w:rsidR="004640EC" w:rsidRPr="00C83DF5" w:rsidRDefault="004640EC" w:rsidP="004640EC">
      <w:pPr>
        <w:ind w:left="720"/>
        <w:rPr>
          <w:lang w:val="nb-NO"/>
        </w:rPr>
      </w:pPr>
      <w:r w:rsidRPr="00C83DF5">
        <w:rPr>
          <w:rFonts w:cs="Tahoma"/>
          <w:color w:val="000000"/>
          <w:szCs w:val="18"/>
          <w:lang w:val="nb-NO"/>
        </w:rPr>
        <w:t>Telefonnummer:</w:t>
      </w:r>
    </w:p>
    <w:p w:rsidR="004640EC" w:rsidRPr="00C83DF5" w:rsidRDefault="004640EC" w:rsidP="004640EC">
      <w:pPr>
        <w:ind w:left="720"/>
        <w:rPr>
          <w:lang w:val="nb-NO"/>
        </w:rPr>
      </w:pPr>
      <w:r w:rsidRPr="00C83DF5">
        <w:rPr>
          <w:rFonts w:cs="Tahoma"/>
          <w:color w:val="000000"/>
          <w:szCs w:val="18"/>
          <w:lang w:val="nb-NO"/>
        </w:rPr>
        <w:t>+1 (425) 705-2737</w:t>
      </w:r>
    </w:p>
    <w:p w:rsidR="004640EC" w:rsidRPr="00C83DF5" w:rsidRDefault="004640EC" w:rsidP="004640EC">
      <w:pPr>
        <w:ind w:left="720"/>
        <w:rPr>
          <w:lang w:val="nb-NO"/>
        </w:rPr>
      </w:pPr>
    </w:p>
    <w:p w:rsidR="004640EC" w:rsidRPr="00C83DF5" w:rsidRDefault="004640EC" w:rsidP="004640EC">
      <w:pPr>
        <w:ind w:left="720"/>
        <w:rPr>
          <w:lang w:val="nb-NO"/>
        </w:rPr>
      </w:pPr>
      <w:r w:rsidRPr="00C83DF5">
        <w:rPr>
          <w:rFonts w:cs="Tahoma"/>
          <w:color w:val="000000"/>
          <w:szCs w:val="18"/>
          <w:lang w:val="nb-NO"/>
        </w:rPr>
        <w:t>Webformular</w:t>
      </w:r>
    </w:p>
    <w:p w:rsidR="004640EC" w:rsidRPr="00C83DF5" w:rsidRDefault="005519A5" w:rsidP="004640EC">
      <w:pPr>
        <w:ind w:left="720"/>
        <w:rPr>
          <w:lang w:val="nb-NO"/>
        </w:rPr>
      </w:pPr>
      <w:hyperlink r:id="rId43" w:history="1">
        <w:r w:rsidR="00CF5A3E" w:rsidRPr="00C83DF5">
          <w:rPr>
            <w:rStyle w:val="Hyperlink"/>
            <w:rFonts w:cs="Tahoma"/>
            <w:szCs w:val="18"/>
            <w:lang w:val="nb-NO"/>
          </w:rPr>
          <w:t>https://support.microsoft.com/oas/default.aspx?prid=13766&amp;st=1</w:t>
        </w:r>
      </w:hyperlink>
    </w:p>
    <w:p w:rsidR="004640EC" w:rsidRPr="00C83DF5" w:rsidRDefault="004640EC" w:rsidP="004640EC">
      <w:pPr>
        <w:ind w:left="720"/>
        <w:rPr>
          <w:lang w:val="nb-NO"/>
        </w:rPr>
      </w:pPr>
    </w:p>
    <w:p w:rsidR="004640EC" w:rsidRPr="00C83DF5" w:rsidRDefault="004640EC" w:rsidP="005E31BA">
      <w:pPr>
        <w:ind w:left="720"/>
        <w:rPr>
          <w:lang w:val="de-DE"/>
        </w:rPr>
      </w:pPr>
      <w:r w:rsidRPr="00C83DF5">
        <w:rPr>
          <w:rFonts w:cs="Tahoma"/>
          <w:b/>
          <w:bCs/>
          <w:color w:val="000000"/>
          <w:szCs w:val="18"/>
          <w:lang w:val="de-DE"/>
        </w:rPr>
        <w:t>Priorität</w:t>
      </w:r>
      <w:r w:rsidRPr="00460B68">
        <w:rPr>
          <w:rFonts w:cs="Tahoma"/>
          <w:b/>
          <w:bCs/>
          <w:color w:val="000000"/>
          <w:szCs w:val="18"/>
          <w:lang w:val="de-DE"/>
        </w:rPr>
        <w:t>.</w:t>
      </w:r>
      <w:r w:rsidR="00E71F46" w:rsidRPr="00C83DF5">
        <w:rPr>
          <w:rFonts w:cs="Tahoma"/>
          <w:color w:val="000000"/>
          <w:szCs w:val="18"/>
          <w:lang w:val="de-DE"/>
        </w:rPr>
        <w:t xml:space="preserve"> </w:t>
      </w:r>
      <w:r w:rsidRPr="00C83DF5">
        <w:rPr>
          <w:rFonts w:cs="Tahoma"/>
          <w:color w:val="000000"/>
          <w:szCs w:val="18"/>
          <w:lang w:val="de-DE"/>
        </w:rPr>
        <w:t>Alle an den Kundensupport für Bing Maps gerichteten Anfragen werden gemäß den Erläuterungen in der nachstehenden Tabelle zu Dringlichkeitsstufen und Zielreaktionszeiten mit der Dringlichkeitsstufe A, B, C oder D gekennzeichnet.</w:t>
      </w:r>
      <w:r w:rsidR="00E71F46" w:rsidRPr="00C83DF5">
        <w:rPr>
          <w:rFonts w:cs="Tahoma"/>
          <w:color w:val="000000"/>
          <w:szCs w:val="18"/>
          <w:lang w:val="de-DE"/>
        </w:rPr>
        <w:t xml:space="preserve"> </w:t>
      </w:r>
      <w:r w:rsidRPr="00C83DF5">
        <w:rPr>
          <w:rFonts w:cs="Tahoma"/>
          <w:color w:val="000000"/>
          <w:szCs w:val="18"/>
          <w:lang w:val="de-DE"/>
        </w:rPr>
        <w:t>Sie erhalten innerhalb der in der nachstehenden Tabelle</w:t>
      </w:r>
      <w:r w:rsidR="005E31BA">
        <w:rPr>
          <w:rFonts w:cs="Tahoma"/>
          <w:color w:val="000000"/>
          <w:szCs w:val="18"/>
          <w:lang w:val="de-DE"/>
        </w:rPr>
        <w:t> </w:t>
      </w:r>
      <w:r w:rsidRPr="00C83DF5">
        <w:rPr>
          <w:rFonts w:cs="Tahoma"/>
          <w:color w:val="000000"/>
          <w:szCs w:val="18"/>
          <w:lang w:val="de-DE"/>
        </w:rPr>
        <w:t>angegebenen Zielreaktionszeiten eine Antwort von einem Support Engineer.</w:t>
      </w:r>
      <w:r w:rsidR="00E71F46" w:rsidRPr="00C83DF5">
        <w:rPr>
          <w:rFonts w:cs="Tahoma"/>
          <w:color w:val="000000"/>
          <w:szCs w:val="18"/>
          <w:lang w:val="de-DE"/>
        </w:rPr>
        <w:t xml:space="preserve"> </w:t>
      </w:r>
      <w:r w:rsidRPr="00C83DF5">
        <w:rPr>
          <w:rFonts w:cs="Tahoma"/>
          <w:color w:val="000000"/>
          <w:szCs w:val="18"/>
          <w:lang w:val="de-DE"/>
        </w:rPr>
        <w:t>Der Support Engineer</w:t>
      </w:r>
      <w:r w:rsidR="005E31BA">
        <w:rPr>
          <w:rFonts w:cs="Tahoma"/>
          <w:color w:val="000000"/>
          <w:szCs w:val="18"/>
          <w:lang w:val="de-DE"/>
        </w:rPr>
        <w:t> </w:t>
      </w:r>
      <w:r w:rsidRPr="00C83DF5">
        <w:rPr>
          <w:rFonts w:cs="Tahoma"/>
          <w:color w:val="000000"/>
          <w:szCs w:val="18"/>
          <w:lang w:val="de-DE"/>
        </w:rPr>
        <w:t>ermittelt die letztendliche Dringlichkeitsstufe gemäß der Erläuterung zu den Serviceanliegen in</w:t>
      </w:r>
      <w:r w:rsidR="005E31BA">
        <w:rPr>
          <w:rFonts w:cs="Tahoma"/>
          <w:color w:val="000000"/>
          <w:szCs w:val="18"/>
          <w:lang w:val="de-DE"/>
        </w:rPr>
        <w:t> </w:t>
      </w:r>
      <w:r w:rsidRPr="00C83DF5">
        <w:rPr>
          <w:rFonts w:cs="Tahoma"/>
          <w:color w:val="000000"/>
          <w:szCs w:val="18"/>
          <w:lang w:val="de-DE"/>
        </w:rPr>
        <w:t>der</w:t>
      </w:r>
      <w:r w:rsidR="005E31BA">
        <w:rPr>
          <w:rFonts w:cs="Tahoma"/>
          <w:color w:val="000000"/>
          <w:szCs w:val="18"/>
          <w:lang w:val="de-DE"/>
        </w:rPr>
        <w:t> </w:t>
      </w:r>
      <w:r w:rsidRPr="00C83DF5">
        <w:rPr>
          <w:rFonts w:cs="Tahoma"/>
          <w:color w:val="000000"/>
          <w:szCs w:val="18"/>
          <w:lang w:val="de-DE"/>
        </w:rPr>
        <w:t>nachstehenden Tabelle.</w:t>
      </w:r>
    </w:p>
    <w:p w:rsidR="004640EC" w:rsidRPr="00C83DF5" w:rsidRDefault="004640EC" w:rsidP="004640EC">
      <w:pPr>
        <w:ind w:left="720"/>
        <w:rPr>
          <w:lang w:val="de-DE"/>
        </w:rPr>
      </w:pPr>
      <w:r w:rsidRPr="00C83DF5">
        <w:rPr>
          <w:rFonts w:cs="Tahoma"/>
          <w:b/>
          <w:bCs/>
          <w:color w:val="000000"/>
          <w:szCs w:val="18"/>
          <w:lang w:val="de-DE"/>
        </w:rPr>
        <w:t xml:space="preserve">Dringlichkeitsstufen für die normalen Geschäftszeiten und Zielreaktionszeiten: </w:t>
      </w:r>
    </w:p>
    <w:p w:rsidR="004640EC" w:rsidRPr="00C83DF5" w:rsidRDefault="004640EC" w:rsidP="004640EC">
      <w:pPr>
        <w:ind w:left="720"/>
        <w:rPr>
          <w:lang w:val="de-DE"/>
        </w:rPr>
      </w:pPr>
    </w:p>
    <w:p w:rsidR="004640EC" w:rsidRPr="00C83DF5" w:rsidRDefault="004640EC" w:rsidP="004640EC">
      <w:pPr>
        <w:ind w:left="720"/>
        <w:rPr>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0"/>
        <w:gridCol w:w="5277"/>
      </w:tblGrid>
      <w:tr w:rsidR="004640EC" w:rsidRPr="00C83DF5"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b/>
                <w:bCs/>
                <w:color w:val="000000"/>
                <w:szCs w:val="18"/>
              </w:rPr>
              <w:t>Dringlichkeitsstufe des Anliegens</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b/>
                <w:bCs/>
                <w:color w:val="000000"/>
                <w:szCs w:val="18"/>
              </w:rPr>
              <w:t>Zielreaktionszeit</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b/>
                <w:bCs/>
                <w:color w:val="000000"/>
                <w:szCs w:val="18"/>
              </w:rPr>
              <w:t>Erläuterung zu den Serviceanliegen</w:t>
            </w:r>
          </w:p>
        </w:tc>
      </w:tr>
      <w:tr w:rsidR="004640EC" w:rsidRPr="004D388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Dringlichkeit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1 Stunde zu den Geschäftszeiten</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lang w:val="de-DE"/>
              </w:rPr>
            </w:pPr>
            <w:r w:rsidRPr="00C83DF5">
              <w:rPr>
                <w:rFonts w:cs="Tahoma"/>
                <w:color w:val="000000"/>
                <w:szCs w:val="18"/>
                <w:lang w:val="de-DE"/>
              </w:rPr>
              <w:t>Der Kunde trägt einen Serviceausfall oder ein sonstiges Anliegen vor, das für Produktionsanwendungen kritisch ist.</w:t>
            </w:r>
          </w:p>
        </w:tc>
      </w:tr>
      <w:tr w:rsidR="004640EC" w:rsidRPr="004D388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Dringlichkeit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4 Stunden zu den Geschäftszeiten</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lang w:val="de-DE"/>
              </w:rPr>
            </w:pPr>
            <w:r w:rsidRPr="00C83DF5">
              <w:rPr>
                <w:rFonts w:cs="Tahoma"/>
                <w:color w:val="000000"/>
                <w:szCs w:val="18"/>
                <w:lang w:val="de-DE"/>
              </w:rPr>
              <w:t>Der Kunde trägt ein weitreichenderes Anliegen vor, das wesentliche Auswirkung auf die Produktionsanwendungen hat.</w:t>
            </w:r>
          </w:p>
        </w:tc>
      </w:tr>
      <w:tr w:rsidR="004640EC" w:rsidRPr="004D388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Dringlichkeit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1 Geschäftstag</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D712B">
            <w:pPr>
              <w:rPr>
                <w:rFonts w:cs="Tahoma"/>
                <w:color w:val="000000"/>
                <w:szCs w:val="18"/>
                <w:lang w:val="de-DE"/>
              </w:rPr>
            </w:pPr>
            <w:r w:rsidRPr="00C83DF5">
              <w:rPr>
                <w:rFonts w:cs="Tahoma"/>
                <w:color w:val="000000"/>
                <w:szCs w:val="18"/>
                <w:lang w:val="de-DE"/>
              </w:rPr>
              <w:t>Der Kunde trägt ein nicht kritisches Anliegen vor (z. B.</w:t>
            </w:r>
            <w:r w:rsidR="001D712B">
              <w:rPr>
                <w:rFonts w:cs="Tahoma"/>
                <w:color w:val="000000"/>
                <w:szCs w:val="18"/>
                <w:lang w:val="de-DE"/>
              </w:rPr>
              <w:t> </w:t>
            </w:r>
            <w:r w:rsidRPr="00C83DF5">
              <w:rPr>
                <w:rFonts w:cs="Tahoma"/>
                <w:color w:val="000000"/>
                <w:szCs w:val="18"/>
                <w:lang w:val="de-DE"/>
              </w:rPr>
              <w:t>allgemeine Entwicklungs- oder Produktfragen).</w:t>
            </w:r>
          </w:p>
        </w:tc>
      </w:tr>
      <w:tr w:rsidR="004640EC" w:rsidRPr="004D388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Dringlichkeit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3 Geschäftstage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lang w:val="de-DE"/>
              </w:rPr>
            </w:pPr>
            <w:r w:rsidRPr="00C83DF5">
              <w:rPr>
                <w:rFonts w:cs="Tahoma"/>
                <w:color w:val="000000"/>
                <w:szCs w:val="18"/>
                <w:lang w:val="de-DE"/>
              </w:rPr>
              <w:t>Der Kunde gibt Feedback zu Zuordnungs- Fahrtanweisungs- oder Geocodinganliegen.</w:t>
            </w:r>
          </w:p>
        </w:tc>
      </w:tr>
    </w:tbl>
    <w:p w:rsidR="004640EC" w:rsidRPr="007025E3" w:rsidRDefault="004640EC" w:rsidP="004640EC">
      <w:pPr>
        <w:ind w:left="720"/>
        <w:rPr>
          <w:rFonts w:cs="Tahoma"/>
          <w:color w:val="000000"/>
          <w:szCs w:val="18"/>
          <w:lang w:val="de-DE"/>
        </w:rPr>
      </w:pPr>
    </w:p>
    <w:p w:rsidR="004640EC" w:rsidRPr="00C83DF5" w:rsidRDefault="004640EC" w:rsidP="004640EC">
      <w:pPr>
        <w:ind w:left="720"/>
        <w:rPr>
          <w:lang w:val="de-DE"/>
        </w:rPr>
      </w:pPr>
      <w:r w:rsidRPr="00C83DF5">
        <w:rPr>
          <w:rFonts w:cs="Tahoma"/>
          <w:b/>
          <w:bCs/>
          <w:color w:val="000000"/>
          <w:szCs w:val="18"/>
          <w:lang w:val="de-DE"/>
        </w:rPr>
        <w:t xml:space="preserve">Kontaktdaten für den rund um die Uhr erreichbaren Notfallkundensupport von Bing Maps: </w:t>
      </w:r>
    </w:p>
    <w:p w:rsidR="004640EC" w:rsidRPr="007025E3" w:rsidRDefault="004640EC" w:rsidP="004640EC">
      <w:pPr>
        <w:ind w:left="720"/>
        <w:rPr>
          <w:rFonts w:cs="Tahoma"/>
          <w:i/>
          <w:iCs/>
          <w:szCs w:val="18"/>
          <w:lang w:val="de-DE"/>
        </w:rPr>
      </w:pPr>
    </w:p>
    <w:p w:rsidR="004640EC" w:rsidRPr="00C83DF5" w:rsidRDefault="004640EC" w:rsidP="004640EC">
      <w:pPr>
        <w:ind w:left="720"/>
        <w:rPr>
          <w:lang w:val="de-DE"/>
        </w:rPr>
      </w:pPr>
      <w:r w:rsidRPr="00C83DF5">
        <w:rPr>
          <w:rFonts w:cs="Tahoma"/>
          <w:szCs w:val="18"/>
          <w:lang w:val="de-DE"/>
        </w:rPr>
        <w:t>Telefonnummer:</w:t>
      </w:r>
    </w:p>
    <w:p w:rsidR="004640EC" w:rsidRPr="00C83DF5" w:rsidRDefault="004640EC" w:rsidP="004640EC">
      <w:pPr>
        <w:ind w:left="720"/>
        <w:rPr>
          <w:lang w:val="de-DE"/>
        </w:rPr>
      </w:pPr>
    </w:p>
    <w:p w:rsidR="004640EC" w:rsidRPr="00C83DF5" w:rsidRDefault="004640EC" w:rsidP="004640EC">
      <w:pPr>
        <w:ind w:left="720"/>
        <w:rPr>
          <w:lang w:val="de-DE"/>
        </w:rPr>
      </w:pPr>
      <w:r w:rsidRPr="00C83DF5">
        <w:rPr>
          <w:rFonts w:cs="Tahoma"/>
          <w:color w:val="000000"/>
          <w:szCs w:val="18"/>
          <w:lang w:val="de-DE"/>
        </w:rPr>
        <w:t>+1 (425) 705-2737</w:t>
      </w:r>
    </w:p>
    <w:p w:rsidR="004640EC" w:rsidRPr="007025E3" w:rsidRDefault="004640EC" w:rsidP="001D712B">
      <w:pPr>
        <w:ind w:left="720"/>
        <w:rPr>
          <w:rFonts w:cs="Tahoma"/>
          <w:szCs w:val="18"/>
          <w:lang w:val="de-DE"/>
        </w:rPr>
      </w:pPr>
    </w:p>
    <w:p w:rsidR="004640EC" w:rsidRPr="00C83DF5" w:rsidRDefault="004640EC" w:rsidP="001D712B">
      <w:pPr>
        <w:ind w:left="720"/>
        <w:rPr>
          <w:lang w:val="de-DE"/>
        </w:rPr>
      </w:pPr>
      <w:r w:rsidRPr="00C83DF5">
        <w:rPr>
          <w:rFonts w:cs="Tahoma"/>
          <w:color w:val="000000"/>
          <w:szCs w:val="18"/>
          <w:lang w:val="de-DE"/>
        </w:rPr>
        <w:t>Wichtiger Hinweis: Der rund um die Uhr (außerhalb der Geschäftszeiten) erreichbare Notfallsupport steht</w:t>
      </w:r>
      <w:r w:rsidR="001D712B">
        <w:rPr>
          <w:rFonts w:cs="Tahoma"/>
          <w:color w:val="000000"/>
          <w:szCs w:val="18"/>
          <w:lang w:val="de-DE"/>
        </w:rPr>
        <w:t> </w:t>
      </w:r>
      <w:r w:rsidRPr="00C83DF5">
        <w:rPr>
          <w:rFonts w:cs="Tahoma"/>
          <w:color w:val="000000"/>
          <w:szCs w:val="18"/>
          <w:lang w:val="de-DE"/>
        </w:rPr>
        <w:t>nur für Anliegen mit der Dringlichkeitsstufe A zur Verfügung (Serviceausfälle oder erhebliche Servicebeeinträchtigungen mit Auswirkung auf die Produktionsanwendungen des Kunden). Microsoft antwortet auf alle anderen außerhalb der Geschäftszeiten vorgetragenen Anliegen, die nicht der Dringlichkeitsstufe A entsprechen, am folgenden Geschäftstag, und zwar gemäß den vorstehend aufgeführten Zielreaktionszeiten. Bitte beachten Sie zudem, dass per E-Mail (</w:t>
      </w:r>
      <w:hyperlink r:id="rId44" w:history="1">
        <w:r w:rsidRPr="00C83DF5">
          <w:rPr>
            <w:rStyle w:val="Hyperlink"/>
            <w:rFonts w:cs="Tahoma"/>
            <w:szCs w:val="18"/>
            <w:lang w:val="de-DE"/>
          </w:rPr>
          <w:t>bmesupp@microsoft.com</w:t>
        </w:r>
      </w:hyperlink>
      <w:r w:rsidRPr="00C83DF5">
        <w:rPr>
          <w:rFonts w:cs="Tahoma"/>
          <w:color w:val="000000"/>
          <w:szCs w:val="18"/>
          <w:lang w:val="de-DE"/>
        </w:rPr>
        <w:t>) oder</w:t>
      </w:r>
      <w:r w:rsidR="001D712B">
        <w:rPr>
          <w:rFonts w:cs="Tahoma"/>
          <w:color w:val="000000"/>
          <w:szCs w:val="18"/>
          <w:lang w:val="de-DE"/>
        </w:rPr>
        <w:t> </w:t>
      </w:r>
      <w:r w:rsidRPr="00C83DF5">
        <w:rPr>
          <w:rFonts w:cs="Tahoma"/>
          <w:color w:val="000000"/>
          <w:szCs w:val="18"/>
          <w:lang w:val="de-DE"/>
        </w:rPr>
        <w:t xml:space="preserve">per Webformular vorgetragene Anliegen außerhalb der normalen Geschäftszeiten des Kundensupports für Bing Maps nicht gelesen werden. </w:t>
      </w:r>
    </w:p>
    <w:p w:rsidR="004640EC" w:rsidRPr="007025E3" w:rsidRDefault="004640EC" w:rsidP="004640EC">
      <w:pPr>
        <w:ind w:left="720"/>
        <w:rPr>
          <w:rFonts w:cs="Tahoma"/>
          <w:szCs w:val="18"/>
          <w:lang w:val="de-DE"/>
        </w:rPr>
      </w:pPr>
    </w:p>
    <w:p w:rsidR="004640EC" w:rsidRPr="00C83DF5" w:rsidRDefault="004640EC" w:rsidP="004640EC">
      <w:pPr>
        <w:ind w:left="720"/>
        <w:rPr>
          <w:lang w:val="de-DE"/>
        </w:rPr>
      </w:pPr>
      <w:r w:rsidRPr="00C83DF5">
        <w:rPr>
          <w:rFonts w:cs="Tahoma"/>
          <w:b/>
          <w:bCs/>
          <w:color w:val="000000"/>
          <w:szCs w:val="18"/>
          <w:lang w:val="de-DE"/>
        </w:rPr>
        <w:t>Dringlichkeitsstufen für Notfälle außerhalb der Geschäftszeiten und Zielreaktionszeiten:</w:t>
      </w:r>
    </w:p>
    <w:p w:rsidR="004640EC" w:rsidRPr="007025E3" w:rsidRDefault="004640EC" w:rsidP="004640EC">
      <w:pPr>
        <w:ind w:left="720"/>
        <w:rPr>
          <w:rFonts w:cs="Tahoma"/>
          <w:color w:val="000000"/>
          <w:szCs w:val="18"/>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1"/>
        <w:gridCol w:w="5276"/>
      </w:tblGrid>
      <w:tr w:rsidR="004640EC" w:rsidRPr="00C83DF5"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b/>
                <w:bCs/>
                <w:color w:val="000000"/>
                <w:szCs w:val="18"/>
              </w:rPr>
              <w:t>Dringlichkeitsstufe des Anliegens</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b/>
                <w:bCs/>
                <w:color w:val="000000"/>
                <w:szCs w:val="18"/>
              </w:rPr>
              <w:t>Zielreaktionszeit</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b/>
                <w:bCs/>
                <w:color w:val="000000"/>
                <w:szCs w:val="18"/>
              </w:rPr>
              <w:t>Erläuterung zu den Serviceanliegen</w:t>
            </w:r>
          </w:p>
        </w:tc>
      </w:tr>
      <w:tr w:rsidR="004640EC" w:rsidRPr="004D388E"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Dringlichkeit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rPr>
            </w:pPr>
            <w:r w:rsidRPr="00C83DF5">
              <w:rPr>
                <w:rFonts w:cs="Tahoma"/>
                <w:color w:val="000000"/>
                <w:szCs w:val="18"/>
              </w:rPr>
              <w:t>1 Stunde zu den Geschäftszeiten</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83DF5" w:rsidRDefault="004640EC" w:rsidP="00136585">
            <w:pPr>
              <w:rPr>
                <w:rFonts w:cs="Tahoma"/>
                <w:color w:val="000000"/>
                <w:szCs w:val="18"/>
                <w:lang w:val="de-DE"/>
              </w:rPr>
            </w:pPr>
            <w:r w:rsidRPr="00C83DF5">
              <w:rPr>
                <w:rFonts w:cs="Tahoma"/>
                <w:color w:val="000000"/>
                <w:szCs w:val="18"/>
                <w:lang w:val="de-DE"/>
              </w:rPr>
              <w:t>Der Kunde trägt einen Serviceausfall oder ein sonstiges Anliegen vor, das für Produktionsanwendungen kritisch ist.</w:t>
            </w:r>
          </w:p>
        </w:tc>
      </w:tr>
    </w:tbl>
    <w:p w:rsidR="004640EC" w:rsidRDefault="004640EC" w:rsidP="004640EC">
      <w:pPr>
        <w:ind w:left="720"/>
        <w:rPr>
          <w:rFonts w:cs="Tahoma"/>
          <w:szCs w:val="18"/>
          <w:lang w:val="de-DE"/>
        </w:rPr>
      </w:pPr>
    </w:p>
    <w:p w:rsidR="00174C80" w:rsidRDefault="00174C80" w:rsidP="004640EC">
      <w:pPr>
        <w:ind w:left="720"/>
        <w:rPr>
          <w:rFonts w:cs="Tahoma"/>
          <w:szCs w:val="18"/>
          <w:lang w:val="de-DE"/>
        </w:rPr>
      </w:pPr>
    </w:p>
    <w:p w:rsidR="00174C80" w:rsidRDefault="00174C80" w:rsidP="004640EC">
      <w:pPr>
        <w:ind w:left="720"/>
        <w:rPr>
          <w:rFonts w:cs="Tahoma"/>
          <w:szCs w:val="18"/>
          <w:lang w:val="de-DE"/>
        </w:rPr>
      </w:pPr>
    </w:p>
    <w:p w:rsidR="00174C80" w:rsidRDefault="00174C80" w:rsidP="004640EC">
      <w:pPr>
        <w:ind w:left="720"/>
        <w:rPr>
          <w:rFonts w:cs="Tahoma"/>
          <w:szCs w:val="18"/>
          <w:lang w:val="de-DE"/>
        </w:rPr>
      </w:pPr>
    </w:p>
    <w:p w:rsidR="00174C80" w:rsidRDefault="00174C80" w:rsidP="004640EC">
      <w:pPr>
        <w:ind w:left="720"/>
        <w:rPr>
          <w:rFonts w:cs="Tahoma"/>
          <w:szCs w:val="18"/>
          <w:lang w:val="de-DE"/>
        </w:rPr>
      </w:pPr>
    </w:p>
    <w:p w:rsidR="00174C80" w:rsidRPr="007025E3" w:rsidRDefault="00174C80" w:rsidP="004640EC">
      <w:pPr>
        <w:ind w:left="720"/>
        <w:rPr>
          <w:rFonts w:cs="Tahoma"/>
          <w:szCs w:val="18"/>
          <w:lang w:val="de-DE"/>
        </w:rPr>
      </w:pPr>
    </w:p>
    <w:bookmarkEnd w:id="1141"/>
    <w:p w:rsidR="00AD481C" w:rsidRPr="00C83DF5" w:rsidRDefault="00AD481C" w:rsidP="00AD481C">
      <w:pPr>
        <w:ind w:left="720"/>
        <w:rPr>
          <w:lang w:val="de-DE"/>
        </w:rPr>
      </w:pPr>
      <w:r w:rsidRPr="00C83DF5">
        <w:rPr>
          <w:rFonts w:cs="Tahoma"/>
          <w:b/>
          <w:bCs/>
          <w:color w:val="000000"/>
          <w:szCs w:val="18"/>
          <w:lang w:val="de-DE"/>
        </w:rPr>
        <w:lastRenderedPageBreak/>
        <w:t>So greifen Sie auf den Bing Maps-Dienst zu:</w:t>
      </w:r>
    </w:p>
    <w:p w:rsidR="00AD481C" w:rsidRPr="007025E3" w:rsidRDefault="00AD481C" w:rsidP="00AD481C">
      <w:pPr>
        <w:ind w:left="720"/>
        <w:rPr>
          <w:rFonts w:cs="Tahoma"/>
          <w:color w:val="000000"/>
          <w:szCs w:val="18"/>
          <w:lang w:val="de-DE"/>
        </w:rPr>
      </w:pPr>
    </w:p>
    <w:p w:rsidR="00B17BCD" w:rsidRPr="00C72FC2" w:rsidRDefault="00B17BCD" w:rsidP="00125CFA">
      <w:pPr>
        <w:ind w:left="720"/>
        <w:rPr>
          <w:lang w:val="de-DE"/>
        </w:rPr>
      </w:pPr>
      <w:r w:rsidRPr="00C72FC2">
        <w:rPr>
          <w:rFonts w:cs="Tahoma"/>
          <w:szCs w:val="18"/>
          <w:lang w:val="de-DE"/>
        </w:rPr>
        <w:t>Sie können Ihre Bing Maps Account-ID(s) unter Ihrem Volumenlizenzvertrag mithilfe des Produktionszugriff-Bereitstellungsformulars im Bing Maps Account Center (</w:t>
      </w:r>
      <w:hyperlink r:id="rId45" w:history="1">
        <w:r w:rsidRPr="00C72FC2">
          <w:rPr>
            <w:rFonts w:cs="Tahoma"/>
            <w:szCs w:val="18"/>
            <w:lang w:val="de-DE"/>
          </w:rPr>
          <w:t>https://www.bingmapsportal.com/</w:t>
        </w:r>
      </w:hyperlink>
      <w:r w:rsidRPr="00C72FC2">
        <w:rPr>
          <w:rFonts w:cs="Tahoma"/>
          <w:szCs w:val="18"/>
          <w:lang w:val="de-DE"/>
        </w:rPr>
        <w:t>) freischalten.</w:t>
      </w:r>
      <w:r w:rsidR="00E71F46" w:rsidRPr="00C72FC2">
        <w:rPr>
          <w:rFonts w:cs="Tahoma"/>
          <w:szCs w:val="18"/>
          <w:lang w:val="de-DE"/>
        </w:rPr>
        <w:t xml:space="preserve"> </w:t>
      </w:r>
      <w:r w:rsidRPr="00C72FC2">
        <w:rPr>
          <w:rFonts w:cs="Tahoma"/>
          <w:szCs w:val="18"/>
          <w:lang w:val="de-DE"/>
        </w:rPr>
        <w:t>Der</w:t>
      </w:r>
      <w:r w:rsidR="00125CFA" w:rsidRPr="00C72FC2">
        <w:rPr>
          <w:rFonts w:cs="Tahoma"/>
          <w:szCs w:val="18"/>
          <w:lang w:val="de-DE"/>
        </w:rPr>
        <w:t> </w:t>
      </w:r>
      <w:r w:rsidRPr="00C72FC2">
        <w:rPr>
          <w:rFonts w:cs="Tahoma"/>
          <w:szCs w:val="18"/>
          <w:lang w:val="de-DE"/>
        </w:rPr>
        <w:t>Produktionszugriff für die Bing Maps Account-ID(s) wird gewährt, sobald Sie die Nummer Ihres Volumenlizenzvertrages/Beitritts bereitgestellt und die mit Ihrer Erwerbung verbundene Produktfamilie ausgewählt haben.</w:t>
      </w:r>
    </w:p>
    <w:p w:rsidR="00B17BCD" w:rsidRPr="00C83DF5" w:rsidRDefault="00B17BCD" w:rsidP="00B17BCD">
      <w:pPr>
        <w:pStyle w:val="NormalWeb"/>
        <w:spacing w:before="0" w:beforeAutospacing="0" w:after="0" w:afterAutospacing="0"/>
        <w:ind w:left="720"/>
        <w:rPr>
          <w:lang w:val="de-DE"/>
        </w:rPr>
      </w:pPr>
      <w:r w:rsidRPr="00C83DF5">
        <w:rPr>
          <w:rFonts w:ascii="Tahoma" w:hAnsi="Tahoma" w:cs="Tahoma"/>
          <w:sz w:val="18"/>
          <w:szCs w:val="22"/>
          <w:lang w:val="de-DE"/>
        </w:rP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Mobile Asset Management.</w:t>
      </w:r>
    </w:p>
    <w:p w:rsidR="00B17BCD" w:rsidRPr="007025E3" w:rsidRDefault="00B17BCD" w:rsidP="00B17BCD">
      <w:pPr>
        <w:pStyle w:val="NormalWeb"/>
        <w:spacing w:before="0" w:beforeAutospacing="0" w:after="0" w:afterAutospacing="0"/>
        <w:ind w:left="720"/>
        <w:rPr>
          <w:rFonts w:ascii="Tahoma" w:hAnsi="Tahoma" w:cs="Tahoma"/>
          <w:sz w:val="18"/>
          <w:szCs w:val="22"/>
          <w:lang w:val="de-DE"/>
        </w:rPr>
      </w:pPr>
    </w:p>
    <w:p w:rsidR="00B17BCD" w:rsidRPr="00C83DF5" w:rsidRDefault="00B17BCD" w:rsidP="00B17BCD">
      <w:pPr>
        <w:spacing w:after="60"/>
        <w:ind w:left="720"/>
        <w:rPr>
          <w:lang w:val="de-DE"/>
        </w:rPr>
      </w:pPr>
      <w:r w:rsidRPr="00C83DF5">
        <w:rPr>
          <w:rFonts w:cs="Tahoma"/>
          <w:lang w:val="de-DE"/>
        </w:rPr>
        <w:t xml:space="preserve">Für die Produktfamilie Mobile Asset Management gelten besondere Bedingungen. Bei einer Erwerbung aus dieser Produktfamilie benötigen Sie eine separate Bing Maps Account-ID für jede Kombination aus Region (z. B. Europa vs. Nordamerika) und Routing-Option (mit Routing vs. ohne Routing). Beispiel: Ein Kunde, der </w:t>
      </w:r>
      <w:r w:rsidRPr="00C83DF5">
        <w:rPr>
          <w:rFonts w:eastAsia="Calibri" w:cs="Tahoma"/>
          <w:color w:val="000000"/>
          <w:szCs w:val="18"/>
          <w:lang w:val="de-DE"/>
        </w:rPr>
        <w:t xml:space="preserve">Bing Maps Mobile Asset Management für Nordamerika Ohne Routing, Bing Maps Mobile Asset Management für Europa Ohne Routing und Bing Maps Mobile Asset Management für Europa Mit Routing bestellt, benötigt aufgrund der unterschiedlichen geografischen Gebiete und Routing-Auswahlen mindestens drei Bing Maps Account-IDs. </w:t>
      </w:r>
    </w:p>
    <w:p w:rsidR="00AD481C" w:rsidRPr="00C83DF5" w:rsidRDefault="00AD481C" w:rsidP="00BF4D66">
      <w:pPr>
        <w:ind w:left="720"/>
        <w:rPr>
          <w:lang w:val="de-DE"/>
        </w:rPr>
      </w:pPr>
    </w:p>
    <w:p w:rsidR="00E03856" w:rsidRPr="00C83DF5" w:rsidRDefault="00E03856" w:rsidP="00BF4D66">
      <w:pPr>
        <w:ind w:left="720"/>
        <w:rPr>
          <w:lang w:val="de-DE"/>
        </w:rPr>
      </w:pPr>
    </w:p>
    <w:p w:rsidR="008233B3" w:rsidRPr="00C83DF5" w:rsidRDefault="00A560B6" w:rsidP="008233B3">
      <w:pPr>
        <w:pStyle w:val="Heading3"/>
        <w:rPr>
          <w:lang w:val="de-DE"/>
        </w:rPr>
      </w:pPr>
      <w:bookmarkStart w:id="1147" w:name="_29_BizTalk®_Server"/>
      <w:bookmarkStart w:id="1148" w:name="_32_BizTalk_Server®"/>
      <w:bookmarkStart w:id="1149" w:name="_35_BizTalk_Server®"/>
      <w:bookmarkStart w:id="1150" w:name="_Toc370983403"/>
      <w:bookmarkEnd w:id="1147"/>
      <w:bookmarkEnd w:id="1148"/>
      <w:bookmarkEnd w:id="1149"/>
      <w:r w:rsidRPr="00C83DF5">
        <w:rPr>
          <w:rFonts w:ascii="Tahoma" w:hAnsi="Tahoma" w:cs="Tahoma"/>
          <w:caps/>
          <w:color w:val="F66400"/>
          <w:sz w:val="22"/>
          <w:vertAlign w:val="superscript"/>
          <w:lang w:val="de-DE"/>
        </w:rPr>
        <w:t>35</w:t>
      </w:r>
      <w:r w:rsidRPr="00106236">
        <w:rPr>
          <w:rFonts w:ascii="Tahoma" w:hAnsi="Tahoma" w:cs="Tahoma"/>
          <w:caps/>
          <w:color w:val="F66400"/>
          <w:sz w:val="22"/>
          <w:lang w:val="de-DE"/>
        </w:rPr>
        <w:t xml:space="preserve"> </w:t>
      </w:r>
      <w:r w:rsidRPr="00C83DF5">
        <w:rPr>
          <w:rFonts w:ascii="Tahoma" w:hAnsi="Tahoma" w:cs="Tahoma"/>
          <w:color w:val="F66400"/>
          <w:sz w:val="22"/>
          <w:lang w:val="de-DE"/>
        </w:rPr>
        <w:t>BizTalk Server</w:t>
      </w:r>
      <w:r w:rsidRPr="00C83DF5">
        <w:rPr>
          <w:rFonts w:ascii="Tahoma" w:hAnsi="Tahoma" w:cs="Tahoma"/>
          <w:color w:val="F66400"/>
          <w:sz w:val="22"/>
          <w:vertAlign w:val="superscript"/>
          <w:lang w:val="de-DE"/>
        </w:rPr>
        <w:t>®</w:t>
      </w:r>
      <w:r w:rsidRPr="00C83DF5">
        <w:rPr>
          <w:rFonts w:ascii="Tahoma" w:hAnsi="Tahoma" w:cs="Tahoma"/>
          <w:color w:val="F66400"/>
          <w:sz w:val="22"/>
          <w:lang w:val="de-DE"/>
        </w:rPr>
        <w:t xml:space="preserve"> 2013 Branch</w:t>
      </w:r>
      <w:bookmarkEnd w:id="1150"/>
    </w:p>
    <w:p w:rsidR="008233B3" w:rsidRPr="007025E3" w:rsidRDefault="008233B3" w:rsidP="008233B3">
      <w:pPr>
        <w:rPr>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t>Lizenzgewährungen im Zusammenhang mit der Änderung des Lizenzmodells</w:t>
      </w:r>
    </w:p>
    <w:p w:rsidR="008233B3" w:rsidRPr="00C83DF5" w:rsidRDefault="008233B3" w:rsidP="004B3342">
      <w:pPr>
        <w:ind w:left="720"/>
        <w:rPr>
          <w:lang w:val="de-DE"/>
        </w:rPr>
      </w:pPr>
      <w:r w:rsidRPr="00C83DF5">
        <w:rPr>
          <w:rFonts w:eastAsia="Calibri" w:cs="Tahoma"/>
          <w:color w:val="000000"/>
          <w:szCs w:val="18"/>
          <w:lang w:val="de-DE"/>
        </w:rPr>
        <w:t>BizTalk Server 2010 ist die letzte Version von BizTalk Server, die unter dem Pro-Prozessor-Lizenzmodell lizenziert wird.</w:t>
      </w:r>
      <w:r w:rsidR="00E71F46" w:rsidRPr="00C83DF5">
        <w:rPr>
          <w:rFonts w:eastAsia="Calibri" w:cs="Tahoma"/>
          <w:color w:val="000000"/>
          <w:szCs w:val="18"/>
          <w:lang w:val="de-DE"/>
        </w:rPr>
        <w:t xml:space="preserve"> </w:t>
      </w:r>
      <w:r w:rsidRPr="00C83DF5">
        <w:rPr>
          <w:rFonts w:eastAsia="Calibri" w:cs="Tahoma"/>
          <w:color w:val="000000"/>
          <w:szCs w:val="18"/>
          <w:lang w:val="de-DE"/>
        </w:rPr>
        <w:t>Als Ausnahme erhalten Volumenlizenzkunden, die zum Zeitpunkt der Veröffentlichung dieser</w:t>
      </w:r>
      <w:r w:rsidR="004B3342">
        <w:rPr>
          <w:rFonts w:eastAsia="Calibri" w:cs="Tahoma"/>
          <w:color w:val="000000"/>
          <w:szCs w:val="18"/>
          <w:lang w:val="de-DE"/>
        </w:rPr>
        <w:t> </w:t>
      </w:r>
      <w:r w:rsidRPr="00C83DF5">
        <w:rPr>
          <w:rFonts w:eastAsia="Calibri" w:cs="Tahoma"/>
          <w:color w:val="000000"/>
          <w:szCs w:val="18"/>
          <w:lang w:val="de-DE"/>
        </w:rPr>
        <w:t xml:space="preserve">Produktliste über aktive Software Assurance für BizTalk Server 2010 Branch-Prozessorlizenzen („qualifizierende Lizenzen“) verfügen, die folgenden Optionen. </w:t>
      </w:r>
    </w:p>
    <w:p w:rsidR="008233B3" w:rsidRPr="007025E3" w:rsidRDefault="008233B3" w:rsidP="008233B3">
      <w:pPr>
        <w:ind w:left="720"/>
        <w:rPr>
          <w:rFonts w:eastAsia="Calibri" w:cs="Tahoma"/>
          <w:color w:val="000000"/>
          <w:szCs w:val="18"/>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t>Aktuelle Laufzeit</w:t>
      </w:r>
    </w:p>
    <w:p w:rsidR="00BF4D66" w:rsidRDefault="008233B3" w:rsidP="00BF4D66">
      <w:pPr>
        <w:ind w:left="720"/>
        <w:rPr>
          <w:rFonts w:eastAsia="Calibri" w:cs="Tahoma"/>
          <w:color w:val="000000"/>
          <w:szCs w:val="18"/>
          <w:lang w:val="de-DE"/>
        </w:rPr>
      </w:pPr>
      <w:r w:rsidRPr="00C83DF5">
        <w:rPr>
          <w:rFonts w:eastAsia="Calibri" w:cs="Tahoma"/>
          <w:color w:val="000000"/>
          <w:szCs w:val="18"/>
          <w:lang w:val="de-DE"/>
        </w:rPr>
        <w:t>Während der aktuellen Laufzeit ihrer Software Assurance sind Kunden (einschließlich Kunden mit</w:t>
      </w:r>
      <w:r w:rsidR="00BF4D66">
        <w:rPr>
          <w:rFonts w:eastAsia="Calibri" w:cs="Tahoma"/>
          <w:color w:val="000000"/>
          <w:szCs w:val="18"/>
          <w:lang w:val="de-DE"/>
        </w:rPr>
        <w:t> </w:t>
      </w:r>
      <w:r w:rsidRPr="00C83DF5">
        <w:rPr>
          <w:rFonts w:eastAsia="Calibri" w:cs="Tahoma"/>
          <w:color w:val="000000"/>
          <w:szCs w:val="18"/>
          <w:lang w:val="de-DE"/>
        </w:rPr>
        <w:t xml:space="preserve">Abonnementverträgen) unter qualifizierenden Lizenzen berechtigt, vorbehaltlich der Produktbenutzungsrechte für BizTalk Server 2010 Branch-Prozessorlizenzen (wie in den Produktbenutzungsrechten von Januar 2013 dargestellt) auf die neueste Version der BizTalk </w:t>
      </w:r>
    </w:p>
    <w:p w:rsidR="008233B3" w:rsidRPr="00C83DF5" w:rsidRDefault="008233B3" w:rsidP="00BF4D66">
      <w:pPr>
        <w:ind w:left="720"/>
        <w:rPr>
          <w:lang w:val="de-DE"/>
        </w:rPr>
      </w:pPr>
      <w:r w:rsidRPr="00C83DF5">
        <w:rPr>
          <w:rFonts w:eastAsia="Calibri" w:cs="Tahoma"/>
          <w:color w:val="000000"/>
          <w:szCs w:val="18"/>
          <w:lang w:val="de-DE"/>
        </w:rPr>
        <w:t xml:space="preserve">Server Branch-Software anstelle von BizTalk Server 2010 Branch upzugraden und diese zu verwenden. </w:t>
      </w:r>
    </w:p>
    <w:p w:rsidR="00D57009" w:rsidRPr="00BF4D66" w:rsidRDefault="00D57009">
      <w:pPr>
        <w:rPr>
          <w:rFonts w:eastAsia="Calibri" w:cs="Tahoma"/>
          <w:b/>
          <w:color w:val="000000"/>
          <w:szCs w:val="18"/>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t>Erster Verlängerungszeitraum</w:t>
      </w:r>
    </w:p>
    <w:p w:rsidR="008233B3" w:rsidRPr="00C83DF5" w:rsidRDefault="008233B3" w:rsidP="00117D7F">
      <w:pPr>
        <w:tabs>
          <w:tab w:val="left" w:pos="1800"/>
        </w:tabs>
        <w:spacing w:after="60"/>
        <w:ind w:left="720"/>
        <w:rPr>
          <w:lang w:val="de-DE"/>
        </w:rPr>
      </w:pPr>
      <w:r w:rsidRPr="00C83DF5">
        <w:rPr>
          <w:rFonts w:eastAsia="Calibri" w:cs="Tahoma"/>
          <w:color w:val="000000"/>
          <w:szCs w:val="18"/>
          <w:lang w:val="de-DE"/>
        </w:rPr>
        <w:t>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w:t>
      </w:r>
      <w:r w:rsidR="00117D7F">
        <w:rPr>
          <w:rFonts w:eastAsia="Calibri" w:cs="Tahoma"/>
          <w:color w:val="000000"/>
          <w:szCs w:val="18"/>
          <w:lang w:val="de-DE"/>
        </w:rPr>
        <w:t> </w:t>
      </w:r>
      <w:r w:rsidRPr="00C83DF5">
        <w:rPr>
          <w:rFonts w:eastAsia="Calibri" w:cs="Tahoma"/>
          <w:color w:val="000000"/>
          <w:szCs w:val="18"/>
          <w:lang w:val="de-DE"/>
        </w:rPr>
        <w:t xml:space="preserve">zugewiesen wurde, multipliziert mit dem jeweils größeren der folgenden Werte: </w:t>
      </w:r>
    </w:p>
    <w:p w:rsidR="008233B3" w:rsidRPr="00C83DF5" w:rsidRDefault="008233B3" w:rsidP="00346F4B">
      <w:pPr>
        <w:numPr>
          <w:ilvl w:val="3"/>
          <w:numId w:val="93"/>
        </w:numPr>
        <w:tabs>
          <w:tab w:val="left" w:pos="2160"/>
        </w:tabs>
        <w:spacing w:after="60"/>
        <w:ind w:left="2160"/>
      </w:pPr>
      <w:r w:rsidRPr="00C83DF5">
        <w:rPr>
          <w:rFonts w:eastAsia="Calibri" w:cs="Tahoma"/>
          <w:color w:val="000000"/>
          <w:szCs w:val="18"/>
        </w:rPr>
        <w:t>vier ODER</w:t>
      </w:r>
    </w:p>
    <w:p w:rsidR="008233B3" w:rsidRPr="00C83DF5" w:rsidRDefault="008233B3" w:rsidP="00117D7F">
      <w:pPr>
        <w:numPr>
          <w:ilvl w:val="3"/>
          <w:numId w:val="93"/>
        </w:numPr>
        <w:tabs>
          <w:tab w:val="left" w:pos="2160"/>
        </w:tabs>
        <w:spacing w:after="60"/>
        <w:ind w:left="2160"/>
        <w:rPr>
          <w:lang w:val="de-DE"/>
        </w:rPr>
      </w:pPr>
      <w:r w:rsidRPr="00C83DF5">
        <w:rPr>
          <w:rFonts w:eastAsia="Calibri" w:cs="Tahoma"/>
          <w:color w:val="000000"/>
          <w:szCs w:val="18"/>
          <w:lang w:val="de-DE"/>
        </w:rPr>
        <w:t>der tatsächlichen Anzahl von Cores pro physischem Prozessor multipliziert mit dem entsprechenden Core-Faktor.</w:t>
      </w:r>
      <w:r w:rsidR="00E71F46" w:rsidRPr="00C83DF5">
        <w:rPr>
          <w:rFonts w:eastAsia="Calibri" w:cs="Tahoma"/>
          <w:color w:val="000000"/>
          <w:szCs w:val="18"/>
          <w:lang w:val="de-DE"/>
        </w:rPr>
        <w:t xml:space="preserve"> </w:t>
      </w:r>
      <w:r w:rsidRPr="00C83DF5">
        <w:rPr>
          <w:rFonts w:eastAsia="Calibri" w:cs="Tahoma"/>
          <w:color w:val="000000"/>
          <w:szCs w:val="18"/>
          <w:lang w:val="de-DE"/>
        </w:rPr>
        <w:t>(Wenn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w:t>
      </w:r>
      <w:r w:rsidR="00117D7F">
        <w:rPr>
          <w:rFonts w:eastAsia="Calibri" w:cs="Tahoma"/>
          <w:color w:val="000000"/>
          <w:szCs w:val="18"/>
          <w:lang w:val="de-DE"/>
        </w:rPr>
        <w:t> </w:t>
      </w:r>
      <w:r w:rsidRPr="00C83DF5">
        <w:rPr>
          <w:rFonts w:eastAsia="Calibri" w:cs="Tahoma"/>
          <w:color w:val="000000"/>
          <w:szCs w:val="18"/>
          <w:lang w:val="de-DE"/>
        </w:rPr>
        <w:t>ausgeführt wird (lizenzierte Instanzen, die in Betriebssystemumgebungen auf</w:t>
      </w:r>
      <w:r w:rsidR="00117D7F">
        <w:rPr>
          <w:rFonts w:eastAsia="Calibri" w:cs="Tahoma"/>
          <w:color w:val="000000"/>
          <w:szCs w:val="18"/>
          <w:lang w:val="de-DE"/>
        </w:rPr>
        <w:t> </w:t>
      </w:r>
      <w:r w:rsidRPr="00C83DF5">
        <w:rPr>
          <w:rFonts w:eastAsia="Calibri" w:cs="Tahoma"/>
          <w:color w:val="000000"/>
          <w:szCs w:val="18"/>
          <w:lang w:val="de-DE"/>
        </w:rPr>
        <w:t>dem</w:t>
      </w:r>
      <w:r w:rsidR="00117D7F">
        <w:rPr>
          <w:rFonts w:eastAsia="Calibri" w:cs="Tahoma"/>
          <w:color w:val="000000"/>
          <w:szCs w:val="18"/>
          <w:lang w:val="de-DE"/>
        </w:rPr>
        <w:t> </w:t>
      </w:r>
      <w:r w:rsidRPr="00C83DF5">
        <w:rPr>
          <w:rFonts w:eastAsia="Calibri" w:cs="Tahoma"/>
          <w:color w:val="000000"/>
          <w:szCs w:val="18"/>
          <w:lang w:val="de-DE"/>
        </w:rPr>
        <w:t>lizenzierten Server ausgeführt werden), und der physischen Hardware führen, die</w:t>
      </w:r>
      <w:r w:rsidR="00117D7F">
        <w:rPr>
          <w:rFonts w:eastAsia="Calibri" w:cs="Tahoma"/>
          <w:color w:val="000000"/>
          <w:szCs w:val="18"/>
          <w:lang w:val="de-DE"/>
        </w:rPr>
        <w:t> </w:t>
      </w:r>
      <w:r w:rsidRPr="00C83DF5">
        <w:rPr>
          <w:rFonts w:eastAsia="Calibri" w:cs="Tahoma"/>
          <w:color w:val="000000"/>
          <w:szCs w:val="18"/>
          <w:lang w:val="de-DE"/>
        </w:rPr>
        <w:t xml:space="preserve">diese Software unterstützt.) </w:t>
      </w:r>
    </w:p>
    <w:p w:rsidR="008233B3" w:rsidRPr="00117D7F" w:rsidRDefault="008233B3" w:rsidP="008233B3">
      <w:pPr>
        <w:tabs>
          <w:tab w:val="left" w:pos="1800"/>
        </w:tabs>
        <w:ind w:left="1080"/>
        <w:rPr>
          <w:rFonts w:eastAsia="Calibri" w:cs="Tahoma"/>
          <w:color w:val="000000"/>
          <w:szCs w:val="18"/>
          <w:lang w:val="de-DE"/>
        </w:rPr>
      </w:pPr>
    </w:p>
    <w:p w:rsidR="008233B3" w:rsidRPr="00C83DF5" w:rsidRDefault="008233B3" w:rsidP="008233B3">
      <w:pPr>
        <w:spacing w:after="60"/>
        <w:ind w:left="720"/>
        <w:rPr>
          <w:lang w:val="de-DE"/>
        </w:rPr>
      </w:pPr>
      <w:r w:rsidRPr="00C83DF5">
        <w:rPr>
          <w:rFonts w:eastAsia="Calibri" w:cs="Tahoma"/>
          <w:color w:val="000000"/>
          <w:szCs w:val="18"/>
          <w:lang w:val="de-DE"/>
        </w:rPr>
        <w:t xml:space="preserve">Die Prozessorlizenzen des Kunden sind bei Erwerb von Software Assurance für Core-Lizenzen unter diesem Angebot nicht mehr gültig. </w:t>
      </w:r>
      <w:r w:rsidRPr="00C83DF5">
        <w:rPr>
          <w:rFonts w:eastAsia="Calibri" w:cs="Tahoma"/>
          <w:szCs w:val="18"/>
          <w:lang w:val="de-DE"/>
        </w:rPr>
        <w:t>Die Option zum Erwerb von Core-Lizenzen für Software Assurance für BizTalk Server ist nicht auf die Software Assurance-Verlängerung unter Abonnementprogrammen anwendbar.</w:t>
      </w:r>
      <w:r w:rsidR="00E71F46" w:rsidRPr="00C83DF5">
        <w:rPr>
          <w:rFonts w:eastAsia="Calibri" w:cs="Tahoma"/>
          <w:szCs w:val="18"/>
          <w:lang w:val="de-DE"/>
        </w:rPr>
        <w:t xml:space="preserve"> </w:t>
      </w:r>
    </w:p>
    <w:p w:rsidR="00F30B59" w:rsidRPr="007025E3" w:rsidRDefault="00F30B59" w:rsidP="008233B3">
      <w:pPr>
        <w:ind w:left="1440"/>
        <w:rPr>
          <w:rFonts w:eastAsia="Calibri" w:cs="Tahoma"/>
          <w:color w:val="000000"/>
          <w:szCs w:val="18"/>
          <w:lang w:val="de-DE"/>
        </w:rPr>
      </w:pPr>
    </w:p>
    <w:p w:rsidR="008233B3" w:rsidRPr="00C83DF5" w:rsidRDefault="008233B3" w:rsidP="008233B3">
      <w:pPr>
        <w:tabs>
          <w:tab w:val="left" w:pos="1440"/>
        </w:tabs>
        <w:spacing w:after="60"/>
        <w:ind w:left="720"/>
        <w:rPr>
          <w:lang w:val="de-DE"/>
        </w:rPr>
      </w:pPr>
      <w:r w:rsidRPr="00C83DF5">
        <w:rPr>
          <w:rFonts w:eastAsia="Calibri" w:cs="Tahoma"/>
          <w:b/>
          <w:color w:val="000000"/>
          <w:szCs w:val="18"/>
          <w:lang w:val="de-DE"/>
        </w:rPr>
        <w:lastRenderedPageBreak/>
        <w:t>Für Kunden mit aktiver Software Assurance, die nicht verlängern möchten</w:t>
      </w:r>
    </w:p>
    <w:p w:rsidR="008233B3" w:rsidRPr="00C83DF5" w:rsidRDefault="008233B3" w:rsidP="008233B3">
      <w:pPr>
        <w:tabs>
          <w:tab w:val="left" w:pos="1440"/>
        </w:tabs>
        <w:ind w:left="720"/>
        <w:rPr>
          <w:lang w:val="de-DE"/>
        </w:rPr>
      </w:pPr>
      <w:r w:rsidRPr="00C83DF5">
        <w:rPr>
          <w:rFonts w:eastAsia="Calibri" w:cs="Tahoma"/>
          <w:color w:val="000000"/>
          <w:szCs w:val="18"/>
          <w:lang w:val="de-DE"/>
        </w:rPr>
        <w:t xml:space="preserve">Konzern-Abonnement- </w:t>
      </w:r>
      <w:r w:rsidRPr="00C83DF5">
        <w:rPr>
          <w:rFonts w:cs="Tahoma"/>
          <w:bCs/>
          <w:color w:val="000000"/>
          <w:szCs w:val="18"/>
          <w:lang w:val="de-DE"/>
        </w:rPr>
        <w:t>und Open Value Subscription-</w:t>
      </w:r>
      <w:r w:rsidRPr="00C83DF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8233B3" w:rsidRPr="007025E3" w:rsidRDefault="008233B3" w:rsidP="008233B3">
      <w:pPr>
        <w:tabs>
          <w:tab w:val="left" w:pos="1440"/>
        </w:tabs>
        <w:ind w:left="720"/>
        <w:rPr>
          <w:rFonts w:eastAsia="Calibri" w:cs="Tahoma"/>
          <w:color w:val="000000"/>
          <w:szCs w:val="18"/>
          <w:lang w:val="de-DE"/>
        </w:rPr>
      </w:pPr>
    </w:p>
    <w:p w:rsidR="008233B3" w:rsidRPr="00C83DF5" w:rsidRDefault="008233B3" w:rsidP="00F30B59">
      <w:pPr>
        <w:numPr>
          <w:ilvl w:val="0"/>
          <w:numId w:val="53"/>
        </w:numPr>
        <w:spacing w:after="60"/>
        <w:ind w:left="1440"/>
        <w:rPr>
          <w:lang w:val="de-DE"/>
        </w:rPr>
      </w:pPr>
      <w:r w:rsidRPr="00C83DF5">
        <w:rPr>
          <w:rFonts w:eastAsia="Calibri" w:cs="Tahoma"/>
          <w:b/>
          <w:color w:val="000000"/>
          <w:szCs w:val="18"/>
          <w:lang w:val="de-DE"/>
        </w:rPr>
        <w:t>BizTalk Server 2010 Branch:</w:t>
      </w:r>
      <w:r w:rsidRPr="00C83DF5">
        <w:rPr>
          <w:rFonts w:eastAsia="Calibri" w:cs="Tahoma"/>
          <w:color w:val="000000"/>
          <w:szCs w:val="18"/>
          <w:lang w:val="de-DE"/>
        </w:rPr>
        <w:t xml:space="preserve"> Die kontinuierliche Verwendung dieser Version der Software unterliegt den Produktbenutzungsrechten für BizTalk Server 2010 Branch-Prozessorlizenzen, jedoch</w:t>
      </w:r>
      <w:r w:rsidR="00F30B59">
        <w:rPr>
          <w:rFonts w:eastAsia="Calibri" w:cs="Tahoma"/>
          <w:color w:val="000000"/>
          <w:szCs w:val="18"/>
          <w:lang w:val="de-DE"/>
        </w:rPr>
        <w:t> </w:t>
      </w:r>
      <w:r w:rsidRPr="00C83DF5">
        <w:rPr>
          <w:rFonts w:eastAsia="Calibri" w:cs="Tahoma"/>
          <w:color w:val="000000"/>
          <w:szCs w:val="18"/>
          <w:lang w:val="de-DE"/>
        </w:rPr>
        <w:t>verfügen die Kunden nicht mehr über die Lizenzmobilität durch Software Assurance.</w:t>
      </w:r>
    </w:p>
    <w:p w:rsidR="008233B3" w:rsidRPr="00C83DF5" w:rsidRDefault="00AF7294" w:rsidP="00F30B59">
      <w:pPr>
        <w:numPr>
          <w:ilvl w:val="0"/>
          <w:numId w:val="53"/>
        </w:numPr>
        <w:tabs>
          <w:tab w:val="left" w:pos="1800"/>
        </w:tabs>
        <w:spacing w:after="60"/>
        <w:ind w:left="1440"/>
        <w:rPr>
          <w:lang w:val="de-DE"/>
        </w:rPr>
      </w:pPr>
      <w:r w:rsidRPr="00C83DF5">
        <w:rPr>
          <w:rFonts w:eastAsia="Calibri" w:cs="Tahoma"/>
          <w:b/>
          <w:color w:val="000000"/>
          <w:szCs w:val="18"/>
          <w:lang w:val="de-DE"/>
        </w:rPr>
        <w:t xml:space="preserve">Neueste Version von BizTalk Server Branch: </w:t>
      </w:r>
      <w:r w:rsidRPr="00C83DF5">
        <w:rPr>
          <w:rFonts w:eastAsia="Calibri" w:cs="Tahoma"/>
          <w:color w:val="000000"/>
          <w:szCs w:val="18"/>
          <w:lang w:val="de-DE"/>
        </w:rPr>
        <w:t>Die Verwendung dieser Version der Software unterliegt den Produktbenutzungsrechten fürBizTalk Server 2010 Branch -Prozessorlizenzen, jedoch</w:t>
      </w:r>
      <w:r w:rsidR="00F30B59">
        <w:rPr>
          <w:rFonts w:eastAsia="Calibri" w:cs="Tahoma"/>
          <w:color w:val="000000"/>
          <w:szCs w:val="18"/>
          <w:lang w:val="de-DE"/>
        </w:rPr>
        <w:t> </w:t>
      </w:r>
      <w:r w:rsidRPr="00C83DF5">
        <w:rPr>
          <w:rFonts w:eastAsia="Calibri" w:cs="Tahoma"/>
          <w:color w:val="000000"/>
          <w:szCs w:val="18"/>
          <w:lang w:val="de-DE"/>
        </w:rPr>
        <w:t xml:space="preserve">mit folgenden Einschränkungen: </w:t>
      </w:r>
    </w:p>
    <w:p w:rsidR="008233B3" w:rsidRPr="00C83DF5" w:rsidRDefault="008233B3" w:rsidP="00346F4B">
      <w:pPr>
        <w:numPr>
          <w:ilvl w:val="1"/>
          <w:numId w:val="53"/>
        </w:numPr>
        <w:tabs>
          <w:tab w:val="left" w:pos="2160"/>
        </w:tabs>
        <w:spacing w:after="60"/>
        <w:ind w:left="2160"/>
        <w:rPr>
          <w:lang w:val="de-DE"/>
        </w:rPr>
      </w:pPr>
      <w:r w:rsidRPr="00C83DF5">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C83DF5" w:rsidRDefault="008233B3" w:rsidP="00346F4B">
      <w:pPr>
        <w:numPr>
          <w:ilvl w:val="1"/>
          <w:numId w:val="53"/>
        </w:numPr>
        <w:tabs>
          <w:tab w:val="left" w:pos="2160"/>
          <w:tab w:val="left" w:pos="2970"/>
        </w:tabs>
        <w:spacing w:after="60"/>
        <w:ind w:left="2160"/>
      </w:pPr>
      <w:r w:rsidRPr="00C83DF5">
        <w:rPr>
          <w:rFonts w:eastAsia="Calibri" w:cs="Tahoma"/>
          <w:color w:val="000000"/>
          <w:szCs w:val="18"/>
          <w:lang w:val="de-DE"/>
        </w:rPr>
        <w:t xml:space="preserve">Neuzuweisungen von Lizenzen unterliegen den Beschränkungen unten in Bezug auf ihre „Core-Lizenzäquivalenz“. </w:t>
      </w:r>
      <w:r w:rsidRPr="00C83DF5">
        <w:rPr>
          <w:rFonts w:eastAsia="Calibri" w:cs="Tahoma"/>
          <w:color w:val="000000"/>
          <w:szCs w:val="18"/>
        </w:rPr>
        <w:t xml:space="preserve">Die Core-Lizenzäquivalenz wird wie folgt bestimmt. </w:t>
      </w:r>
    </w:p>
    <w:p w:rsidR="008233B3" w:rsidRPr="00C83DF5" w:rsidRDefault="008233B3" w:rsidP="00346F4B">
      <w:pPr>
        <w:numPr>
          <w:ilvl w:val="2"/>
          <w:numId w:val="53"/>
        </w:numPr>
        <w:tabs>
          <w:tab w:val="left" w:pos="2520"/>
        </w:tabs>
        <w:spacing w:after="60"/>
        <w:ind w:left="2520"/>
        <w:rPr>
          <w:lang w:val="de-DE"/>
        </w:rPr>
      </w:pPr>
      <w:r w:rsidRPr="00C83DF5">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8233B3" w:rsidRPr="00C83DF5" w:rsidRDefault="008233B3" w:rsidP="00346F4B">
      <w:pPr>
        <w:numPr>
          <w:ilvl w:val="4"/>
          <w:numId w:val="126"/>
        </w:numPr>
        <w:tabs>
          <w:tab w:val="left" w:pos="2880"/>
        </w:tabs>
        <w:spacing w:after="60"/>
        <w:ind w:left="2880"/>
      </w:pPr>
      <w:r w:rsidRPr="00C83DF5">
        <w:rPr>
          <w:rFonts w:eastAsia="Calibri" w:cs="Tahoma"/>
          <w:color w:val="000000"/>
          <w:szCs w:val="18"/>
        </w:rPr>
        <w:t xml:space="preserve">vier Cores pro Prozessorlizenz ODER </w:t>
      </w:r>
    </w:p>
    <w:p w:rsidR="008233B3" w:rsidRPr="00C83DF5" w:rsidRDefault="008233B3" w:rsidP="00346F4B">
      <w:pPr>
        <w:numPr>
          <w:ilvl w:val="4"/>
          <w:numId w:val="126"/>
        </w:numPr>
        <w:tabs>
          <w:tab w:val="left" w:pos="2880"/>
        </w:tabs>
        <w:spacing w:after="60"/>
        <w:ind w:left="2880"/>
        <w:rPr>
          <w:lang w:val="de-DE"/>
        </w:rPr>
      </w:pPr>
      <w:r w:rsidRPr="00C83DF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C83DF5" w:rsidRDefault="008233B3" w:rsidP="00346F4B">
      <w:pPr>
        <w:numPr>
          <w:ilvl w:val="1"/>
          <w:numId w:val="128"/>
        </w:numPr>
        <w:tabs>
          <w:tab w:val="left" w:pos="1800"/>
        </w:tabs>
        <w:spacing w:after="60"/>
        <w:rPr>
          <w:lang w:val="de-DE"/>
        </w:rPr>
      </w:pPr>
      <w:r w:rsidRPr="00C83DF5">
        <w:rPr>
          <w:rFonts w:eastAsia="Calibri" w:cs="Tahoma"/>
          <w:color w:val="000000"/>
          <w:szCs w:val="18"/>
          <w:lang w:val="de-DE"/>
        </w:rPr>
        <w:t xml:space="preserve">Kunden </w:t>
      </w:r>
      <w:r w:rsidRPr="00C83DF5">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8233B3" w:rsidRPr="00C83DF5" w:rsidRDefault="008233B3" w:rsidP="00346F4B">
      <w:pPr>
        <w:numPr>
          <w:ilvl w:val="1"/>
          <w:numId w:val="128"/>
        </w:numPr>
        <w:tabs>
          <w:tab w:val="left" w:pos="1800"/>
          <w:tab w:val="left" w:pos="2970"/>
        </w:tabs>
        <w:spacing w:after="60"/>
        <w:rPr>
          <w:lang w:val="de-DE"/>
        </w:rPr>
      </w:pPr>
      <w:r w:rsidRPr="00C83DF5">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8233B3" w:rsidRPr="00C83DF5" w:rsidRDefault="008233B3" w:rsidP="00E45FC4">
      <w:pPr>
        <w:ind w:left="720"/>
        <w:rPr>
          <w:lang w:val="de-DE"/>
        </w:rPr>
      </w:pPr>
    </w:p>
    <w:p w:rsidR="008233B3" w:rsidRPr="00C83DF5" w:rsidRDefault="008233B3" w:rsidP="00E45FC4">
      <w:pPr>
        <w:ind w:left="720"/>
        <w:rPr>
          <w:lang w:val="de-DE"/>
        </w:rPr>
      </w:pPr>
    </w:p>
    <w:p w:rsidR="008233B3" w:rsidRPr="00C83DF5" w:rsidRDefault="00A560B6" w:rsidP="008233B3">
      <w:pPr>
        <w:pStyle w:val="Heading3"/>
        <w:rPr>
          <w:lang w:val="de-DE"/>
        </w:rPr>
      </w:pPr>
      <w:bookmarkStart w:id="1151" w:name="_36_BizTalk_Server®"/>
      <w:bookmarkStart w:id="1152" w:name="_Toc343596567"/>
      <w:bookmarkStart w:id="1153" w:name="_Toc370983404"/>
      <w:bookmarkEnd w:id="1151"/>
      <w:r w:rsidRPr="00C83DF5">
        <w:rPr>
          <w:rFonts w:ascii="Tahoma" w:hAnsi="Tahoma"/>
          <w:caps/>
          <w:color w:val="F66400"/>
          <w:sz w:val="22"/>
          <w:vertAlign w:val="superscript"/>
          <w:lang w:val="de-DE"/>
        </w:rPr>
        <w:t>36</w:t>
      </w:r>
      <w:r w:rsidRPr="00106236">
        <w:rPr>
          <w:rFonts w:ascii="Tahoma" w:hAnsi="Tahoma"/>
          <w:caps/>
          <w:color w:val="F66400"/>
          <w:sz w:val="22"/>
          <w:lang w:val="de-DE"/>
        </w:rPr>
        <w:t xml:space="preserve"> </w:t>
      </w:r>
      <w:r w:rsidRPr="00C83DF5">
        <w:rPr>
          <w:rFonts w:ascii="Tahoma" w:hAnsi="Tahoma"/>
          <w:color w:val="F66400"/>
          <w:sz w:val="22"/>
          <w:lang w:val="de-DE"/>
        </w:rPr>
        <w:t>BizTalk Server</w:t>
      </w:r>
      <w:r w:rsidRPr="00C83DF5">
        <w:rPr>
          <w:rFonts w:ascii="Tahoma" w:hAnsi="Tahoma"/>
          <w:color w:val="F66400"/>
          <w:sz w:val="22"/>
          <w:vertAlign w:val="superscript"/>
          <w:lang w:val="de-DE"/>
        </w:rPr>
        <w:t>®</w:t>
      </w:r>
      <w:r w:rsidRPr="00C83DF5">
        <w:rPr>
          <w:rFonts w:ascii="Tahoma" w:hAnsi="Tahoma"/>
          <w:color w:val="F66400"/>
          <w:sz w:val="22"/>
          <w:lang w:val="de-DE"/>
        </w:rPr>
        <w:t xml:space="preserve"> 2013 Enterprise</w:t>
      </w:r>
      <w:bookmarkEnd w:id="1153"/>
      <w:r w:rsidRPr="00C83DF5">
        <w:rPr>
          <w:rFonts w:ascii="Tahoma" w:hAnsi="Tahoma"/>
          <w:color w:val="F66400"/>
          <w:sz w:val="22"/>
          <w:lang w:val="de-DE"/>
        </w:rPr>
        <w:t xml:space="preserve"> </w:t>
      </w:r>
      <w:bookmarkEnd w:id="1152"/>
    </w:p>
    <w:p w:rsidR="008233B3" w:rsidRPr="007025E3" w:rsidRDefault="008233B3" w:rsidP="008233B3">
      <w:pPr>
        <w:ind w:left="720"/>
        <w:rPr>
          <w:rFonts w:eastAsia="Calibri" w:cs="Tahoma"/>
          <w:color w:val="000000"/>
          <w:szCs w:val="18"/>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t>Lizenzgewährungen im Zusammenhang mit der Änderung des Lizenzmodells</w:t>
      </w:r>
    </w:p>
    <w:p w:rsidR="008233B3" w:rsidRPr="00C83DF5" w:rsidRDefault="008233B3" w:rsidP="00E45FC4">
      <w:pPr>
        <w:ind w:left="720"/>
        <w:rPr>
          <w:lang w:val="de-DE"/>
        </w:rPr>
      </w:pPr>
      <w:r w:rsidRPr="00C83DF5">
        <w:rPr>
          <w:rFonts w:eastAsia="Calibri" w:cs="Tahoma"/>
          <w:color w:val="000000"/>
          <w:szCs w:val="18"/>
          <w:lang w:val="de-DE"/>
        </w:rPr>
        <w:t>BizTalk Server 2010 ist die letzte Version von BizTalk Server, die unter dem Pro-Prozessor-Lizenzmodell lizenziert wird.</w:t>
      </w:r>
      <w:r w:rsidR="00E71F46" w:rsidRPr="00C83DF5">
        <w:rPr>
          <w:rFonts w:eastAsia="Calibri" w:cs="Tahoma"/>
          <w:color w:val="000000"/>
          <w:szCs w:val="18"/>
          <w:lang w:val="de-DE"/>
        </w:rPr>
        <w:t xml:space="preserve"> </w:t>
      </w:r>
      <w:r w:rsidRPr="00C83DF5">
        <w:rPr>
          <w:rFonts w:eastAsia="Calibri" w:cs="Tahoma"/>
          <w:color w:val="000000"/>
          <w:szCs w:val="18"/>
          <w:lang w:val="de-DE"/>
        </w:rPr>
        <w:t>Als Ausnahme erhalten Volumenlizenzkunden, die zum Zeitpunkt der Veröffentlichung dieser</w:t>
      </w:r>
      <w:r w:rsidR="00E45FC4">
        <w:rPr>
          <w:rFonts w:eastAsia="Calibri" w:cs="Tahoma"/>
          <w:color w:val="000000"/>
          <w:szCs w:val="18"/>
          <w:lang w:val="de-DE"/>
        </w:rPr>
        <w:t> </w:t>
      </w:r>
      <w:r w:rsidRPr="00C83DF5">
        <w:rPr>
          <w:rFonts w:eastAsia="Calibri" w:cs="Tahoma"/>
          <w:color w:val="000000"/>
          <w:szCs w:val="18"/>
          <w:lang w:val="de-DE"/>
        </w:rPr>
        <w:t>Produktliste über aktive Software Assurance für BizTalk Server 2010 Enterprise-Prozessorlizenzen („qualifizierende Lizenzen“) verfügen, die folgenden Optionen</w:t>
      </w:r>
      <w:r w:rsidRPr="00C83DF5">
        <w:rPr>
          <w:rFonts w:cs="Tahoma"/>
          <w:bCs/>
          <w:color w:val="000000"/>
          <w:szCs w:val="18"/>
          <w:lang w:val="de-DE"/>
        </w:rPr>
        <w:t>.</w:t>
      </w:r>
    </w:p>
    <w:p w:rsidR="008233B3" w:rsidRPr="00C83DF5" w:rsidRDefault="008233B3" w:rsidP="008233B3">
      <w:pPr>
        <w:ind w:left="720"/>
        <w:rPr>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t>Aktuelle Laufzeit</w:t>
      </w:r>
    </w:p>
    <w:p w:rsidR="008233B3" w:rsidRPr="00C83DF5" w:rsidRDefault="008233B3" w:rsidP="00EF0E92">
      <w:pPr>
        <w:ind w:left="720"/>
        <w:rPr>
          <w:lang w:val="de-DE"/>
        </w:rPr>
      </w:pPr>
      <w:r w:rsidRPr="00C83DF5">
        <w:rPr>
          <w:rFonts w:eastAsia="Calibri" w:cs="Tahoma"/>
          <w:color w:val="000000"/>
          <w:szCs w:val="18"/>
          <w:lang w:val="de-DE"/>
        </w:rPr>
        <w:t>Während der aktuellen Laufzeit ihrer Software Assurance sind Kunden (einschließlich Kunden mit</w:t>
      </w:r>
      <w:r w:rsidR="00EF0E92">
        <w:rPr>
          <w:rFonts w:eastAsia="Calibri" w:cs="Tahoma"/>
          <w:color w:val="000000"/>
          <w:szCs w:val="18"/>
          <w:lang w:val="de-DE"/>
        </w:rPr>
        <w:t> </w:t>
      </w:r>
      <w:r w:rsidRPr="00C83DF5">
        <w:rPr>
          <w:rFonts w:eastAsia="Calibri" w:cs="Tahoma"/>
          <w:color w:val="000000"/>
          <w:szCs w:val="18"/>
          <w:lang w:val="de-DE"/>
        </w:rPr>
        <w:t xml:space="preserve">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 </w:t>
      </w:r>
    </w:p>
    <w:p w:rsidR="008233B3" w:rsidRDefault="008233B3" w:rsidP="008233B3">
      <w:pPr>
        <w:ind w:left="720"/>
        <w:rPr>
          <w:lang w:val="de-DE"/>
        </w:rPr>
      </w:pPr>
    </w:p>
    <w:p w:rsidR="00EF0E92" w:rsidRDefault="00EF0E92" w:rsidP="008233B3">
      <w:pPr>
        <w:ind w:left="720"/>
        <w:rPr>
          <w:lang w:val="de-DE"/>
        </w:rPr>
      </w:pPr>
    </w:p>
    <w:p w:rsidR="00EF0E92" w:rsidRPr="00C83DF5" w:rsidRDefault="00EF0E92" w:rsidP="008233B3">
      <w:pPr>
        <w:ind w:left="720"/>
        <w:rPr>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lastRenderedPageBreak/>
        <w:t>Erster Verlängerungszeitraum</w:t>
      </w:r>
    </w:p>
    <w:p w:rsidR="008233B3" w:rsidRPr="00C83DF5" w:rsidRDefault="008233B3" w:rsidP="00EF0E92">
      <w:pPr>
        <w:tabs>
          <w:tab w:val="left" w:pos="1800"/>
        </w:tabs>
        <w:spacing w:after="60"/>
        <w:ind w:left="720"/>
        <w:rPr>
          <w:lang w:val="de-DE"/>
        </w:rPr>
      </w:pPr>
      <w:r w:rsidRPr="00C83DF5">
        <w:rPr>
          <w:rFonts w:eastAsia="Calibri" w:cs="Tahoma"/>
          <w:color w:val="000000"/>
          <w:szCs w:val="18"/>
          <w:lang w:val="de-DE"/>
        </w:rPr>
        <w:t>Bei der ersten Software Assurance-Verlängerung am oder nach dem 1. April 2013 ist ein Kunde berechtigt,</w:t>
      </w:r>
      <w:r w:rsidR="00EF0E92">
        <w:rPr>
          <w:rFonts w:eastAsia="Calibri" w:cs="Tahoma"/>
          <w:color w:val="000000"/>
          <w:szCs w:val="18"/>
          <w:lang w:val="de-DE"/>
        </w:rPr>
        <w:t> </w:t>
      </w:r>
      <w:r w:rsidRPr="00C83DF5">
        <w:rPr>
          <w:rFonts w:eastAsia="Calibri" w:cs="Tahoma"/>
          <w:color w:val="000000"/>
          <w:szCs w:val="18"/>
          <w:lang w:val="de-DE"/>
        </w:rPr>
        <w:t xml:space="preserve">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C83DF5" w:rsidRDefault="008233B3" w:rsidP="00346F4B">
      <w:pPr>
        <w:numPr>
          <w:ilvl w:val="3"/>
          <w:numId w:val="93"/>
        </w:numPr>
        <w:tabs>
          <w:tab w:val="left" w:pos="2160"/>
        </w:tabs>
        <w:spacing w:after="60"/>
        <w:ind w:left="2160"/>
      </w:pPr>
      <w:r w:rsidRPr="00C83DF5">
        <w:rPr>
          <w:rFonts w:eastAsia="Calibri" w:cs="Tahoma"/>
          <w:color w:val="000000"/>
          <w:szCs w:val="18"/>
        </w:rPr>
        <w:t>vier ODER</w:t>
      </w:r>
    </w:p>
    <w:p w:rsidR="008233B3" w:rsidRPr="00C83DF5" w:rsidRDefault="008233B3" w:rsidP="00346F4B">
      <w:pPr>
        <w:numPr>
          <w:ilvl w:val="3"/>
          <w:numId w:val="93"/>
        </w:numPr>
        <w:tabs>
          <w:tab w:val="left" w:pos="2160"/>
        </w:tabs>
        <w:spacing w:after="60"/>
        <w:ind w:left="2160"/>
        <w:rPr>
          <w:lang w:val="de-DE"/>
        </w:rPr>
      </w:pPr>
      <w:r w:rsidRPr="00C83DF5">
        <w:rPr>
          <w:rFonts w:eastAsia="Calibri" w:cs="Tahoma"/>
          <w:color w:val="000000"/>
          <w:szCs w:val="18"/>
          <w:lang w:val="de-DE"/>
        </w:rPr>
        <w:t>der tatsächlichen Anzahl von Cores pro physischem Prozessor multipliziert mit dem entsprechenden Core-Faktor.</w:t>
      </w:r>
      <w:r w:rsidR="00E71F46" w:rsidRPr="00C83DF5">
        <w:rPr>
          <w:rFonts w:eastAsia="Calibri" w:cs="Tahoma"/>
          <w:color w:val="000000"/>
          <w:szCs w:val="18"/>
          <w:lang w:val="de-DE"/>
        </w:rPr>
        <w:t xml:space="preserve"> </w:t>
      </w:r>
      <w:r w:rsidRPr="00C83DF5">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7025E3" w:rsidRDefault="008233B3" w:rsidP="008233B3">
      <w:pPr>
        <w:tabs>
          <w:tab w:val="left" w:pos="1800"/>
        </w:tabs>
        <w:ind w:left="1080"/>
        <w:rPr>
          <w:rFonts w:eastAsia="Calibri" w:cs="Tahoma"/>
          <w:color w:val="000000"/>
          <w:szCs w:val="18"/>
          <w:lang w:val="de-DE"/>
        </w:rPr>
      </w:pPr>
    </w:p>
    <w:p w:rsidR="008233B3" w:rsidRPr="00C83DF5" w:rsidRDefault="008233B3" w:rsidP="008233B3">
      <w:pPr>
        <w:spacing w:after="60"/>
        <w:ind w:left="720"/>
        <w:rPr>
          <w:lang w:val="de-DE"/>
        </w:rPr>
      </w:pPr>
      <w:r w:rsidRPr="00C83DF5">
        <w:rPr>
          <w:rFonts w:eastAsia="Calibri" w:cs="Tahoma"/>
          <w:color w:val="000000"/>
          <w:szCs w:val="18"/>
          <w:lang w:val="de-DE"/>
        </w:rPr>
        <w:t xml:space="preserve">Die Prozessorlizenzen des Kunden sind bei Erwerb von Software Assurance für Core-Lizenzen unter diesem Angebot nicht mehr gültig. </w:t>
      </w:r>
      <w:r w:rsidRPr="00C83DF5">
        <w:rPr>
          <w:rFonts w:eastAsia="Calibri" w:cs="Tahoma"/>
          <w:szCs w:val="18"/>
          <w:lang w:val="de-DE"/>
        </w:rPr>
        <w:t>Die Option zum Erwerb von Core-Lizenzen für Software Assurance für BizTalk Server ist nicht auf die Software Assurance-Verlängerung unter Abonnementprogrammen anwendbar.</w:t>
      </w:r>
      <w:r w:rsidR="00E71F46" w:rsidRPr="00C83DF5">
        <w:rPr>
          <w:rFonts w:eastAsia="Calibri" w:cs="Tahoma"/>
          <w:szCs w:val="18"/>
          <w:lang w:val="de-DE"/>
        </w:rPr>
        <w:t xml:space="preserve"> </w:t>
      </w:r>
    </w:p>
    <w:p w:rsidR="008233B3" w:rsidRPr="00C83DF5" w:rsidRDefault="008233B3" w:rsidP="008233B3">
      <w:pPr>
        <w:ind w:left="1440"/>
        <w:rPr>
          <w:lang w:val="de-DE"/>
        </w:rPr>
      </w:pPr>
    </w:p>
    <w:p w:rsidR="008233B3" w:rsidRPr="00C83DF5" w:rsidRDefault="008233B3" w:rsidP="008233B3">
      <w:pPr>
        <w:tabs>
          <w:tab w:val="left" w:pos="1440"/>
        </w:tabs>
        <w:spacing w:after="60"/>
        <w:ind w:left="720"/>
        <w:rPr>
          <w:lang w:val="de-DE"/>
        </w:rPr>
      </w:pPr>
      <w:r w:rsidRPr="00C83DF5">
        <w:rPr>
          <w:rFonts w:eastAsia="Calibri" w:cs="Tahoma"/>
          <w:b/>
          <w:color w:val="000000"/>
          <w:szCs w:val="18"/>
          <w:lang w:val="de-DE"/>
        </w:rPr>
        <w:t>Für Kunden mit aktiver Software Assurance, die nicht verlängern möchten</w:t>
      </w:r>
    </w:p>
    <w:p w:rsidR="008233B3" w:rsidRPr="00C83DF5" w:rsidRDefault="008233B3" w:rsidP="008233B3">
      <w:pPr>
        <w:tabs>
          <w:tab w:val="left" w:pos="1440"/>
        </w:tabs>
        <w:ind w:left="720"/>
        <w:rPr>
          <w:lang w:val="de-DE"/>
        </w:rPr>
      </w:pPr>
      <w:r w:rsidRPr="00C83DF5">
        <w:rPr>
          <w:rFonts w:eastAsia="Calibri" w:cs="Tahoma"/>
          <w:color w:val="000000"/>
          <w:szCs w:val="18"/>
          <w:lang w:val="de-DE"/>
        </w:rPr>
        <w:t xml:space="preserve">Konzern-Abonnement- </w:t>
      </w:r>
      <w:r w:rsidRPr="00C83DF5">
        <w:rPr>
          <w:rFonts w:cs="Tahoma"/>
          <w:bCs/>
          <w:color w:val="000000"/>
          <w:szCs w:val="18"/>
          <w:lang w:val="de-DE"/>
        </w:rPr>
        <w:t>und Open Value Subscription-</w:t>
      </w:r>
      <w:r w:rsidRPr="00C83DF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8233B3" w:rsidRPr="007025E3" w:rsidRDefault="008233B3" w:rsidP="008233B3">
      <w:pPr>
        <w:tabs>
          <w:tab w:val="left" w:pos="1440"/>
        </w:tabs>
        <w:ind w:left="720"/>
        <w:rPr>
          <w:rFonts w:eastAsia="Calibri" w:cs="Tahoma"/>
          <w:color w:val="000000"/>
          <w:szCs w:val="18"/>
          <w:lang w:val="de-DE"/>
        </w:rPr>
      </w:pPr>
    </w:p>
    <w:p w:rsidR="008233B3" w:rsidRPr="00C83DF5" w:rsidRDefault="008233B3" w:rsidP="00346F4B">
      <w:pPr>
        <w:numPr>
          <w:ilvl w:val="0"/>
          <w:numId w:val="53"/>
        </w:numPr>
        <w:spacing w:after="60"/>
        <w:ind w:left="1440"/>
        <w:rPr>
          <w:lang w:val="de-DE"/>
        </w:rPr>
      </w:pPr>
      <w:r w:rsidRPr="00C83DF5">
        <w:rPr>
          <w:rFonts w:eastAsia="Calibri" w:cs="Tahoma"/>
          <w:b/>
          <w:color w:val="000000"/>
          <w:szCs w:val="18"/>
          <w:lang w:val="de-DE"/>
        </w:rPr>
        <w:t>BizTalk Server 2010 Enterprise:</w:t>
      </w:r>
      <w:r w:rsidRPr="00C83DF5">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rsidR="008233B3" w:rsidRPr="00C83DF5" w:rsidRDefault="00F3254C" w:rsidP="00346F4B">
      <w:pPr>
        <w:numPr>
          <w:ilvl w:val="0"/>
          <w:numId w:val="53"/>
        </w:numPr>
        <w:tabs>
          <w:tab w:val="left" w:pos="1800"/>
        </w:tabs>
        <w:spacing w:after="60"/>
        <w:ind w:left="1440"/>
        <w:rPr>
          <w:lang w:val="de-DE"/>
        </w:rPr>
      </w:pPr>
      <w:r w:rsidRPr="00C83DF5">
        <w:rPr>
          <w:rFonts w:eastAsia="Calibri" w:cs="Tahoma"/>
          <w:b/>
          <w:color w:val="000000"/>
          <w:szCs w:val="18"/>
          <w:lang w:val="de-DE"/>
        </w:rPr>
        <w:t xml:space="preserve">Neueste Version von BizTalk Server Enterprise: </w:t>
      </w:r>
      <w:r w:rsidRPr="00C83DF5">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rsidR="008233B3" w:rsidRPr="00C83DF5" w:rsidRDefault="008233B3" w:rsidP="00346F4B">
      <w:pPr>
        <w:numPr>
          <w:ilvl w:val="1"/>
          <w:numId w:val="53"/>
        </w:numPr>
        <w:tabs>
          <w:tab w:val="left" w:pos="2160"/>
        </w:tabs>
        <w:spacing w:after="60"/>
        <w:ind w:left="2160"/>
        <w:rPr>
          <w:lang w:val="de-DE"/>
        </w:rPr>
      </w:pPr>
      <w:r w:rsidRPr="00C83DF5">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C83DF5" w:rsidRDefault="008233B3" w:rsidP="00346F4B">
      <w:pPr>
        <w:numPr>
          <w:ilvl w:val="1"/>
          <w:numId w:val="53"/>
        </w:numPr>
        <w:tabs>
          <w:tab w:val="left" w:pos="2160"/>
          <w:tab w:val="left" w:pos="2970"/>
        </w:tabs>
        <w:spacing w:after="60"/>
        <w:ind w:left="2160"/>
      </w:pPr>
      <w:r w:rsidRPr="00C83DF5">
        <w:rPr>
          <w:rFonts w:eastAsia="Calibri" w:cs="Tahoma"/>
          <w:color w:val="000000"/>
          <w:szCs w:val="18"/>
          <w:lang w:val="de-DE"/>
        </w:rPr>
        <w:t xml:space="preserve">Neuzuweisungen von Lizenzen unterliegen den Beschränkungen unten in Bezug auf ihre „Core-Lizenzäquivalenz“. </w:t>
      </w:r>
      <w:r w:rsidRPr="00C83DF5">
        <w:rPr>
          <w:rFonts w:eastAsia="Calibri" w:cs="Tahoma"/>
          <w:color w:val="000000"/>
          <w:szCs w:val="18"/>
        </w:rPr>
        <w:t xml:space="preserve">Die Core-Lizenzäquivalenz wird wie folgt bestimmt. </w:t>
      </w:r>
    </w:p>
    <w:p w:rsidR="008233B3" w:rsidRPr="00C83DF5" w:rsidRDefault="008233B3" w:rsidP="00346F4B">
      <w:pPr>
        <w:numPr>
          <w:ilvl w:val="2"/>
          <w:numId w:val="53"/>
        </w:numPr>
        <w:tabs>
          <w:tab w:val="left" w:pos="2520"/>
        </w:tabs>
        <w:spacing w:after="60"/>
        <w:ind w:left="2520"/>
        <w:rPr>
          <w:lang w:val="de-DE"/>
        </w:rPr>
      </w:pPr>
      <w:r w:rsidRPr="00C83DF5">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8233B3" w:rsidRPr="00C83DF5" w:rsidRDefault="008233B3" w:rsidP="00346F4B">
      <w:pPr>
        <w:numPr>
          <w:ilvl w:val="4"/>
          <w:numId w:val="126"/>
        </w:numPr>
        <w:tabs>
          <w:tab w:val="left" w:pos="2880"/>
        </w:tabs>
        <w:spacing w:after="60"/>
        <w:ind w:left="2880"/>
      </w:pPr>
      <w:r w:rsidRPr="00C83DF5">
        <w:rPr>
          <w:rFonts w:eastAsia="Calibri" w:cs="Tahoma"/>
          <w:color w:val="000000"/>
          <w:szCs w:val="18"/>
        </w:rPr>
        <w:t xml:space="preserve">vier Cores pro Prozessorlizenz ODER </w:t>
      </w:r>
    </w:p>
    <w:p w:rsidR="008233B3" w:rsidRPr="007F4AB7" w:rsidRDefault="008233B3" w:rsidP="00346F4B">
      <w:pPr>
        <w:numPr>
          <w:ilvl w:val="4"/>
          <w:numId w:val="126"/>
        </w:numPr>
        <w:tabs>
          <w:tab w:val="left" w:pos="2880"/>
        </w:tabs>
        <w:spacing w:after="60"/>
        <w:ind w:left="2880"/>
        <w:rPr>
          <w:lang w:val="de-DE"/>
        </w:rPr>
      </w:pPr>
      <w:r w:rsidRPr="00C83DF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7F4AB7" w:rsidRDefault="007F4AB7" w:rsidP="007F4AB7">
      <w:pPr>
        <w:tabs>
          <w:tab w:val="left" w:pos="2880"/>
        </w:tabs>
        <w:spacing w:after="60"/>
        <w:rPr>
          <w:rFonts w:eastAsia="Calibri" w:cs="Tahoma"/>
          <w:color w:val="000000"/>
          <w:szCs w:val="18"/>
          <w:lang w:val="de-DE"/>
        </w:rPr>
      </w:pPr>
    </w:p>
    <w:p w:rsidR="007F4AB7" w:rsidRDefault="007F4AB7" w:rsidP="007F4AB7">
      <w:pPr>
        <w:tabs>
          <w:tab w:val="left" w:pos="2880"/>
        </w:tabs>
        <w:spacing w:after="60"/>
        <w:rPr>
          <w:rFonts w:eastAsia="Calibri" w:cs="Tahoma"/>
          <w:color w:val="000000"/>
          <w:szCs w:val="18"/>
          <w:lang w:val="de-DE"/>
        </w:rPr>
      </w:pPr>
    </w:p>
    <w:p w:rsidR="007F4AB7" w:rsidRPr="00C83DF5" w:rsidRDefault="007F4AB7" w:rsidP="007F4AB7">
      <w:pPr>
        <w:tabs>
          <w:tab w:val="left" w:pos="2880"/>
        </w:tabs>
        <w:spacing w:after="60"/>
        <w:rPr>
          <w:lang w:val="de-DE"/>
        </w:rPr>
      </w:pPr>
    </w:p>
    <w:p w:rsidR="008233B3" w:rsidRPr="00C83DF5" w:rsidRDefault="008233B3" w:rsidP="00346F4B">
      <w:pPr>
        <w:numPr>
          <w:ilvl w:val="1"/>
          <w:numId w:val="127"/>
        </w:numPr>
        <w:tabs>
          <w:tab w:val="left" w:pos="1800"/>
        </w:tabs>
        <w:spacing w:after="60"/>
        <w:rPr>
          <w:lang w:val="de-DE"/>
        </w:rPr>
      </w:pPr>
      <w:r w:rsidRPr="00C83DF5">
        <w:rPr>
          <w:rFonts w:eastAsia="Calibri" w:cs="Tahoma"/>
          <w:color w:val="000000"/>
          <w:szCs w:val="18"/>
          <w:lang w:val="de-DE"/>
        </w:rPr>
        <w:lastRenderedPageBreak/>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8233B3" w:rsidRPr="00C83DF5" w:rsidRDefault="008233B3" w:rsidP="00123D68">
      <w:pPr>
        <w:numPr>
          <w:ilvl w:val="1"/>
          <w:numId w:val="127"/>
        </w:numPr>
        <w:tabs>
          <w:tab w:val="left" w:pos="1800"/>
          <w:tab w:val="left" w:pos="2970"/>
        </w:tabs>
        <w:spacing w:after="60"/>
        <w:rPr>
          <w:lang w:val="de-DE"/>
        </w:rPr>
      </w:pPr>
      <w:r w:rsidRPr="00C83DF5">
        <w:rPr>
          <w:rFonts w:eastAsia="Calibri" w:cs="Tahoma"/>
          <w:color w:val="000000"/>
          <w:szCs w:val="18"/>
          <w:lang w:val="de-DE"/>
        </w:rPr>
        <w:t>Die angenommene Core-Lizenzäquivalenz der Kunden impliziert nicht, dass sie berechtigt sind, eine</w:t>
      </w:r>
      <w:r w:rsidR="00123D68">
        <w:rPr>
          <w:rFonts w:eastAsia="Calibri" w:cs="Tahoma"/>
          <w:color w:val="000000"/>
          <w:szCs w:val="18"/>
          <w:lang w:val="de-DE"/>
        </w:rPr>
        <w:t> </w:t>
      </w:r>
      <w:r w:rsidRPr="00C83DF5">
        <w:rPr>
          <w:rFonts w:eastAsia="Calibri" w:cs="Tahoma"/>
          <w:color w:val="000000"/>
          <w:szCs w:val="18"/>
          <w:lang w:val="de-DE"/>
        </w:rPr>
        <w:t>einzelne Prozessorlizenz Cores auf zwei oder mehr Prozessoren zuzuweisen.</w:t>
      </w:r>
    </w:p>
    <w:p w:rsidR="008233B3" w:rsidRPr="007025E3" w:rsidRDefault="008233B3" w:rsidP="008233B3">
      <w:pPr>
        <w:tabs>
          <w:tab w:val="left" w:pos="720"/>
        </w:tabs>
        <w:ind w:left="720"/>
        <w:rPr>
          <w:rFonts w:eastAsia="Calibri" w:cs="Tahoma"/>
          <w:szCs w:val="18"/>
          <w:lang w:val="de-DE"/>
        </w:rPr>
      </w:pPr>
    </w:p>
    <w:p w:rsidR="008233B3" w:rsidRPr="007025E3" w:rsidRDefault="008233B3" w:rsidP="007F4AB7">
      <w:pPr>
        <w:tabs>
          <w:tab w:val="left" w:pos="720"/>
        </w:tabs>
        <w:ind w:left="720"/>
        <w:rPr>
          <w:rFonts w:eastAsia="Calibri" w:cs="Tahoma"/>
          <w:szCs w:val="18"/>
          <w:lang w:val="de-DE"/>
        </w:rPr>
      </w:pPr>
    </w:p>
    <w:p w:rsidR="008233B3" w:rsidRPr="00C83DF5" w:rsidRDefault="00A560B6" w:rsidP="008233B3">
      <w:pPr>
        <w:pStyle w:val="Heading3"/>
        <w:rPr>
          <w:lang w:val="de-DE"/>
        </w:rPr>
      </w:pPr>
      <w:bookmarkStart w:id="1154" w:name="_37_BizTalk_Server®"/>
      <w:bookmarkStart w:id="1155" w:name="_Toc343596569"/>
      <w:bookmarkStart w:id="1156" w:name="_Toc370983405"/>
      <w:bookmarkEnd w:id="1154"/>
      <w:r w:rsidRPr="00C83DF5">
        <w:rPr>
          <w:rFonts w:ascii="Tahoma" w:hAnsi="Tahoma" w:cs="Tahoma"/>
          <w:caps/>
          <w:color w:val="F66400"/>
          <w:sz w:val="22"/>
          <w:vertAlign w:val="superscript"/>
          <w:lang w:val="de-DE"/>
        </w:rPr>
        <w:t>37</w:t>
      </w:r>
      <w:r w:rsidRPr="00C83DF5">
        <w:rPr>
          <w:rFonts w:ascii="Tahoma" w:hAnsi="Tahoma" w:cs="Tahoma"/>
          <w:color w:val="F66400"/>
          <w:sz w:val="22"/>
          <w:lang w:val="de-DE"/>
        </w:rPr>
        <w:t xml:space="preserve"> BizTalk Server</w:t>
      </w:r>
      <w:r w:rsidRPr="00C83DF5">
        <w:rPr>
          <w:rFonts w:ascii="Tahoma" w:hAnsi="Tahoma" w:cs="Tahoma"/>
          <w:color w:val="F66400"/>
          <w:sz w:val="22"/>
          <w:vertAlign w:val="superscript"/>
          <w:lang w:val="de-DE"/>
        </w:rPr>
        <w:t>®</w:t>
      </w:r>
      <w:r w:rsidRPr="00C83DF5">
        <w:rPr>
          <w:rFonts w:ascii="Tahoma" w:hAnsi="Tahoma" w:cs="Tahoma"/>
          <w:color w:val="F66400"/>
          <w:sz w:val="22"/>
          <w:lang w:val="de-DE"/>
        </w:rPr>
        <w:t xml:space="preserve"> 2013 Standard</w:t>
      </w:r>
      <w:bookmarkEnd w:id="1156"/>
      <w:r w:rsidRPr="00C83DF5">
        <w:rPr>
          <w:rFonts w:ascii="Tahoma" w:eastAsia="Calibri" w:hAnsi="Tahoma" w:cs="Tahoma"/>
          <w:color w:val="F66400"/>
          <w:sz w:val="22"/>
          <w:szCs w:val="18"/>
          <w:lang w:val="de-DE"/>
        </w:rPr>
        <w:t xml:space="preserve"> </w:t>
      </w:r>
      <w:bookmarkEnd w:id="1155"/>
    </w:p>
    <w:p w:rsidR="008233B3" w:rsidRPr="00C83DF5" w:rsidRDefault="008233B3" w:rsidP="008233B3">
      <w:pPr>
        <w:rPr>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t>Lizenzgewährungen im Zusammenhang mit der Änderung des Lizenzmodells</w:t>
      </w:r>
    </w:p>
    <w:p w:rsidR="008233B3" w:rsidRPr="00C83DF5" w:rsidRDefault="008233B3" w:rsidP="007F4AB7">
      <w:pPr>
        <w:ind w:left="720"/>
        <w:rPr>
          <w:lang w:val="de-DE"/>
        </w:rPr>
      </w:pPr>
      <w:r w:rsidRPr="00C83DF5">
        <w:rPr>
          <w:rFonts w:eastAsia="Calibri" w:cs="Tahoma"/>
          <w:color w:val="000000"/>
          <w:szCs w:val="18"/>
          <w:lang w:val="de-DE"/>
        </w:rPr>
        <w:t>BizTalk Server 2010 ist die letzte Version von BizTalk Server, die unter dem Pro-Prozessor-Lizenzmodell lizenziert wird.</w:t>
      </w:r>
      <w:r w:rsidR="00E71F46" w:rsidRPr="00C83DF5">
        <w:rPr>
          <w:rFonts w:eastAsia="Calibri" w:cs="Tahoma"/>
          <w:color w:val="000000"/>
          <w:szCs w:val="18"/>
          <w:lang w:val="de-DE"/>
        </w:rPr>
        <w:t xml:space="preserve"> </w:t>
      </w:r>
      <w:r w:rsidRPr="00C83DF5">
        <w:rPr>
          <w:rFonts w:eastAsia="Calibri" w:cs="Tahoma"/>
          <w:color w:val="000000"/>
          <w:szCs w:val="18"/>
          <w:lang w:val="de-DE"/>
        </w:rPr>
        <w:t>Als Ausnahme erhalten Volumenlizenzkunden, die zum Zeitpunkt der Veröffentlichung dieser</w:t>
      </w:r>
      <w:r w:rsidR="007F4AB7">
        <w:rPr>
          <w:rFonts w:eastAsia="Calibri" w:cs="Tahoma"/>
          <w:color w:val="000000"/>
          <w:szCs w:val="18"/>
          <w:lang w:val="de-DE"/>
        </w:rPr>
        <w:t> </w:t>
      </w:r>
      <w:r w:rsidRPr="00C83DF5">
        <w:rPr>
          <w:rFonts w:eastAsia="Calibri" w:cs="Tahoma"/>
          <w:color w:val="000000"/>
          <w:szCs w:val="18"/>
          <w:lang w:val="de-DE"/>
        </w:rPr>
        <w:t>Produktliste über aktive Software Assurance für BizTalk Server 2010 Standard-Prozessorlizenzen („qualifizierende Lizenzen“) ve</w:t>
      </w:r>
      <w:r w:rsidR="00E71F46" w:rsidRPr="00C83DF5">
        <w:rPr>
          <w:rFonts w:eastAsia="Calibri" w:cs="Tahoma"/>
          <w:color w:val="000000"/>
          <w:szCs w:val="18"/>
          <w:lang w:val="de-DE"/>
        </w:rPr>
        <w:t>rfügen, die folgenden Optionen.</w:t>
      </w:r>
    </w:p>
    <w:p w:rsidR="008233B3" w:rsidRPr="007025E3" w:rsidRDefault="008233B3" w:rsidP="007F4AB7">
      <w:pPr>
        <w:ind w:left="720"/>
        <w:rPr>
          <w:rFonts w:eastAsia="Calibri" w:cs="Tahoma"/>
          <w:color w:val="000000"/>
          <w:szCs w:val="18"/>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t>Aktuelle Laufzeit</w:t>
      </w:r>
    </w:p>
    <w:p w:rsidR="008233B3" w:rsidRPr="00C83DF5" w:rsidRDefault="008233B3" w:rsidP="007F4AB7">
      <w:pPr>
        <w:ind w:left="720"/>
        <w:rPr>
          <w:lang w:val="de-DE"/>
        </w:rPr>
      </w:pPr>
      <w:r w:rsidRPr="00C83DF5">
        <w:rPr>
          <w:rFonts w:eastAsia="Calibri" w:cs="Tahoma"/>
          <w:color w:val="000000"/>
          <w:szCs w:val="18"/>
          <w:lang w:val="de-DE"/>
        </w:rPr>
        <w:t>Während der aktuellen Laufzeit ihrer Software Assurance sind Kunden (einschließlich Kunden mit</w:t>
      </w:r>
      <w:r w:rsidR="007F4AB7">
        <w:rPr>
          <w:rFonts w:eastAsia="Calibri" w:cs="Tahoma"/>
          <w:color w:val="000000"/>
          <w:szCs w:val="18"/>
          <w:lang w:val="de-DE"/>
        </w:rPr>
        <w:t> </w:t>
      </w:r>
      <w:r w:rsidRPr="00C83DF5">
        <w:rPr>
          <w:rFonts w:eastAsia="Calibri" w:cs="Tahoma"/>
          <w:color w:val="000000"/>
          <w:szCs w:val="18"/>
          <w:lang w:val="de-DE"/>
        </w:rPr>
        <w:t xml:space="preserve">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rsidR="008233B3" w:rsidRPr="007F4AB7" w:rsidRDefault="008233B3" w:rsidP="008233B3">
      <w:pPr>
        <w:ind w:left="720"/>
        <w:rPr>
          <w:rFonts w:eastAsia="Calibri" w:cs="Tahoma"/>
          <w:color w:val="000000"/>
          <w:szCs w:val="18"/>
          <w:lang w:val="de-DE"/>
        </w:rPr>
      </w:pPr>
    </w:p>
    <w:p w:rsidR="008233B3" w:rsidRPr="00C83DF5" w:rsidRDefault="008233B3" w:rsidP="008233B3">
      <w:pPr>
        <w:spacing w:after="60"/>
        <w:ind w:left="720"/>
        <w:rPr>
          <w:lang w:val="de-DE"/>
        </w:rPr>
      </w:pPr>
      <w:r w:rsidRPr="00C83DF5">
        <w:rPr>
          <w:rFonts w:eastAsia="Calibri" w:cs="Tahoma"/>
          <w:b/>
          <w:color w:val="000000"/>
          <w:szCs w:val="18"/>
          <w:lang w:val="de-DE"/>
        </w:rPr>
        <w:t>Erster Verlängerungszeitraum</w:t>
      </w:r>
    </w:p>
    <w:p w:rsidR="008233B3" w:rsidRPr="00C83DF5" w:rsidRDefault="008233B3" w:rsidP="007F4AB7">
      <w:pPr>
        <w:tabs>
          <w:tab w:val="left" w:pos="1800"/>
        </w:tabs>
        <w:spacing w:after="60"/>
        <w:ind w:left="720"/>
        <w:rPr>
          <w:lang w:val="de-DE"/>
        </w:rPr>
      </w:pPr>
      <w:r w:rsidRPr="00C83DF5">
        <w:rPr>
          <w:rFonts w:eastAsia="Calibri" w:cs="Tahoma"/>
          <w:color w:val="000000"/>
          <w:szCs w:val="18"/>
          <w:lang w:val="de-DE"/>
        </w:rPr>
        <w:t>Bei der ersten Software Assurance-Verlängerung am oder nach dem 1. April 2013 ist ein Kunde berechtigt,</w:t>
      </w:r>
      <w:r w:rsidR="007F4AB7">
        <w:rPr>
          <w:rFonts w:eastAsia="Calibri" w:cs="Tahoma"/>
          <w:color w:val="000000"/>
          <w:szCs w:val="18"/>
          <w:lang w:val="de-DE"/>
        </w:rPr>
        <w:t> </w:t>
      </w:r>
      <w:r w:rsidRPr="00C83DF5">
        <w:rPr>
          <w:rFonts w:eastAsia="Calibri" w:cs="Tahoma"/>
          <w:color w:val="000000"/>
          <w:szCs w:val="18"/>
          <w:lang w:val="de-DE"/>
        </w:rPr>
        <w:t xml:space="preserve">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C83DF5" w:rsidRDefault="008233B3" w:rsidP="00346F4B">
      <w:pPr>
        <w:numPr>
          <w:ilvl w:val="3"/>
          <w:numId w:val="93"/>
        </w:numPr>
        <w:tabs>
          <w:tab w:val="left" w:pos="2160"/>
        </w:tabs>
        <w:spacing w:after="60"/>
        <w:ind w:left="2160"/>
      </w:pPr>
      <w:r w:rsidRPr="00C83DF5">
        <w:rPr>
          <w:rFonts w:eastAsia="Calibri" w:cs="Tahoma"/>
          <w:color w:val="000000"/>
          <w:szCs w:val="18"/>
        </w:rPr>
        <w:t>vier ODER</w:t>
      </w:r>
    </w:p>
    <w:p w:rsidR="008233B3" w:rsidRPr="00C83DF5" w:rsidRDefault="008233B3" w:rsidP="00346F4B">
      <w:pPr>
        <w:numPr>
          <w:ilvl w:val="3"/>
          <w:numId w:val="93"/>
        </w:numPr>
        <w:tabs>
          <w:tab w:val="left" w:pos="2160"/>
        </w:tabs>
        <w:spacing w:after="60"/>
        <w:ind w:left="2160"/>
        <w:rPr>
          <w:lang w:val="de-DE"/>
        </w:rPr>
      </w:pPr>
      <w:r w:rsidRPr="00C83DF5">
        <w:rPr>
          <w:rFonts w:eastAsia="Calibri" w:cs="Tahoma"/>
          <w:color w:val="000000"/>
          <w:szCs w:val="18"/>
          <w:lang w:val="de-DE"/>
        </w:rPr>
        <w:t>der tatsächlichen Anzahl von Cores pro physischem Prozessor multipliziert mit dem entsprechenden Core-Faktor.</w:t>
      </w:r>
      <w:r w:rsidR="00E71F46" w:rsidRPr="00C83DF5">
        <w:rPr>
          <w:rFonts w:eastAsia="Calibri" w:cs="Tahoma"/>
          <w:color w:val="000000"/>
          <w:szCs w:val="18"/>
          <w:lang w:val="de-DE"/>
        </w:rPr>
        <w:t xml:space="preserve"> </w:t>
      </w:r>
      <w:r w:rsidRPr="00C83DF5">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C83DF5" w:rsidRDefault="008233B3" w:rsidP="008233B3">
      <w:pPr>
        <w:tabs>
          <w:tab w:val="left" w:pos="1800"/>
        </w:tabs>
        <w:ind w:left="1080"/>
        <w:rPr>
          <w:lang w:val="de-DE"/>
        </w:rPr>
      </w:pPr>
    </w:p>
    <w:p w:rsidR="008233B3" w:rsidRPr="00C83DF5" w:rsidRDefault="008233B3" w:rsidP="008233B3">
      <w:pPr>
        <w:spacing w:after="60"/>
        <w:ind w:left="720"/>
        <w:rPr>
          <w:lang w:val="de-DE"/>
        </w:rPr>
      </w:pPr>
      <w:r w:rsidRPr="00C83DF5">
        <w:rPr>
          <w:rFonts w:eastAsia="Calibri" w:cs="Tahoma"/>
          <w:color w:val="000000"/>
          <w:szCs w:val="18"/>
          <w:lang w:val="de-DE"/>
        </w:rPr>
        <w:t xml:space="preserve">Die Prozessorlizenzen des Kunden sind bei Erwerb von Software Assurance für Core-Lizenzen unter diesem Angebot nicht mehr gültig. </w:t>
      </w:r>
      <w:r w:rsidRPr="00C83DF5">
        <w:rPr>
          <w:rFonts w:eastAsia="Calibri" w:cs="Tahoma"/>
          <w:szCs w:val="18"/>
          <w:lang w:val="de-DE"/>
        </w:rPr>
        <w:t>Die Option zum Erwerb von Core-Lizenzen für Software Assurance für BizTalk Server ist nicht auf die Software Assurance-Verlängerung unter Abonnementprogrammen anwendbar.</w:t>
      </w:r>
      <w:r w:rsidR="00E71F46" w:rsidRPr="00C83DF5">
        <w:rPr>
          <w:rFonts w:eastAsia="Calibri" w:cs="Tahoma"/>
          <w:szCs w:val="18"/>
          <w:lang w:val="de-DE"/>
        </w:rPr>
        <w:t xml:space="preserve"> </w:t>
      </w:r>
    </w:p>
    <w:p w:rsidR="008233B3" w:rsidRPr="007025E3" w:rsidRDefault="008233B3" w:rsidP="008233B3">
      <w:pPr>
        <w:ind w:left="1440"/>
        <w:rPr>
          <w:rFonts w:eastAsia="Calibri" w:cs="Tahoma"/>
          <w:color w:val="000000"/>
          <w:szCs w:val="18"/>
          <w:lang w:val="de-DE"/>
        </w:rPr>
      </w:pPr>
    </w:p>
    <w:p w:rsidR="008233B3" w:rsidRPr="00C83DF5" w:rsidRDefault="008233B3" w:rsidP="008233B3">
      <w:pPr>
        <w:tabs>
          <w:tab w:val="left" w:pos="1440"/>
        </w:tabs>
        <w:spacing w:after="60"/>
        <w:ind w:left="720"/>
        <w:rPr>
          <w:lang w:val="de-DE"/>
        </w:rPr>
      </w:pPr>
      <w:r w:rsidRPr="00C83DF5">
        <w:rPr>
          <w:rFonts w:eastAsia="Calibri" w:cs="Tahoma"/>
          <w:b/>
          <w:color w:val="000000"/>
          <w:szCs w:val="18"/>
          <w:lang w:val="de-DE"/>
        </w:rPr>
        <w:t>Für Kunden mit aktiver Software Assurance, die nicht verlängern möchten</w:t>
      </w:r>
    </w:p>
    <w:p w:rsidR="008233B3" w:rsidRPr="00C83DF5" w:rsidRDefault="008233B3" w:rsidP="00B3749F">
      <w:pPr>
        <w:tabs>
          <w:tab w:val="left" w:pos="1440"/>
        </w:tabs>
        <w:ind w:left="720"/>
        <w:rPr>
          <w:lang w:val="de-DE"/>
        </w:rPr>
      </w:pPr>
      <w:r w:rsidRPr="00C83DF5">
        <w:rPr>
          <w:rFonts w:eastAsia="Calibri" w:cs="Tahoma"/>
          <w:color w:val="000000"/>
          <w:szCs w:val="18"/>
          <w:lang w:val="de-DE"/>
        </w:rPr>
        <w:t xml:space="preserve">Konzern-Abonnement- </w:t>
      </w:r>
      <w:r w:rsidRPr="00C83DF5">
        <w:rPr>
          <w:rFonts w:cs="Tahoma"/>
          <w:bCs/>
          <w:color w:val="000000"/>
          <w:szCs w:val="18"/>
          <w:lang w:val="de-DE"/>
        </w:rPr>
        <w:t>und Open Value Subscription-</w:t>
      </w:r>
      <w:r w:rsidRPr="00C83DF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w:t>
      </w:r>
      <w:r w:rsidR="00B3749F">
        <w:rPr>
          <w:rFonts w:eastAsia="Calibri" w:cs="Tahoma"/>
          <w:color w:val="000000"/>
          <w:szCs w:val="18"/>
          <w:lang w:val="de-DE"/>
        </w:rPr>
        <w:t> </w:t>
      </w:r>
      <w:r w:rsidRPr="00C83DF5">
        <w:rPr>
          <w:rFonts w:eastAsia="Calibri" w:cs="Tahoma"/>
          <w:color w:val="000000"/>
          <w:szCs w:val="18"/>
          <w:lang w:val="de-DE"/>
        </w:rPr>
        <w:t>diesen Lizenzen auszuführen:</w:t>
      </w:r>
    </w:p>
    <w:p w:rsidR="008233B3" w:rsidRPr="00B3749F" w:rsidRDefault="008233B3" w:rsidP="008233B3">
      <w:pPr>
        <w:tabs>
          <w:tab w:val="left" w:pos="1440"/>
        </w:tabs>
        <w:ind w:left="720"/>
        <w:rPr>
          <w:rFonts w:eastAsia="Calibri" w:cs="Tahoma"/>
          <w:color w:val="000000"/>
          <w:szCs w:val="18"/>
          <w:lang w:val="de-DE"/>
        </w:rPr>
      </w:pPr>
    </w:p>
    <w:p w:rsidR="008233B3" w:rsidRPr="00C83DF5" w:rsidRDefault="008233B3" w:rsidP="00346F4B">
      <w:pPr>
        <w:numPr>
          <w:ilvl w:val="0"/>
          <w:numId w:val="53"/>
        </w:numPr>
        <w:spacing w:after="60"/>
        <w:ind w:left="1440"/>
        <w:rPr>
          <w:lang w:val="de-DE"/>
        </w:rPr>
      </w:pPr>
      <w:r w:rsidRPr="00C83DF5">
        <w:rPr>
          <w:rFonts w:eastAsia="Calibri" w:cs="Tahoma"/>
          <w:b/>
          <w:color w:val="000000"/>
          <w:szCs w:val="18"/>
          <w:lang w:val="de-DE"/>
        </w:rPr>
        <w:t>BizTalk Server 2010 Standard:</w:t>
      </w:r>
      <w:r w:rsidRPr="00C83DF5">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rsidR="008233B3" w:rsidRPr="00C83DF5" w:rsidRDefault="00F3254C" w:rsidP="00346F4B">
      <w:pPr>
        <w:numPr>
          <w:ilvl w:val="0"/>
          <w:numId w:val="53"/>
        </w:numPr>
        <w:tabs>
          <w:tab w:val="left" w:pos="1800"/>
        </w:tabs>
        <w:spacing w:after="60"/>
        <w:ind w:left="1440"/>
        <w:rPr>
          <w:lang w:val="de-DE"/>
        </w:rPr>
      </w:pPr>
      <w:r w:rsidRPr="00C83DF5">
        <w:rPr>
          <w:rFonts w:eastAsia="Calibri" w:cs="Tahoma"/>
          <w:b/>
          <w:color w:val="000000"/>
          <w:szCs w:val="18"/>
          <w:lang w:val="de-DE"/>
        </w:rPr>
        <w:lastRenderedPageBreak/>
        <w:t xml:space="preserve">Neueste Version von BizTalk Server Standard: </w:t>
      </w:r>
      <w:r w:rsidRPr="00C83DF5">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rsidR="008233B3" w:rsidRPr="00C83DF5" w:rsidRDefault="008233B3" w:rsidP="00346F4B">
      <w:pPr>
        <w:numPr>
          <w:ilvl w:val="1"/>
          <w:numId w:val="53"/>
        </w:numPr>
        <w:tabs>
          <w:tab w:val="left" w:pos="2160"/>
        </w:tabs>
        <w:spacing w:after="60"/>
        <w:ind w:left="2160"/>
        <w:rPr>
          <w:lang w:val="de-DE"/>
        </w:rPr>
      </w:pPr>
      <w:r w:rsidRPr="00C83DF5">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C83DF5" w:rsidRDefault="008233B3" w:rsidP="00346F4B">
      <w:pPr>
        <w:numPr>
          <w:ilvl w:val="1"/>
          <w:numId w:val="53"/>
        </w:numPr>
        <w:tabs>
          <w:tab w:val="left" w:pos="2160"/>
          <w:tab w:val="left" w:pos="2970"/>
        </w:tabs>
        <w:spacing w:after="60"/>
        <w:ind w:left="2160"/>
      </w:pPr>
      <w:r w:rsidRPr="00C83DF5">
        <w:rPr>
          <w:rFonts w:eastAsia="Calibri" w:cs="Tahoma"/>
          <w:color w:val="000000"/>
          <w:szCs w:val="18"/>
          <w:lang w:val="de-DE"/>
        </w:rPr>
        <w:t xml:space="preserve">Neuzuweisungen von Lizenzen unterliegen den Beschränkungen unten in Bezug auf ihre „Core-Lizenzäquivalenz“. </w:t>
      </w:r>
      <w:r w:rsidRPr="00C83DF5">
        <w:rPr>
          <w:rFonts w:eastAsia="Calibri" w:cs="Tahoma"/>
          <w:color w:val="000000"/>
          <w:szCs w:val="18"/>
        </w:rPr>
        <w:t xml:space="preserve">Die Core-Lizenzäquivalenz wird wie folgt bestimmt. </w:t>
      </w:r>
    </w:p>
    <w:p w:rsidR="008233B3" w:rsidRPr="00C83DF5" w:rsidRDefault="008233B3" w:rsidP="00346F4B">
      <w:pPr>
        <w:numPr>
          <w:ilvl w:val="2"/>
          <w:numId w:val="53"/>
        </w:numPr>
        <w:tabs>
          <w:tab w:val="left" w:pos="2520"/>
        </w:tabs>
        <w:spacing w:after="60"/>
        <w:ind w:left="2520"/>
        <w:rPr>
          <w:lang w:val="de-DE"/>
        </w:rPr>
      </w:pPr>
      <w:r w:rsidRPr="00C83DF5">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8233B3" w:rsidRPr="00C83DF5" w:rsidRDefault="008233B3" w:rsidP="00346F4B">
      <w:pPr>
        <w:numPr>
          <w:ilvl w:val="4"/>
          <w:numId w:val="126"/>
        </w:numPr>
        <w:tabs>
          <w:tab w:val="left" w:pos="2880"/>
        </w:tabs>
        <w:spacing w:after="60"/>
        <w:ind w:left="2880"/>
      </w:pPr>
      <w:r w:rsidRPr="00C83DF5">
        <w:rPr>
          <w:rFonts w:eastAsia="Calibri" w:cs="Tahoma"/>
          <w:color w:val="000000"/>
          <w:szCs w:val="18"/>
        </w:rPr>
        <w:t xml:space="preserve">vier Cores pro Prozessorlizenz ODER </w:t>
      </w:r>
    </w:p>
    <w:p w:rsidR="008233B3" w:rsidRPr="00C83DF5" w:rsidRDefault="008233B3" w:rsidP="00346F4B">
      <w:pPr>
        <w:numPr>
          <w:ilvl w:val="4"/>
          <w:numId w:val="126"/>
        </w:numPr>
        <w:tabs>
          <w:tab w:val="left" w:pos="2880"/>
        </w:tabs>
        <w:spacing w:after="60"/>
        <w:ind w:left="2880"/>
        <w:rPr>
          <w:lang w:val="de-DE"/>
        </w:rPr>
      </w:pPr>
      <w:r w:rsidRPr="00C83DF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C83DF5" w:rsidRDefault="008233B3" w:rsidP="00B3749F">
      <w:pPr>
        <w:numPr>
          <w:ilvl w:val="1"/>
          <w:numId w:val="128"/>
        </w:numPr>
        <w:tabs>
          <w:tab w:val="left" w:pos="1800"/>
        </w:tabs>
        <w:spacing w:after="60"/>
        <w:rPr>
          <w:lang w:val="de-DE"/>
        </w:rPr>
      </w:pPr>
      <w:r w:rsidRPr="00C83DF5">
        <w:rPr>
          <w:rFonts w:eastAsia="Calibri" w:cs="Tahoma"/>
          <w:color w:val="000000"/>
          <w:szCs w:val="18"/>
          <w:lang w:val="de-DE"/>
        </w:rPr>
        <w:t xml:space="preserve">Kunden </w:t>
      </w:r>
      <w:r w:rsidRPr="00C83DF5">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w:t>
      </w:r>
      <w:r w:rsidR="00B3749F">
        <w:rPr>
          <w:rFonts w:eastAsia="Calibri" w:cs="Tahoma"/>
          <w:szCs w:val="18"/>
          <w:lang w:val="de-DE"/>
        </w:rPr>
        <w:t> </w:t>
      </w:r>
      <w:r w:rsidRPr="00C83DF5">
        <w:rPr>
          <w:rFonts w:eastAsia="Calibri" w:cs="Tahoma"/>
          <w:szCs w:val="18"/>
          <w:lang w:val="de-DE"/>
        </w:rPr>
        <w:t>zusätzlichen Core-Lizenzen für BizTalk Server zu kombinieren.</w:t>
      </w:r>
    </w:p>
    <w:p w:rsidR="008233B3" w:rsidRPr="00C83DF5" w:rsidRDefault="008233B3" w:rsidP="00B3749F">
      <w:pPr>
        <w:numPr>
          <w:ilvl w:val="1"/>
          <w:numId w:val="128"/>
        </w:numPr>
        <w:tabs>
          <w:tab w:val="left" w:pos="1800"/>
          <w:tab w:val="left" w:pos="2970"/>
        </w:tabs>
        <w:spacing w:after="60"/>
        <w:rPr>
          <w:lang w:val="de-DE"/>
        </w:rPr>
      </w:pPr>
      <w:r w:rsidRPr="00C83DF5">
        <w:rPr>
          <w:rFonts w:eastAsia="Calibri" w:cs="Tahoma"/>
          <w:color w:val="000000"/>
          <w:szCs w:val="18"/>
          <w:lang w:val="de-DE"/>
        </w:rPr>
        <w:t>Die angenommene Core-Lizenzäquivalenz der Kunden impliziert nicht, dass sie berechtigt sind, eine</w:t>
      </w:r>
      <w:r w:rsidR="00B3749F">
        <w:rPr>
          <w:rFonts w:eastAsia="Calibri" w:cs="Tahoma"/>
          <w:color w:val="000000"/>
          <w:szCs w:val="18"/>
          <w:lang w:val="de-DE"/>
        </w:rPr>
        <w:t> </w:t>
      </w:r>
      <w:r w:rsidRPr="00C83DF5">
        <w:rPr>
          <w:rFonts w:eastAsia="Calibri" w:cs="Tahoma"/>
          <w:color w:val="000000"/>
          <w:szCs w:val="18"/>
          <w:lang w:val="de-DE"/>
        </w:rPr>
        <w:t>einzelne Prozessorlizenz Cores auf zwei oder mehr Prozessoren zuzuweisen.</w:t>
      </w:r>
    </w:p>
    <w:p w:rsidR="003540FA" w:rsidRPr="00C83DF5" w:rsidRDefault="003540FA" w:rsidP="00A66BD2">
      <w:pPr>
        <w:ind w:left="540"/>
        <w:rPr>
          <w:lang w:val="de-DE"/>
        </w:rPr>
      </w:pPr>
    </w:p>
    <w:p w:rsidR="00676723" w:rsidRPr="00C83DF5" w:rsidRDefault="00676723" w:rsidP="00A66BD2">
      <w:pPr>
        <w:ind w:left="540"/>
        <w:rPr>
          <w:lang w:val="de-DE"/>
        </w:rPr>
      </w:pPr>
    </w:p>
    <w:p w:rsidR="007B48BC" w:rsidRPr="00C83DF5" w:rsidRDefault="00A560B6" w:rsidP="000773D2">
      <w:pPr>
        <w:pStyle w:val="Heading3"/>
        <w:ind w:left="270" w:hanging="270"/>
        <w:rPr>
          <w:lang w:val="de-DE"/>
        </w:rPr>
      </w:pPr>
      <w:bookmarkStart w:id="1157" w:name="_38_Business_Intelligence"/>
      <w:bookmarkStart w:id="1158" w:name="_Toc336338293"/>
      <w:bookmarkStart w:id="1159" w:name="Srv_35BusinessIntellApp2012"/>
      <w:bookmarkStart w:id="1160" w:name="Srv_35CoreCALBridgeWinIntune"/>
      <w:bookmarkStart w:id="1161" w:name="_Toc370983406"/>
      <w:bookmarkEnd w:id="1157"/>
      <w:r w:rsidRPr="00C83DF5">
        <w:rPr>
          <w:rFonts w:ascii="Tahoma" w:hAnsi="Tahoma"/>
          <w:caps/>
          <w:color w:val="F66400"/>
          <w:sz w:val="22"/>
          <w:vertAlign w:val="superscript"/>
          <w:lang w:val="de-DE"/>
        </w:rPr>
        <w:t>38</w:t>
      </w:r>
      <w:r w:rsidRPr="00106236">
        <w:rPr>
          <w:rFonts w:ascii="Tahoma" w:hAnsi="Tahoma"/>
          <w:caps/>
          <w:color w:val="F66400"/>
          <w:sz w:val="22"/>
          <w:lang w:val="de-DE"/>
        </w:rPr>
        <w:t xml:space="preserve"> </w:t>
      </w:r>
      <w:r w:rsidRPr="00C83DF5">
        <w:rPr>
          <w:rFonts w:ascii="Tahoma" w:hAnsi="Tahoma"/>
          <w:color w:val="F66400"/>
          <w:sz w:val="22"/>
          <w:lang w:val="de-DE"/>
        </w:rPr>
        <w:t>Business Intelligence Appliance 2012</w:t>
      </w:r>
      <w:bookmarkEnd w:id="1158"/>
      <w:bookmarkEnd w:id="1161"/>
      <w:r w:rsidRPr="00C83DF5">
        <w:rPr>
          <w:rFonts w:ascii="Tahoma" w:hAnsi="Tahoma"/>
          <w:caps/>
          <w:color w:val="F66400"/>
          <w:sz w:val="22"/>
          <w:vertAlign w:val="superscript"/>
          <w:lang w:val="de-DE"/>
        </w:rPr>
        <w:t xml:space="preserve"> </w:t>
      </w:r>
    </w:p>
    <w:bookmarkEnd w:id="1159"/>
    <w:p w:rsidR="007B48BC" w:rsidRPr="00C83DF5" w:rsidRDefault="007B48BC" w:rsidP="007B48BC">
      <w:pPr>
        <w:rPr>
          <w:lang w:val="de-DE"/>
        </w:rPr>
      </w:pPr>
    </w:p>
    <w:p w:rsidR="00E03856" w:rsidRPr="00C83DF5" w:rsidRDefault="00E50460" w:rsidP="00B3749F">
      <w:pPr>
        <w:ind w:left="720"/>
        <w:rPr>
          <w:lang w:val="de-DE"/>
        </w:rPr>
      </w:pPr>
      <w:r w:rsidRPr="00C83DF5">
        <w:rPr>
          <w:rFonts w:cs="Tahoma"/>
          <w:szCs w:val="18"/>
          <w:lang w:val="de-DE"/>
        </w:rPr>
        <w:t xml:space="preserve">Die Business Intelligence Appliance 2012-Software, die SQL Server 2008 R2 und </w:t>
      </w:r>
      <w:r w:rsidR="00B3749F">
        <w:rPr>
          <w:rFonts w:cs="Tahoma"/>
          <w:szCs w:val="18"/>
          <w:lang w:val="de-DE"/>
        </w:rPr>
        <w:br/>
      </w:r>
      <w:r w:rsidRPr="00C83DF5">
        <w:rPr>
          <w:rFonts w:cs="Tahoma"/>
          <w:szCs w:val="18"/>
          <w:lang w:val="de-DE"/>
        </w:rPr>
        <w:t>SharePoint Server 2010 enthält, ist nur in von Microsoft genehmigten Hardware- und Softwarekonfigurationen verfügbar.</w:t>
      </w:r>
      <w:r w:rsidR="00E71F46" w:rsidRPr="00C83DF5">
        <w:rPr>
          <w:rFonts w:cs="Tahoma"/>
          <w:szCs w:val="18"/>
          <w:lang w:val="de-DE"/>
        </w:rPr>
        <w:t xml:space="preserve"> </w:t>
      </w:r>
      <w:r w:rsidRPr="00C83DF5">
        <w:rPr>
          <w:rFonts w:cs="Tahoma"/>
          <w:szCs w:val="18"/>
          <w:lang w:val="de-DE"/>
        </w:rPr>
        <w:t>Die</w:t>
      </w:r>
      <w:r w:rsidR="00B3749F">
        <w:rPr>
          <w:rFonts w:cs="Tahoma"/>
          <w:szCs w:val="18"/>
          <w:lang w:val="de-DE"/>
        </w:rPr>
        <w:t> </w:t>
      </w:r>
      <w:r w:rsidRPr="00C83DF5">
        <w:rPr>
          <w:rFonts w:cs="Tahoma"/>
          <w:szCs w:val="18"/>
          <w:lang w:val="de-DE"/>
        </w:rPr>
        <w:t>Nutzung der Software in anderen Konfigurationen wird nicht</w:t>
      </w:r>
      <w:r w:rsidR="00B3749F">
        <w:rPr>
          <w:rFonts w:cs="Tahoma"/>
          <w:szCs w:val="18"/>
          <w:lang w:val="de-DE"/>
        </w:rPr>
        <w:t> </w:t>
      </w:r>
      <w:r w:rsidRPr="00C83DF5">
        <w:rPr>
          <w:rFonts w:cs="Tahoma"/>
          <w:szCs w:val="18"/>
          <w:lang w:val="de-DE"/>
        </w:rPr>
        <w:t>unterstützt und kann die Leistung beeinträchtigen.</w:t>
      </w:r>
      <w:r w:rsidR="00E71F46" w:rsidRPr="00C83DF5">
        <w:rPr>
          <w:rFonts w:cs="Tahoma"/>
          <w:szCs w:val="18"/>
          <w:lang w:val="de-DE"/>
        </w:rPr>
        <w:t xml:space="preserve"> </w:t>
      </w:r>
      <w:r w:rsidRPr="00C83DF5">
        <w:rPr>
          <w:rFonts w:cs="Tahoma"/>
          <w:szCs w:val="18"/>
          <w:lang w:val="de-DE"/>
        </w:rPr>
        <w:t>Weitere Informationen finden Sie unter</w:t>
      </w:r>
      <w:r w:rsidRPr="00C83DF5">
        <w:rPr>
          <w:rFonts w:cs="Tahoma"/>
          <w:color w:val="1F497D"/>
          <w:szCs w:val="18"/>
          <w:lang w:val="de-DE"/>
        </w:rPr>
        <w:t xml:space="preserve"> </w:t>
      </w:r>
      <w:r w:rsidR="00B3749F">
        <w:rPr>
          <w:rFonts w:cs="Tahoma"/>
          <w:color w:val="1F497D"/>
          <w:szCs w:val="18"/>
          <w:lang w:val="de-DE"/>
        </w:rPr>
        <w:br/>
      </w:r>
      <w:hyperlink r:id="rId46" w:tooltip="http://www.microsoft.com/sqlserver/en/us/get-sql-server/how-to-buy.aspx" w:history="1">
        <w:r w:rsidRPr="00C83DF5">
          <w:rPr>
            <w:rStyle w:val="Hyperlink"/>
            <w:rFonts w:cs="Tahoma"/>
            <w:szCs w:val="18"/>
            <w:lang w:val="de-DE"/>
          </w:rPr>
          <w:t>http://www.microsoft.com/sqlserver/en/us/get-sql-server/how-to-buy.aspx</w:t>
        </w:r>
      </w:hyperlink>
      <w:r w:rsidRPr="00C83DF5">
        <w:rPr>
          <w:rFonts w:cs="Tahoma"/>
          <w:szCs w:val="18"/>
          <w:lang w:val="de-DE"/>
        </w:rPr>
        <w:t>.</w:t>
      </w:r>
      <w:r w:rsidR="00E71F46" w:rsidRPr="00C83DF5">
        <w:rPr>
          <w:rFonts w:cs="Tahoma"/>
          <w:szCs w:val="18"/>
          <w:lang w:val="de-DE"/>
        </w:rPr>
        <w:t xml:space="preserve"> </w:t>
      </w:r>
    </w:p>
    <w:p w:rsidR="00A66BD2" w:rsidRPr="00C83DF5" w:rsidRDefault="00A66BD2" w:rsidP="00A66BD2">
      <w:pPr>
        <w:rPr>
          <w:lang w:val="de-DE"/>
        </w:rPr>
      </w:pPr>
    </w:p>
    <w:p w:rsidR="00A66BD2" w:rsidRPr="00C83DF5" w:rsidRDefault="00A66BD2" w:rsidP="00A66BD2">
      <w:pPr>
        <w:rPr>
          <w:lang w:val="de-DE"/>
        </w:rPr>
      </w:pPr>
    </w:p>
    <w:p w:rsidR="003540FA" w:rsidRPr="00C83DF5" w:rsidRDefault="001C55B1" w:rsidP="00784113">
      <w:pPr>
        <w:pStyle w:val="Heading3"/>
        <w:ind w:left="234" w:hanging="234"/>
        <w:rPr>
          <w:lang w:val="de-DE"/>
        </w:rPr>
      </w:pPr>
      <w:bookmarkStart w:id="1162" w:name="_39_Core_CAL"/>
      <w:bookmarkStart w:id="1163" w:name="_Toc336338294"/>
      <w:bookmarkStart w:id="1164" w:name="_Toc370983407"/>
      <w:bookmarkEnd w:id="1162"/>
      <w:r w:rsidRPr="00C83DF5">
        <w:rPr>
          <w:rFonts w:ascii="Tahoma" w:hAnsi="Tahoma"/>
          <w:caps/>
          <w:color w:val="F66400"/>
          <w:sz w:val="22"/>
          <w:vertAlign w:val="superscript"/>
          <w:lang w:val="de-DE"/>
        </w:rPr>
        <w:t>39</w:t>
      </w:r>
      <w:r w:rsidRPr="00C83DF5">
        <w:rPr>
          <w:rFonts w:ascii="Tahoma" w:hAnsi="Tahoma"/>
          <w:color w:val="F66400"/>
          <w:sz w:val="22"/>
          <w:lang w:val="de-DE"/>
        </w:rPr>
        <w:t xml:space="preserve"> Core </w:t>
      </w:r>
      <w:r w:rsidRPr="00C83DF5">
        <w:rPr>
          <w:rFonts w:ascii="Tahoma" w:hAnsi="Tahoma"/>
          <w:color w:val="FF6600"/>
          <w:sz w:val="22"/>
          <w:lang w:val="de-DE"/>
        </w:rPr>
        <w:t>CAL Suite Bridge für Office 365, Core CAL Suite Bridge für Office 365 und Windows Intune sowie Core CAL Suite Bridge für Windows Intune</w:t>
      </w:r>
      <w:bookmarkEnd w:id="1163"/>
      <w:bookmarkEnd w:id="1164"/>
    </w:p>
    <w:bookmarkEnd w:id="1160"/>
    <w:p w:rsidR="003540FA" w:rsidRPr="00C83DF5" w:rsidRDefault="003540FA" w:rsidP="00A66BD2">
      <w:pPr>
        <w:ind w:left="540"/>
        <w:rPr>
          <w:lang w:val="de-DE"/>
        </w:rPr>
      </w:pPr>
    </w:p>
    <w:p w:rsidR="00A66BD2" w:rsidRPr="00C83DF5" w:rsidRDefault="000773D2" w:rsidP="00A66BD2">
      <w:pPr>
        <w:spacing w:after="60"/>
        <w:ind w:left="720"/>
        <w:rPr>
          <w:lang w:val="de-DE"/>
        </w:rPr>
      </w:pPr>
      <w:r w:rsidRPr="00C83DF5">
        <w:rPr>
          <w:b/>
          <w:szCs w:val="18"/>
          <w:lang w:val="de-DE"/>
        </w:rPr>
        <w:t>Definition</w:t>
      </w:r>
    </w:p>
    <w:p w:rsidR="000773D2" w:rsidRPr="00C83DF5" w:rsidRDefault="00A66BD2" w:rsidP="00A66BD2">
      <w:pPr>
        <w:ind w:left="720"/>
        <w:rPr>
          <w:lang w:val="de-DE"/>
        </w:rPr>
      </w:pPr>
      <w:r w:rsidRPr="00C83DF5">
        <w:rPr>
          <w:b/>
          <w:szCs w:val="18"/>
          <w:lang w:val="de-DE"/>
        </w:rPr>
        <w:t>„</w:t>
      </w:r>
      <w:r w:rsidRPr="00C83DF5">
        <w:rPr>
          <w:szCs w:val="18"/>
          <w:lang w:val="de-DE"/>
        </w:rPr>
        <w:t xml:space="preserve">Übergang“ ist die Umwandlung einer Lizenz </w:t>
      </w:r>
      <w:r w:rsidRPr="00C83DF5">
        <w:rPr>
          <w:rFonts w:cs="Tahoma"/>
          <w:szCs w:val="18"/>
          <w:lang w:val="de-DE"/>
        </w:rPr>
        <w:t>mit aktueller Software Assurance in eine oder von einer Abonnementlizenz.</w:t>
      </w:r>
      <w:r w:rsidR="00E71F46" w:rsidRPr="00C83DF5">
        <w:rPr>
          <w:rFonts w:cs="Tahoma"/>
          <w:szCs w:val="18"/>
          <w:lang w:val="de-DE"/>
        </w:rPr>
        <w:t xml:space="preserve"> </w:t>
      </w:r>
    </w:p>
    <w:p w:rsidR="00A66BD2" w:rsidRPr="007025E3" w:rsidRDefault="00A66BD2" w:rsidP="00A66BD2">
      <w:pPr>
        <w:ind w:left="720"/>
        <w:rPr>
          <w:rFonts w:cs="Tahoma"/>
          <w:b/>
          <w:szCs w:val="18"/>
          <w:lang w:val="de-DE"/>
        </w:rPr>
      </w:pPr>
    </w:p>
    <w:p w:rsidR="00A66BD2" w:rsidRPr="00C83DF5" w:rsidRDefault="0013504C" w:rsidP="00A66BD2">
      <w:pPr>
        <w:spacing w:after="60"/>
        <w:ind w:left="720"/>
        <w:rPr>
          <w:lang w:val="de-DE"/>
        </w:rPr>
      </w:pPr>
      <w:r>
        <w:rPr>
          <w:b/>
          <w:szCs w:val="18"/>
          <w:lang w:val="de-DE"/>
        </w:rPr>
        <w:t>Anwendbare Nutzungsrechte</w:t>
      </w:r>
    </w:p>
    <w:p w:rsidR="000773D2" w:rsidRPr="00C83DF5" w:rsidRDefault="000773D2" w:rsidP="00A66BD2">
      <w:pPr>
        <w:spacing w:line="276" w:lineRule="auto"/>
        <w:ind w:left="720"/>
        <w:rPr>
          <w:lang w:val="de-DE"/>
        </w:rPr>
      </w:pPr>
      <w:r w:rsidRPr="00C83DF5">
        <w:rPr>
          <w:rFonts w:eastAsia="Calibri" w:cs="Tahoma"/>
          <w:szCs w:val="18"/>
          <w:lang w:val="de-DE"/>
        </w:rPr>
        <w:t>Eine CAL Suite Bridge hat keine Versionsnummer, und die Produktbenutzungsrechte hängen vom Status der Software Assurance dafür ab.</w:t>
      </w:r>
      <w:r w:rsidR="00E71F46" w:rsidRPr="00C83DF5">
        <w:rPr>
          <w:rFonts w:eastAsia="Calibri" w:cs="Tahoma"/>
          <w:szCs w:val="18"/>
          <w:lang w:val="de-DE"/>
        </w:rPr>
        <w:t xml:space="preserve"> </w:t>
      </w:r>
      <w:r w:rsidRPr="00C83DF5">
        <w:rPr>
          <w:rFonts w:eastAsia="Calibri" w:cs="Tahoma"/>
          <w:szCs w:val="18"/>
          <w:lang w:val="de-DE"/>
        </w:rPr>
        <w:t>Falls Software Assurance unterbrochen wird, hängen die Zugriffsrechte im Rahmen zeitlich unbeschränkter Lizenzen von den Produktbenutzungsrechten ab, die vor der Unterbrechung galten.</w:t>
      </w:r>
      <w:r w:rsidR="00E71F46" w:rsidRPr="00C83DF5">
        <w:rPr>
          <w:rFonts w:eastAsia="Calibri" w:cs="Tahoma"/>
          <w:szCs w:val="18"/>
          <w:lang w:val="de-DE"/>
        </w:rPr>
        <w:t xml:space="preserve"> </w:t>
      </w:r>
      <w:r w:rsidRPr="00C83DF5">
        <w:rPr>
          <w:rFonts w:eastAsia="Calibri" w:cs="Tahoma"/>
          <w:szCs w:val="18"/>
          <w:lang w:val="de-DE"/>
        </w:rPr>
        <w:t>Eine Lizenz für eine CAL Suite Bridge ist eine einzelne Lizenz, die einem einzelnen Nutzer oder Gerät zugewiesen werden muss.</w:t>
      </w:r>
    </w:p>
    <w:p w:rsidR="00A66BD2" w:rsidRPr="007025E3" w:rsidRDefault="00A66BD2" w:rsidP="00A66BD2">
      <w:pPr>
        <w:spacing w:line="276" w:lineRule="auto"/>
        <w:ind w:left="720"/>
        <w:rPr>
          <w:rFonts w:eastAsia="Calibri" w:cs="Tahoma"/>
          <w:szCs w:val="18"/>
          <w:u w:val="single"/>
          <w:lang w:val="de-DE"/>
        </w:rPr>
      </w:pPr>
    </w:p>
    <w:p w:rsidR="00E7760C" w:rsidRPr="007025E3" w:rsidRDefault="00E7760C" w:rsidP="00A66BD2">
      <w:pPr>
        <w:spacing w:line="276" w:lineRule="auto"/>
        <w:ind w:left="720"/>
        <w:rPr>
          <w:rFonts w:eastAsia="Calibri" w:cs="Tahoma"/>
          <w:szCs w:val="18"/>
          <w:u w:val="single"/>
          <w:lang w:val="de-DE"/>
        </w:rPr>
      </w:pPr>
    </w:p>
    <w:p w:rsidR="00E7760C" w:rsidRPr="007025E3" w:rsidRDefault="00E7760C" w:rsidP="00A66BD2">
      <w:pPr>
        <w:spacing w:line="276" w:lineRule="auto"/>
        <w:ind w:left="720"/>
        <w:rPr>
          <w:rFonts w:eastAsia="Calibri" w:cs="Tahoma"/>
          <w:szCs w:val="18"/>
          <w:u w:val="single"/>
          <w:lang w:val="de-DE"/>
        </w:rPr>
      </w:pPr>
    </w:p>
    <w:p w:rsidR="00E7760C" w:rsidRPr="007025E3" w:rsidRDefault="00E7760C" w:rsidP="00A66BD2">
      <w:pPr>
        <w:spacing w:line="276" w:lineRule="auto"/>
        <w:ind w:left="720"/>
        <w:rPr>
          <w:rFonts w:eastAsia="Calibri" w:cs="Tahoma"/>
          <w:szCs w:val="18"/>
          <w:u w:val="single"/>
          <w:lang w:val="de-DE"/>
        </w:rPr>
      </w:pPr>
    </w:p>
    <w:p w:rsidR="00A66BD2" w:rsidRPr="00C83DF5" w:rsidRDefault="000773D2" w:rsidP="00A66BD2">
      <w:pPr>
        <w:spacing w:after="60"/>
        <w:ind w:left="720"/>
        <w:rPr>
          <w:lang w:val="de-DE"/>
        </w:rPr>
      </w:pPr>
      <w:r w:rsidRPr="00C83DF5">
        <w:rPr>
          <w:b/>
          <w:szCs w:val="18"/>
          <w:lang w:val="de-DE"/>
        </w:rPr>
        <w:lastRenderedPageBreak/>
        <w:t>Anforderungen</w:t>
      </w:r>
    </w:p>
    <w:p w:rsidR="000773D2" w:rsidRPr="00C83DF5" w:rsidRDefault="000773D2" w:rsidP="00A66BD2">
      <w:pPr>
        <w:spacing w:line="276" w:lineRule="auto"/>
        <w:ind w:left="720"/>
        <w:rPr>
          <w:lang w:val="de-DE"/>
        </w:rPr>
      </w:pPr>
      <w:r w:rsidRPr="00C83DF5">
        <w:rPr>
          <w:rFonts w:eastAsia="Calibri" w:cs="Tahoma"/>
          <w:szCs w:val="18"/>
          <w:lang w:val="de-DE"/>
        </w:rPr>
        <w:t>Eine CAL Suite Bridge ist möglicherweise bei einem Übergang von einer CAL Suite zu einer vergleichbaren Kombination aus Produkt und Onlinediensten erforderlich.</w:t>
      </w:r>
      <w:r w:rsidR="00E71F46" w:rsidRPr="00C83DF5">
        <w:rPr>
          <w:rFonts w:eastAsia="Calibri" w:cs="Tahoma"/>
          <w:szCs w:val="18"/>
          <w:lang w:val="de-DE"/>
        </w:rPr>
        <w:t xml:space="preserve"> </w:t>
      </w:r>
      <w:r w:rsidRPr="00C83DF5">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E71F46" w:rsidRPr="00C83DF5">
        <w:rPr>
          <w:rFonts w:eastAsia="Calibri" w:cs="Tahoma"/>
          <w:szCs w:val="18"/>
          <w:lang w:val="de-DE"/>
        </w:rPr>
        <w:t xml:space="preserve"> </w:t>
      </w:r>
      <w:r w:rsidRPr="00C83DF5">
        <w:rPr>
          <w:rFonts w:eastAsia="Calibri" w:cs="Tahoma"/>
          <w:szCs w:val="18"/>
          <w:lang w:val="de-DE"/>
        </w:rPr>
        <w:t>Stattdessen kann am Jahrestag des Beitritts, für den der Übergang wirksam ist, Software Assurance für die CAL Suite Bridge erworben werden.</w:t>
      </w:r>
      <w:r w:rsidR="00E71F46" w:rsidRPr="00C83DF5">
        <w:rPr>
          <w:rFonts w:eastAsia="Calibri" w:cs="Tahoma"/>
          <w:szCs w:val="18"/>
          <w:lang w:val="de-DE"/>
        </w:rPr>
        <w:t xml:space="preserve"> </w:t>
      </w:r>
      <w:r w:rsidRPr="00C83DF5">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E71F46" w:rsidRPr="00C83DF5">
        <w:rPr>
          <w:rFonts w:eastAsia="Calibri" w:cs="Tahoma"/>
          <w:szCs w:val="18"/>
          <w:lang w:val="de-DE"/>
        </w:rPr>
        <w:t xml:space="preserve"> </w:t>
      </w:r>
    </w:p>
    <w:p w:rsidR="00A66BD2" w:rsidRPr="00C83DF5" w:rsidRDefault="00A66BD2" w:rsidP="00A66BD2">
      <w:pPr>
        <w:spacing w:line="276" w:lineRule="auto"/>
        <w:ind w:left="720"/>
        <w:rPr>
          <w:lang w:val="de-DE"/>
        </w:rPr>
      </w:pPr>
    </w:p>
    <w:p w:rsidR="000773D2" w:rsidRPr="00C83DF5" w:rsidRDefault="000773D2" w:rsidP="00E7760C">
      <w:pPr>
        <w:spacing w:line="276" w:lineRule="auto"/>
        <w:ind w:left="720"/>
        <w:rPr>
          <w:lang w:val="de-DE"/>
        </w:rPr>
      </w:pPr>
      <w:r w:rsidRPr="00C83DF5">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E7760C">
        <w:rPr>
          <w:rFonts w:eastAsia="Calibri" w:cs="Tahoma"/>
          <w:szCs w:val="18"/>
          <w:lang w:val="de-DE"/>
        </w:rPr>
        <w:t> </w:t>
      </w:r>
      <w:r w:rsidRPr="00C83DF5">
        <w:rPr>
          <w:rFonts w:eastAsia="Calibri" w:cs="Tahoma"/>
          <w:szCs w:val="18"/>
          <w:lang w:val="de-DE"/>
        </w:rPr>
        <w:t>übergeordneten CAL Suite zu erfüllen.</w:t>
      </w:r>
    </w:p>
    <w:p w:rsidR="002A6416" w:rsidRPr="00C83DF5" w:rsidRDefault="002A6416" w:rsidP="002A6416">
      <w:pPr>
        <w:spacing w:line="276" w:lineRule="auto"/>
        <w:ind w:left="720"/>
        <w:rPr>
          <w:lang w:val="de-DE"/>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C83DF5"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C83DF5" w:rsidRDefault="000773D2" w:rsidP="000773D2">
            <w:pPr>
              <w:spacing w:before="80" w:after="200" w:line="276" w:lineRule="auto"/>
              <w:jc w:val="center"/>
              <w:rPr>
                <w:rFonts w:eastAsia="Calibri" w:cs="Tahoma"/>
                <w:b/>
                <w:bCs/>
                <w:color w:val="000000"/>
                <w:szCs w:val="18"/>
                <w:lang w:eastAsia="ja-JP"/>
              </w:rPr>
            </w:pPr>
            <w:r w:rsidRPr="00C83DF5">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C83DF5" w:rsidRDefault="000773D2" w:rsidP="000773D2">
            <w:pPr>
              <w:spacing w:before="80" w:after="200" w:line="276" w:lineRule="auto"/>
              <w:jc w:val="center"/>
              <w:rPr>
                <w:rFonts w:eastAsia="Calibri" w:cs="Tahoma"/>
                <w:b/>
                <w:bCs/>
                <w:color w:val="000000"/>
                <w:szCs w:val="18"/>
                <w:lang w:eastAsia="ja-JP"/>
              </w:rPr>
            </w:pPr>
            <w:r w:rsidRPr="00C83DF5">
              <w:rPr>
                <w:rFonts w:eastAsia="Calibri" w:cs="Tahoma"/>
                <w:b/>
                <w:bCs/>
                <w:szCs w:val="18"/>
              </w:rPr>
              <w:t>Übergeordnete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C83DF5" w:rsidRDefault="000773D2" w:rsidP="005A36EF">
            <w:pPr>
              <w:spacing w:before="80" w:after="200" w:line="276" w:lineRule="auto"/>
              <w:ind w:left="180" w:right="180"/>
              <w:jc w:val="center"/>
              <w:rPr>
                <w:rFonts w:eastAsia="Calibri" w:cs="Tahoma"/>
                <w:b/>
                <w:bCs/>
                <w:color w:val="000000"/>
                <w:szCs w:val="18"/>
                <w:lang w:eastAsia="ja-JP"/>
              </w:rPr>
            </w:pPr>
            <w:r w:rsidRPr="00C83DF5">
              <w:rPr>
                <w:rFonts w:eastAsia="Calibri" w:cs="Tahoma"/>
                <w:b/>
                <w:bCs/>
                <w:szCs w:val="18"/>
              </w:rPr>
              <w:t>Qualifizierende Onlinedienste</w:t>
            </w:r>
          </w:p>
        </w:tc>
      </w:tr>
      <w:tr w:rsidR="005A36EF" w:rsidRPr="00C83DF5" w:rsidTr="002A6416">
        <w:trPr>
          <w:trHeight w:val="576"/>
        </w:trPr>
        <w:tc>
          <w:tcPr>
            <w:tcW w:w="1704" w:type="pct"/>
            <w:tcBorders>
              <w:top w:val="nil"/>
              <w:left w:val="single" w:sz="8" w:space="0" w:color="auto"/>
              <w:bottom w:val="single" w:sz="8" w:space="0" w:color="auto"/>
              <w:right w:val="single" w:sz="8" w:space="0" w:color="auto"/>
            </w:tcBorders>
          </w:tcPr>
          <w:p w:rsidR="000773D2" w:rsidRPr="00C83DF5" w:rsidRDefault="000773D2" w:rsidP="00346F4B">
            <w:pPr>
              <w:numPr>
                <w:ilvl w:val="0"/>
                <w:numId w:val="40"/>
              </w:numPr>
              <w:spacing w:before="120" w:after="200" w:line="276" w:lineRule="auto"/>
              <w:ind w:left="679" w:right="181" w:hanging="450"/>
              <w:rPr>
                <w:rFonts w:eastAsia="Calibri" w:cs="Tahoma"/>
                <w:color w:val="000000"/>
                <w:szCs w:val="18"/>
              </w:rPr>
            </w:pPr>
            <w:r w:rsidRPr="00C83DF5">
              <w:rPr>
                <w:rFonts w:eastAsia="Calibri" w:cs="Tahoma"/>
                <w:color w:val="000000"/>
                <w:szCs w:val="18"/>
              </w:rPr>
              <w:t>Core CAL Suite Bridge für Office 365</w:t>
            </w:r>
          </w:p>
        </w:tc>
        <w:tc>
          <w:tcPr>
            <w:tcW w:w="1593" w:type="pct"/>
            <w:tcBorders>
              <w:top w:val="nil"/>
              <w:left w:val="nil"/>
              <w:bottom w:val="single" w:sz="8" w:space="0" w:color="auto"/>
              <w:right w:val="single" w:sz="8" w:space="0" w:color="auto"/>
            </w:tcBorders>
          </w:tcPr>
          <w:p w:rsidR="000773D2" w:rsidRPr="00C83DF5" w:rsidRDefault="000773D2" w:rsidP="00346F4B">
            <w:pPr>
              <w:numPr>
                <w:ilvl w:val="0"/>
                <w:numId w:val="41"/>
              </w:numPr>
              <w:spacing w:before="120" w:after="200" w:line="276" w:lineRule="auto"/>
              <w:ind w:left="682" w:hanging="450"/>
              <w:rPr>
                <w:rFonts w:eastAsia="Calibri" w:cs="Tahoma"/>
                <w:color w:val="000000"/>
                <w:szCs w:val="18"/>
              </w:rPr>
            </w:pPr>
            <w:r w:rsidRPr="00C83DF5">
              <w:rPr>
                <w:rFonts w:eastAsia="Calibri" w:cs="Tahoma"/>
                <w:color w:val="000000"/>
                <w:szCs w:val="18"/>
              </w:rPr>
              <w:t>Core-CAL-Suite</w:t>
            </w:r>
          </w:p>
        </w:tc>
        <w:tc>
          <w:tcPr>
            <w:tcW w:w="1703" w:type="pct"/>
            <w:tcBorders>
              <w:top w:val="nil"/>
              <w:left w:val="nil"/>
              <w:bottom w:val="single" w:sz="8" w:space="0" w:color="auto"/>
              <w:right w:val="single" w:sz="8" w:space="0" w:color="auto"/>
            </w:tcBorders>
          </w:tcPr>
          <w:p w:rsidR="000773D2" w:rsidRPr="00C83DF5" w:rsidRDefault="000773D2" w:rsidP="00A50C8B">
            <w:pPr>
              <w:numPr>
                <w:ilvl w:val="0"/>
                <w:numId w:val="42"/>
              </w:numPr>
              <w:spacing w:before="120" w:after="200" w:line="276" w:lineRule="auto"/>
              <w:ind w:left="684" w:right="181" w:hanging="450"/>
            </w:pPr>
            <w:r w:rsidRPr="00C83DF5">
              <w:rPr>
                <w:rFonts w:eastAsia="Calibri" w:cs="Tahoma"/>
                <w:color w:val="000000"/>
                <w:szCs w:val="18"/>
              </w:rPr>
              <w:t>Office 365 Enterprise</w:t>
            </w:r>
            <w:r w:rsidR="00A50C8B">
              <w:rPr>
                <w:rFonts w:eastAsia="Calibri" w:cs="Tahoma"/>
                <w:color w:val="000000"/>
                <w:szCs w:val="18"/>
              </w:rPr>
              <w:t> </w:t>
            </w:r>
            <w:r w:rsidRPr="00C83DF5">
              <w:rPr>
                <w:rFonts w:eastAsia="Calibri" w:cs="Tahoma"/>
                <w:color w:val="000000"/>
                <w:szCs w:val="18"/>
              </w:rPr>
              <w:t>E1 oder</w:t>
            </w:r>
          </w:p>
          <w:p w:rsidR="000773D2" w:rsidRPr="00C83DF5" w:rsidRDefault="000773D2" w:rsidP="00A50C8B">
            <w:pPr>
              <w:numPr>
                <w:ilvl w:val="0"/>
                <w:numId w:val="42"/>
              </w:numPr>
              <w:spacing w:before="120" w:after="200" w:line="276" w:lineRule="auto"/>
              <w:ind w:left="684" w:right="181" w:hanging="450"/>
            </w:pPr>
            <w:r w:rsidRPr="00C83DF5">
              <w:rPr>
                <w:rFonts w:eastAsia="Calibri" w:cs="Tahoma"/>
                <w:color w:val="000000"/>
                <w:szCs w:val="18"/>
              </w:rPr>
              <w:t>Office 365 Enterprise</w:t>
            </w:r>
            <w:r w:rsidR="00A50C8B">
              <w:rPr>
                <w:rFonts w:eastAsia="Calibri" w:cs="Tahoma"/>
                <w:color w:val="000000"/>
                <w:szCs w:val="18"/>
              </w:rPr>
              <w:t> </w:t>
            </w:r>
            <w:r w:rsidRPr="00C83DF5">
              <w:rPr>
                <w:rFonts w:eastAsia="Calibri" w:cs="Tahoma"/>
                <w:color w:val="000000"/>
                <w:szCs w:val="18"/>
              </w:rPr>
              <w:t>E3 oder</w:t>
            </w:r>
          </w:p>
          <w:p w:rsidR="000773D2" w:rsidRPr="00C83DF5" w:rsidRDefault="000773D2" w:rsidP="00A50C8B">
            <w:pPr>
              <w:numPr>
                <w:ilvl w:val="0"/>
                <w:numId w:val="42"/>
              </w:numPr>
              <w:spacing w:before="120" w:after="200" w:line="276" w:lineRule="auto"/>
              <w:ind w:left="684" w:right="181" w:hanging="450"/>
              <w:rPr>
                <w:rFonts w:eastAsia="Calibri" w:cs="Tahoma"/>
                <w:color w:val="000000"/>
                <w:szCs w:val="18"/>
              </w:rPr>
            </w:pPr>
            <w:r w:rsidRPr="00C83DF5">
              <w:rPr>
                <w:rFonts w:eastAsia="Calibri" w:cs="Tahoma"/>
                <w:color w:val="000000"/>
                <w:szCs w:val="18"/>
              </w:rPr>
              <w:t>Office 365 Enterprise</w:t>
            </w:r>
            <w:r w:rsidR="00A50C8B">
              <w:rPr>
                <w:rFonts w:eastAsia="Calibri" w:cs="Tahoma"/>
                <w:color w:val="000000"/>
                <w:szCs w:val="18"/>
              </w:rPr>
              <w:t> </w:t>
            </w:r>
            <w:r w:rsidRPr="00C83DF5">
              <w:rPr>
                <w:rFonts w:eastAsia="Calibri" w:cs="Tahoma"/>
                <w:color w:val="000000"/>
                <w:szCs w:val="18"/>
              </w:rPr>
              <w:t>E4</w:t>
            </w:r>
          </w:p>
        </w:tc>
      </w:tr>
      <w:tr w:rsidR="005A36EF" w:rsidRPr="00C83DF5" w:rsidTr="002A6416">
        <w:trPr>
          <w:trHeight w:val="576"/>
        </w:trPr>
        <w:tc>
          <w:tcPr>
            <w:tcW w:w="1704" w:type="pct"/>
            <w:tcBorders>
              <w:top w:val="nil"/>
              <w:left w:val="single" w:sz="8" w:space="0" w:color="auto"/>
              <w:bottom w:val="single" w:sz="8" w:space="0" w:color="auto"/>
              <w:right w:val="single" w:sz="8" w:space="0" w:color="auto"/>
            </w:tcBorders>
          </w:tcPr>
          <w:p w:rsidR="000773D2" w:rsidRPr="00C83DF5" w:rsidRDefault="000773D2" w:rsidP="00346F4B">
            <w:pPr>
              <w:numPr>
                <w:ilvl w:val="0"/>
                <w:numId w:val="40"/>
              </w:numPr>
              <w:spacing w:before="120" w:after="200" w:line="276" w:lineRule="auto"/>
              <w:ind w:left="679" w:right="181" w:hanging="450"/>
              <w:rPr>
                <w:rFonts w:eastAsia="Calibri" w:cs="Tahoma"/>
                <w:color w:val="000000"/>
                <w:szCs w:val="18"/>
              </w:rPr>
            </w:pPr>
            <w:r w:rsidRPr="00C83DF5">
              <w:rPr>
                <w:rFonts w:eastAsia="Calibri" w:cs="Tahoma"/>
                <w:color w:val="000000"/>
                <w:szCs w:val="18"/>
              </w:rPr>
              <w:t>Core CAL Suite Bridge für Office 365 und Windows Intune</w:t>
            </w:r>
          </w:p>
        </w:tc>
        <w:tc>
          <w:tcPr>
            <w:tcW w:w="1593" w:type="pct"/>
            <w:tcBorders>
              <w:top w:val="nil"/>
              <w:left w:val="nil"/>
              <w:bottom w:val="single" w:sz="8" w:space="0" w:color="auto"/>
              <w:right w:val="single" w:sz="8" w:space="0" w:color="auto"/>
            </w:tcBorders>
          </w:tcPr>
          <w:p w:rsidR="000773D2" w:rsidRPr="00C83DF5" w:rsidRDefault="000773D2" w:rsidP="00346F4B">
            <w:pPr>
              <w:numPr>
                <w:ilvl w:val="0"/>
                <w:numId w:val="41"/>
              </w:numPr>
              <w:spacing w:before="120" w:after="200" w:line="276" w:lineRule="auto"/>
              <w:ind w:left="682" w:hanging="450"/>
              <w:rPr>
                <w:rFonts w:eastAsia="Calibri" w:cs="Tahoma"/>
                <w:color w:val="000000"/>
                <w:szCs w:val="18"/>
              </w:rPr>
            </w:pPr>
            <w:r w:rsidRPr="00C83DF5">
              <w:rPr>
                <w:rFonts w:eastAsia="Calibri" w:cs="Tahoma"/>
                <w:color w:val="000000"/>
                <w:szCs w:val="18"/>
              </w:rPr>
              <w:t>Core-CAL-Suite</w:t>
            </w:r>
          </w:p>
        </w:tc>
        <w:tc>
          <w:tcPr>
            <w:tcW w:w="1703" w:type="pct"/>
            <w:tcBorders>
              <w:top w:val="nil"/>
              <w:left w:val="nil"/>
              <w:bottom w:val="single" w:sz="8" w:space="0" w:color="auto"/>
              <w:right w:val="single" w:sz="8" w:space="0" w:color="auto"/>
            </w:tcBorders>
          </w:tcPr>
          <w:p w:rsidR="000773D2" w:rsidRPr="00C83DF5" w:rsidRDefault="000773D2" w:rsidP="00A50C8B">
            <w:pPr>
              <w:numPr>
                <w:ilvl w:val="0"/>
                <w:numId w:val="42"/>
              </w:numPr>
              <w:spacing w:before="120" w:after="200" w:line="276" w:lineRule="auto"/>
              <w:ind w:left="684" w:right="181" w:hanging="450"/>
              <w:rPr>
                <w:lang w:val="de-DE"/>
              </w:rPr>
            </w:pPr>
            <w:r w:rsidRPr="00C83DF5">
              <w:rPr>
                <w:rFonts w:eastAsia="Calibri" w:cs="Tahoma"/>
                <w:color w:val="000000"/>
                <w:szCs w:val="18"/>
                <w:lang w:val="de-DE"/>
              </w:rPr>
              <w:t>Office 365 Enterprise</w:t>
            </w:r>
            <w:r w:rsidR="00A50C8B">
              <w:rPr>
                <w:rFonts w:eastAsia="Calibri" w:cs="Tahoma"/>
                <w:color w:val="000000"/>
                <w:szCs w:val="18"/>
                <w:lang w:val="de-DE"/>
              </w:rPr>
              <w:t> </w:t>
            </w:r>
            <w:r w:rsidRPr="00C83DF5">
              <w:rPr>
                <w:rFonts w:eastAsia="Calibri" w:cs="Tahoma"/>
                <w:color w:val="000000"/>
                <w:szCs w:val="18"/>
                <w:lang w:val="de-DE"/>
              </w:rPr>
              <w:t>E1 und Windows Intune oder</w:t>
            </w:r>
          </w:p>
          <w:p w:rsidR="000773D2" w:rsidRPr="00C83DF5" w:rsidRDefault="000773D2" w:rsidP="00A50C8B">
            <w:pPr>
              <w:numPr>
                <w:ilvl w:val="0"/>
                <w:numId w:val="42"/>
              </w:numPr>
              <w:spacing w:before="120" w:after="200" w:line="276" w:lineRule="auto"/>
              <w:ind w:left="684" w:right="181" w:hanging="450"/>
              <w:rPr>
                <w:lang w:val="de-DE"/>
              </w:rPr>
            </w:pPr>
            <w:r w:rsidRPr="00C83DF5">
              <w:rPr>
                <w:rFonts w:eastAsia="Calibri" w:cs="Tahoma"/>
                <w:color w:val="000000"/>
                <w:szCs w:val="18"/>
                <w:lang w:val="de-DE"/>
              </w:rPr>
              <w:t>Office 365 Enterprise</w:t>
            </w:r>
            <w:r w:rsidR="00A50C8B">
              <w:rPr>
                <w:rFonts w:eastAsia="Calibri" w:cs="Tahoma"/>
                <w:color w:val="000000"/>
                <w:szCs w:val="18"/>
                <w:lang w:val="de-DE"/>
              </w:rPr>
              <w:t> </w:t>
            </w:r>
            <w:r w:rsidRPr="00C83DF5">
              <w:rPr>
                <w:rFonts w:eastAsia="Calibri" w:cs="Tahoma"/>
                <w:color w:val="000000"/>
                <w:szCs w:val="18"/>
                <w:lang w:val="de-DE"/>
              </w:rPr>
              <w:t>E3 und Windows Intune oder</w:t>
            </w:r>
          </w:p>
          <w:p w:rsidR="000773D2" w:rsidRPr="00C83DF5" w:rsidRDefault="000773D2" w:rsidP="00A50C8B">
            <w:pPr>
              <w:numPr>
                <w:ilvl w:val="0"/>
                <w:numId w:val="42"/>
              </w:numPr>
              <w:spacing w:before="120" w:after="200" w:line="276" w:lineRule="auto"/>
              <w:ind w:left="684" w:right="181" w:hanging="450"/>
              <w:rPr>
                <w:rFonts w:eastAsia="Calibri" w:cs="Tahoma"/>
                <w:color w:val="000000"/>
                <w:szCs w:val="18"/>
              </w:rPr>
            </w:pPr>
            <w:r w:rsidRPr="00C83DF5">
              <w:rPr>
                <w:rFonts w:eastAsia="Calibri" w:cs="Tahoma"/>
                <w:color w:val="000000"/>
                <w:szCs w:val="18"/>
              </w:rPr>
              <w:t>Office 365 Enterprise</w:t>
            </w:r>
            <w:r w:rsidR="00A50C8B">
              <w:rPr>
                <w:rFonts w:eastAsia="Calibri" w:cs="Tahoma"/>
                <w:color w:val="000000"/>
                <w:szCs w:val="18"/>
              </w:rPr>
              <w:t> </w:t>
            </w:r>
            <w:r w:rsidRPr="00C83DF5">
              <w:rPr>
                <w:rFonts w:eastAsia="Calibri" w:cs="Tahoma"/>
                <w:color w:val="000000"/>
                <w:szCs w:val="18"/>
              </w:rPr>
              <w:t>E4 und Windows Intune</w:t>
            </w:r>
          </w:p>
        </w:tc>
      </w:tr>
      <w:tr w:rsidR="00A2083B" w:rsidRPr="00C83DF5"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C83DF5" w:rsidRDefault="00A2083B" w:rsidP="00346F4B">
            <w:pPr>
              <w:numPr>
                <w:ilvl w:val="0"/>
                <w:numId w:val="40"/>
              </w:numPr>
              <w:spacing w:before="120" w:after="200" w:line="276" w:lineRule="auto"/>
              <w:ind w:left="679" w:right="181" w:hanging="450"/>
              <w:rPr>
                <w:rFonts w:eastAsia="Calibri" w:cs="Tahoma"/>
                <w:color w:val="000000"/>
                <w:szCs w:val="18"/>
              </w:rPr>
            </w:pPr>
            <w:r w:rsidRPr="00C83DF5">
              <w:rPr>
                <w:rFonts w:cs="Tahoma"/>
                <w:color w:val="000000"/>
                <w:szCs w:val="18"/>
              </w:rPr>
              <w:t>Core CAL Suite Bridge für Windows Intune</w:t>
            </w:r>
          </w:p>
        </w:tc>
        <w:tc>
          <w:tcPr>
            <w:tcW w:w="1593" w:type="pct"/>
            <w:tcBorders>
              <w:top w:val="single" w:sz="8" w:space="0" w:color="auto"/>
              <w:left w:val="nil"/>
              <w:bottom w:val="single" w:sz="8" w:space="0" w:color="auto"/>
              <w:right w:val="single" w:sz="8" w:space="0" w:color="auto"/>
            </w:tcBorders>
          </w:tcPr>
          <w:p w:rsidR="00A2083B" w:rsidRPr="00C83DF5" w:rsidRDefault="00A2083B" w:rsidP="00346F4B">
            <w:pPr>
              <w:numPr>
                <w:ilvl w:val="0"/>
                <w:numId w:val="41"/>
              </w:numPr>
              <w:spacing w:before="120" w:after="200" w:line="276" w:lineRule="auto"/>
              <w:ind w:left="682" w:hanging="450"/>
              <w:rPr>
                <w:rFonts w:eastAsia="Calibri" w:cs="Tahoma"/>
                <w:color w:val="000000"/>
                <w:szCs w:val="18"/>
              </w:rPr>
            </w:pPr>
            <w:r w:rsidRPr="00C83DF5">
              <w:rPr>
                <w:rFonts w:cs="Tahoma"/>
                <w:color w:val="000000"/>
                <w:szCs w:val="18"/>
              </w:rPr>
              <w:t>Core-CAL-Suite</w:t>
            </w:r>
          </w:p>
        </w:tc>
        <w:tc>
          <w:tcPr>
            <w:tcW w:w="1703" w:type="pct"/>
            <w:tcBorders>
              <w:top w:val="single" w:sz="8" w:space="0" w:color="auto"/>
              <w:left w:val="nil"/>
              <w:bottom w:val="single" w:sz="8" w:space="0" w:color="auto"/>
              <w:right w:val="single" w:sz="8" w:space="0" w:color="auto"/>
            </w:tcBorders>
          </w:tcPr>
          <w:p w:rsidR="00A2083B" w:rsidRPr="00106236" w:rsidRDefault="00A2083B" w:rsidP="00346F4B">
            <w:pPr>
              <w:numPr>
                <w:ilvl w:val="0"/>
                <w:numId w:val="42"/>
              </w:numPr>
              <w:spacing w:before="120" w:after="200" w:line="276" w:lineRule="auto"/>
              <w:ind w:left="684" w:right="181" w:hanging="450"/>
              <w:rPr>
                <w:rFonts w:eastAsia="Calibri" w:cs="Tahoma"/>
                <w:color w:val="000000"/>
                <w:szCs w:val="18"/>
              </w:rPr>
            </w:pPr>
            <w:r w:rsidRPr="00106236">
              <w:rPr>
                <w:rFonts w:cs="Tahoma"/>
                <w:color w:val="000000"/>
                <w:szCs w:val="18"/>
              </w:rPr>
              <w:t>Windows Intune</w:t>
            </w:r>
          </w:p>
        </w:tc>
      </w:tr>
    </w:tbl>
    <w:p w:rsidR="00A66BD2" w:rsidRPr="008A0B7C" w:rsidRDefault="00A66BD2" w:rsidP="008A0B7C">
      <w:pPr>
        <w:rPr>
          <w:lang w:val="de-DE"/>
        </w:rPr>
      </w:pPr>
      <w:bookmarkStart w:id="1165" w:name="_Toc336338295"/>
      <w:bookmarkStart w:id="1166" w:name="Srv_34CoreCALSuite"/>
      <w:bookmarkStart w:id="1167" w:name="Srv_31CoreCALSuite"/>
    </w:p>
    <w:p w:rsidR="00A66BD2" w:rsidRDefault="00A66BD2" w:rsidP="008A0B7C">
      <w:pPr>
        <w:rPr>
          <w:lang w:val="de-DE"/>
        </w:rPr>
      </w:pPr>
    </w:p>
    <w:p w:rsidR="008A0B7C" w:rsidRDefault="008A0B7C" w:rsidP="008A0B7C">
      <w:pPr>
        <w:rPr>
          <w:lang w:val="de-DE"/>
        </w:rPr>
      </w:pPr>
    </w:p>
    <w:p w:rsidR="008A0B7C" w:rsidRDefault="008A0B7C" w:rsidP="008A0B7C">
      <w:pPr>
        <w:rPr>
          <w:lang w:val="de-DE"/>
        </w:rPr>
      </w:pPr>
    </w:p>
    <w:p w:rsidR="008A0B7C" w:rsidRDefault="008A0B7C" w:rsidP="008A0B7C">
      <w:pPr>
        <w:rPr>
          <w:lang w:val="de-DE"/>
        </w:rPr>
      </w:pPr>
    </w:p>
    <w:p w:rsidR="008A0B7C" w:rsidRDefault="008A0B7C" w:rsidP="008A0B7C">
      <w:pPr>
        <w:rPr>
          <w:lang w:val="de-DE"/>
        </w:rPr>
      </w:pPr>
    </w:p>
    <w:p w:rsidR="008A0B7C" w:rsidRDefault="008A0B7C" w:rsidP="008A0B7C">
      <w:pPr>
        <w:rPr>
          <w:lang w:val="de-DE"/>
        </w:rPr>
      </w:pPr>
    </w:p>
    <w:p w:rsidR="008A0B7C" w:rsidRDefault="008A0B7C" w:rsidP="008A0B7C">
      <w:pPr>
        <w:rPr>
          <w:lang w:val="de-DE"/>
        </w:rPr>
      </w:pPr>
    </w:p>
    <w:p w:rsidR="008A0B7C" w:rsidRDefault="008A0B7C" w:rsidP="008A0B7C">
      <w:pPr>
        <w:rPr>
          <w:lang w:val="de-DE"/>
        </w:rPr>
      </w:pPr>
    </w:p>
    <w:p w:rsidR="008A0B7C" w:rsidRDefault="008A0B7C" w:rsidP="008A0B7C">
      <w:pPr>
        <w:rPr>
          <w:lang w:val="de-DE"/>
        </w:rPr>
      </w:pPr>
    </w:p>
    <w:p w:rsidR="008A0B7C" w:rsidRDefault="008A0B7C" w:rsidP="008A0B7C">
      <w:pPr>
        <w:rPr>
          <w:lang w:val="de-DE"/>
        </w:rPr>
      </w:pPr>
    </w:p>
    <w:p w:rsidR="00023FE7" w:rsidRPr="00C83DF5" w:rsidRDefault="00A560B6" w:rsidP="001760D6">
      <w:pPr>
        <w:pStyle w:val="Heading3"/>
        <w:keepNext/>
      </w:pPr>
      <w:bookmarkStart w:id="1168" w:name="_40_Core_CAL"/>
      <w:bookmarkStart w:id="1169" w:name="_Toc370983408"/>
      <w:bookmarkEnd w:id="1168"/>
      <w:r w:rsidRPr="00C83DF5">
        <w:rPr>
          <w:rFonts w:ascii="Tahoma" w:hAnsi="Tahoma"/>
          <w:caps/>
          <w:color w:val="F66400"/>
          <w:sz w:val="22"/>
          <w:vertAlign w:val="superscript"/>
        </w:rPr>
        <w:lastRenderedPageBreak/>
        <w:t>40</w:t>
      </w:r>
      <w:r w:rsidRPr="00C83DF5">
        <w:rPr>
          <w:rFonts w:ascii="Tahoma" w:hAnsi="Tahoma"/>
          <w:color w:val="F66400"/>
          <w:sz w:val="22"/>
        </w:rPr>
        <w:t xml:space="preserve"> Core CAL Suite</w:t>
      </w:r>
      <w:bookmarkEnd w:id="1165"/>
      <w:bookmarkEnd w:id="1169"/>
    </w:p>
    <w:bookmarkEnd w:id="1166"/>
    <w:bookmarkEnd w:id="1167"/>
    <w:p w:rsidR="00023FE7" w:rsidRPr="008A0B7C" w:rsidRDefault="00023FE7" w:rsidP="008A0B7C">
      <w:pPr>
        <w:keepNext/>
        <w:ind w:firstLine="547"/>
        <w:rPr>
          <w:rFonts w:cs="Tahoma"/>
          <w:szCs w:val="24"/>
        </w:rPr>
      </w:pPr>
    </w:p>
    <w:p w:rsidR="000D76F0" w:rsidRPr="00C83DF5" w:rsidRDefault="000D76F0" w:rsidP="008A0B7C">
      <w:pPr>
        <w:ind w:left="720"/>
        <w:rPr>
          <w:lang w:val="de-DE"/>
        </w:rPr>
      </w:pPr>
      <w:r w:rsidRPr="00C83DF5">
        <w:rPr>
          <w:rFonts w:cs="Tahoma"/>
          <w:szCs w:val="20"/>
          <w:lang w:val="de-DE"/>
        </w:rPr>
        <w:t>Core CAL Suite hat keine Versionsnummer, und die Produktbenutzungsrechte hängen vom Status der Software Assurance für Core CAL Suite ab.</w:t>
      </w:r>
      <w:r w:rsidR="00E71F46" w:rsidRPr="00C83DF5">
        <w:rPr>
          <w:rFonts w:cs="Tahoma"/>
          <w:szCs w:val="20"/>
          <w:lang w:val="de-DE"/>
        </w:rPr>
        <w:t xml:space="preserve"> </w:t>
      </w:r>
      <w:r w:rsidRPr="00C83DF5">
        <w:rPr>
          <w:rFonts w:cs="Tahoma"/>
          <w:szCs w:val="20"/>
          <w:lang w:val="de-DE"/>
        </w:rPr>
        <w:t>Falls Software Assurance unterbrochen wurde, hängen die Zugriffsrechte im Rahmen zeitlich unbeschränkter Lizenzen von den Produktbenutzungsrechten ab, die vor</w:t>
      </w:r>
      <w:r w:rsidR="008A0B7C">
        <w:rPr>
          <w:rFonts w:cs="Tahoma"/>
          <w:szCs w:val="20"/>
          <w:lang w:val="de-DE"/>
        </w:rPr>
        <w:t> </w:t>
      </w:r>
      <w:r w:rsidRPr="00C83DF5">
        <w:rPr>
          <w:rFonts w:cs="Tahoma"/>
          <w:szCs w:val="20"/>
          <w:lang w:val="de-DE"/>
        </w:rPr>
        <w:t>der Unterbrechung galten.</w:t>
      </w:r>
      <w:r w:rsidR="00E71F46" w:rsidRPr="00C83DF5">
        <w:rPr>
          <w:rFonts w:cs="Tahoma"/>
          <w:szCs w:val="20"/>
          <w:lang w:val="de-DE"/>
        </w:rPr>
        <w:t xml:space="preserve"> </w:t>
      </w:r>
      <w:r w:rsidRPr="00C83DF5">
        <w:rPr>
          <w:rFonts w:cs="Tahoma"/>
          <w:szCs w:val="20"/>
          <w:lang w:val="de-DE"/>
        </w:rPr>
        <w:t xml:space="preserve">Ab dem 1. Oktober 2012 gewährt eine Lizenz für Core </w:t>
      </w:r>
      <w:r w:rsidRPr="00C83DF5">
        <w:rPr>
          <w:rFonts w:cs="Tahoma"/>
          <w:color w:val="000000"/>
          <w:szCs w:val="20"/>
          <w:lang w:val="de-DE"/>
        </w:rPr>
        <w:t xml:space="preserve">CAL Suite mit aktiver Software Assurance Rechte an Folgendem: CAL für Windows Server 2012, Standard-CAL für Exchange Server 2013, </w:t>
      </w:r>
      <w:r w:rsidRPr="00C83DF5">
        <w:rPr>
          <w:color w:val="000000"/>
          <w:lang w:val="de-DE"/>
        </w:rPr>
        <w:t xml:space="preserve">Standard-CAL für Lync Server 2013, Standard-CAL für </w:t>
      </w:r>
      <w:r w:rsidRPr="00C83DF5">
        <w:rPr>
          <w:rFonts w:cs="Tahoma"/>
          <w:color w:val="000000"/>
          <w:szCs w:val="20"/>
          <w:lang w:val="de-DE"/>
        </w:rPr>
        <w:t>SharePoint</w:t>
      </w:r>
      <w:r w:rsidRPr="00C83DF5">
        <w:rPr>
          <w:rFonts w:cs="Tahoma"/>
          <w:szCs w:val="20"/>
          <w:lang w:val="de-DE"/>
        </w:rPr>
        <w:t xml:space="preserve"> Server 2013, Client-Management-Lizenz für System Center 2012 Configuration Manager und System Center 2012 Endpoint Protection</w:t>
      </w:r>
      <w:r w:rsidRPr="00C83DF5">
        <w:rPr>
          <w:rFonts w:cs="Tahoma"/>
          <w:color w:val="000000"/>
          <w:szCs w:val="20"/>
          <w:lang w:val="de-DE"/>
        </w:rPr>
        <w:t>.</w:t>
      </w:r>
      <w:r w:rsidR="00E71F46" w:rsidRPr="00C83DF5">
        <w:rPr>
          <w:rFonts w:cs="Tahoma"/>
          <w:color w:val="000000"/>
          <w:szCs w:val="20"/>
          <w:lang w:val="de-DE"/>
        </w:rPr>
        <w:t xml:space="preserve"> </w:t>
      </w:r>
      <w:r w:rsidRPr="00C83DF5">
        <w:rPr>
          <w:rFonts w:cs="Tahoma"/>
          <w:color w:val="000000"/>
          <w:szCs w:val="18"/>
          <w:lang w:val="de-DE"/>
        </w:rPr>
        <w:t>Eine Lizenz für Core CAL Suite ist eine einzelne Lizenz, die einem einzelnen Nutzer oder Gerät zugewiesen werden muss.</w:t>
      </w:r>
      <w:r w:rsidR="00E71F46" w:rsidRPr="00C83DF5">
        <w:rPr>
          <w:rFonts w:cs="Tahoma"/>
          <w:color w:val="000000"/>
          <w:szCs w:val="18"/>
          <w:lang w:val="de-DE"/>
        </w:rPr>
        <w:t xml:space="preserve"> </w:t>
      </w:r>
      <w:r w:rsidRPr="00C83DF5">
        <w:rPr>
          <w:rFonts w:cs="Tahoma"/>
          <w:color w:val="000000"/>
          <w:szCs w:val="18"/>
          <w:lang w:val="de-DE"/>
        </w:rPr>
        <w:t xml:space="preserve">Wie im Volumenlizenzvertrag dargelegt, dürfen Kunden die Rechte unter Core CAL Suite nicht trennen, um zwei oder mehr Nutzern oder Geräten, den gleichzeitigen Zugriff auf ihre verschiedenen Komponenten zu ermöglichen. </w:t>
      </w:r>
    </w:p>
    <w:p w:rsidR="00023FE7" w:rsidRPr="007025E3" w:rsidRDefault="00023FE7" w:rsidP="001154B5">
      <w:pPr>
        <w:ind w:left="720"/>
        <w:rPr>
          <w:rFonts w:cs="Tahoma"/>
          <w:szCs w:val="20"/>
          <w:lang w:val="de-DE"/>
        </w:rPr>
      </w:pPr>
    </w:p>
    <w:p w:rsidR="00023FE7" w:rsidRPr="00C83DF5" w:rsidRDefault="00023FE7" w:rsidP="00A66BD2">
      <w:pPr>
        <w:spacing w:after="60"/>
        <w:ind w:left="720"/>
        <w:rPr>
          <w:lang w:val="de-DE"/>
        </w:rPr>
      </w:pPr>
      <w:r w:rsidRPr="00C83DF5">
        <w:rPr>
          <w:rFonts w:cs="Tahoma"/>
          <w:b/>
          <w:bCs/>
          <w:color w:val="000000"/>
          <w:szCs w:val="20"/>
          <w:lang w:val="de-DE"/>
        </w:rPr>
        <w:t>CALs für Studenten (Open- und Select-Lizenz für Forschung &amp; Lehre)</w:t>
      </w:r>
    </w:p>
    <w:p w:rsidR="00023FE7" w:rsidRPr="00C83DF5" w:rsidRDefault="00023FE7" w:rsidP="001154B5">
      <w:pPr>
        <w:ind w:left="720"/>
        <w:rPr>
          <w:lang w:val="de-DE"/>
        </w:rPr>
      </w:pPr>
      <w:r w:rsidRPr="00C83DF5">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36063B" w:rsidRPr="007025E3" w:rsidRDefault="0036063B" w:rsidP="008A0B7C">
      <w:pPr>
        <w:ind w:left="720"/>
        <w:rPr>
          <w:rFonts w:cs="Tahoma"/>
          <w:szCs w:val="20"/>
          <w:lang w:val="de-DE"/>
        </w:rPr>
      </w:pPr>
    </w:p>
    <w:p w:rsidR="00285E3D" w:rsidRPr="007025E3" w:rsidRDefault="00285E3D" w:rsidP="008A0B7C">
      <w:pPr>
        <w:ind w:left="720"/>
        <w:rPr>
          <w:rFonts w:cs="Tahoma"/>
          <w:szCs w:val="20"/>
          <w:lang w:val="de-DE"/>
        </w:rPr>
      </w:pPr>
    </w:p>
    <w:p w:rsidR="00B947E4" w:rsidRPr="00C83DF5" w:rsidRDefault="00A560B6" w:rsidP="00416294">
      <w:pPr>
        <w:pStyle w:val="Heading3"/>
        <w:rPr>
          <w:lang w:val="de-DE"/>
        </w:rPr>
      </w:pPr>
      <w:bookmarkStart w:id="1170" w:name="_41_Core_Infrastructure"/>
      <w:bookmarkStart w:id="1171" w:name="_Toc336338296"/>
      <w:bookmarkStart w:id="1172" w:name="Srv_35CoreInfraServerSuiteStd"/>
      <w:bookmarkStart w:id="1173" w:name="Srv_32CoreInfraServerSuiteStd"/>
      <w:bookmarkStart w:id="1174" w:name="Srv_35DynCRMWorkProEnt"/>
      <w:bookmarkStart w:id="1175" w:name="_Toc370983409"/>
      <w:bookmarkEnd w:id="1170"/>
      <w:r w:rsidRPr="00C83DF5">
        <w:rPr>
          <w:rFonts w:ascii="Tahoma" w:hAnsi="Tahoma"/>
          <w:caps/>
          <w:color w:val="F66400"/>
          <w:sz w:val="22"/>
          <w:vertAlign w:val="superscript"/>
          <w:lang w:val="de-DE"/>
        </w:rPr>
        <w:t>41</w:t>
      </w:r>
      <w:r w:rsidRPr="00C83DF5">
        <w:rPr>
          <w:rFonts w:ascii="Tahoma" w:hAnsi="Tahoma"/>
          <w:color w:val="F66400"/>
          <w:sz w:val="22"/>
          <w:lang w:val="de-DE"/>
        </w:rPr>
        <w:t xml:space="preserve"> Core Infrastructure Server Suite Standard</w:t>
      </w:r>
      <w:bookmarkEnd w:id="1171"/>
      <w:bookmarkEnd w:id="1175"/>
    </w:p>
    <w:bookmarkEnd w:id="1172"/>
    <w:bookmarkEnd w:id="1173"/>
    <w:p w:rsidR="004D776B" w:rsidRPr="00C83DF5" w:rsidRDefault="004D776B" w:rsidP="00416294">
      <w:pPr>
        <w:rPr>
          <w:lang w:val="de-DE"/>
        </w:rPr>
      </w:pPr>
    </w:p>
    <w:p w:rsidR="004D776B" w:rsidRPr="00C83DF5" w:rsidRDefault="00A66BD2" w:rsidP="00A66BD2">
      <w:pPr>
        <w:spacing w:after="60"/>
        <w:ind w:left="720"/>
        <w:rPr>
          <w:lang w:val="de-DE"/>
        </w:rPr>
      </w:pPr>
      <w:r w:rsidRPr="00C83DF5">
        <w:rPr>
          <w:rFonts w:eastAsia="Calibri" w:cs="Tahoma"/>
          <w:b/>
          <w:szCs w:val="18"/>
          <w:lang w:val="de-DE"/>
        </w:rPr>
        <w:t>Migration zu Neuem Lizenzmodell</w:t>
      </w:r>
    </w:p>
    <w:p w:rsidR="004D776B" w:rsidRPr="00C83DF5" w:rsidRDefault="004D776B" w:rsidP="008A0B7C">
      <w:pPr>
        <w:ind w:left="720"/>
        <w:rPr>
          <w:lang w:val="de-DE"/>
        </w:rPr>
      </w:pPr>
      <w:r w:rsidRPr="00C83DF5">
        <w:rPr>
          <w:rFonts w:eastAsia="Calibri" w:cs="Tahoma"/>
          <w:szCs w:val="18"/>
          <w:lang w:val="de-DE"/>
        </w:rPr>
        <w:t>Zum 1. April 2012 wurde das Lizenzmodell für CIS geändert. Unter neuen Beitritten, die nach dem 1.</w:t>
      </w:r>
      <w:r w:rsidR="008A0B7C">
        <w:rPr>
          <w:rFonts w:eastAsia="Calibri" w:cs="Tahoma"/>
          <w:szCs w:val="18"/>
          <w:lang w:val="de-DE"/>
        </w:rPr>
        <w:t> </w:t>
      </w:r>
      <w:r w:rsidRPr="00C83DF5">
        <w:rPr>
          <w:rFonts w:eastAsia="Calibri" w:cs="Tahoma"/>
          <w:szCs w:val="18"/>
          <w:lang w:val="de-DE"/>
        </w:rPr>
        <w:t>April 2012 wirksam wurden, erworbene Lizenzen können bis zu zwei physische Prozessoren lizenzieren.</w:t>
      </w:r>
    </w:p>
    <w:p w:rsidR="00A66BD2" w:rsidRPr="00C83DF5" w:rsidRDefault="00A66BD2" w:rsidP="00A66BD2">
      <w:pPr>
        <w:ind w:left="720"/>
        <w:rPr>
          <w:lang w:val="de-DE"/>
        </w:rPr>
      </w:pPr>
    </w:p>
    <w:p w:rsidR="004D776B" w:rsidRPr="00C83DF5" w:rsidRDefault="004D776B" w:rsidP="00A66BD2">
      <w:pPr>
        <w:ind w:left="720"/>
        <w:rPr>
          <w:lang w:val="de-DE"/>
        </w:rPr>
      </w:pPr>
      <w:r w:rsidRPr="00C83DF5">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D776B" w:rsidRPr="00C83DF5" w:rsidRDefault="004D776B" w:rsidP="00A66BD2">
      <w:pPr>
        <w:pStyle w:val="ListParagraph"/>
        <w:contextualSpacing w:val="0"/>
        <w:rPr>
          <w:lang w:val="de-DE"/>
        </w:rPr>
      </w:pPr>
      <w:r w:rsidRPr="00C83DF5">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rsidR="00973A93" w:rsidRPr="007025E3" w:rsidRDefault="00973A93">
      <w:pPr>
        <w:rPr>
          <w:rFonts w:eastAsia="Calibri" w:cs="Tahoma"/>
          <w:b/>
          <w:szCs w:val="18"/>
          <w:lang w:val="de-DE"/>
        </w:rPr>
      </w:pPr>
    </w:p>
    <w:p w:rsidR="004D776B" w:rsidRPr="00C83DF5" w:rsidRDefault="004D776B" w:rsidP="00A66BD2">
      <w:pPr>
        <w:spacing w:after="60"/>
        <w:ind w:left="720"/>
        <w:rPr>
          <w:lang w:val="de-DE"/>
        </w:rPr>
      </w:pPr>
      <w:r w:rsidRPr="00C83DF5">
        <w:rPr>
          <w:rFonts w:eastAsia="Calibri" w:cs="Tahoma"/>
          <w:b/>
          <w:szCs w:val="18"/>
          <w:lang w:val="de-DE"/>
        </w:rPr>
        <w:t>Herausgabe einer Neuen Version von Windows Server</w:t>
      </w:r>
    </w:p>
    <w:p w:rsidR="004D776B" w:rsidRPr="00C83DF5" w:rsidRDefault="004D776B" w:rsidP="00F64964">
      <w:pPr>
        <w:ind w:left="720"/>
        <w:rPr>
          <w:lang w:val="de-DE"/>
        </w:rPr>
      </w:pPr>
      <w:r w:rsidRPr="00C83DF5">
        <w:rPr>
          <w:rFonts w:eastAsia="Calibri" w:cs="Tahoma"/>
          <w:szCs w:val="18"/>
          <w:lang w:val="de-DE"/>
        </w:rPr>
        <w:t>Kunden mit Lizenzen für Core Infrastructure Server Suite Standard,</w:t>
      </w:r>
      <w:r w:rsidR="00F64964">
        <w:rPr>
          <w:rFonts w:eastAsia="Calibri" w:cs="Tahoma"/>
          <w:szCs w:val="18"/>
          <w:lang w:val="de-DE"/>
        </w:rPr>
        <w:t xml:space="preserve"> die zum 1. September 2012 über </w:t>
      </w:r>
      <w:r w:rsidRPr="00C83DF5">
        <w:rPr>
          <w:rFonts w:eastAsia="Calibri" w:cs="Tahoma"/>
          <w:szCs w:val="18"/>
          <w:lang w:val="de-DE"/>
        </w:rPr>
        <w:t>aktive</w:t>
      </w:r>
      <w:r w:rsidR="00F64964">
        <w:rPr>
          <w:rFonts w:eastAsia="Calibri" w:cs="Tahoma"/>
          <w:szCs w:val="18"/>
          <w:lang w:val="de-DE"/>
        </w:rPr>
        <w:t> </w:t>
      </w:r>
      <w:r w:rsidRPr="00C83DF5">
        <w:rPr>
          <w:rFonts w:eastAsia="Calibri" w:cs="Tahoma"/>
          <w:szCs w:val="18"/>
          <w:lang w:val="de-DE"/>
        </w:rPr>
        <w:t>Software Assurance verfügen, sind berechtigt, die folgenden Produkte vorbehaltlich der</w:t>
      </w:r>
      <w:r w:rsidR="00F64964">
        <w:rPr>
          <w:rFonts w:eastAsia="Calibri" w:cs="Tahoma"/>
          <w:szCs w:val="18"/>
          <w:lang w:val="de-DE"/>
        </w:rPr>
        <w:t> </w:t>
      </w:r>
      <w:r w:rsidRPr="00C83DF5">
        <w:rPr>
          <w:rFonts w:eastAsia="Calibri" w:cs="Tahoma"/>
          <w:szCs w:val="18"/>
          <w:lang w:val="de-DE"/>
        </w:rPr>
        <w:t>Produktbenutzungsrechte für Core Infrastructure Server Suite Standard zu nutzen:</w:t>
      </w:r>
    </w:p>
    <w:p w:rsidR="00A66BD2" w:rsidRPr="00F64964" w:rsidRDefault="00A66BD2" w:rsidP="00A66BD2">
      <w:pPr>
        <w:ind w:left="720"/>
        <w:rPr>
          <w:rFonts w:eastAsia="Calibri" w:cs="Tahoma"/>
          <w:szCs w:val="18"/>
          <w:lang w:val="de-DE"/>
        </w:rPr>
      </w:pPr>
    </w:p>
    <w:p w:rsidR="004D776B" w:rsidRPr="00C83DF5" w:rsidRDefault="004D776B" w:rsidP="00346F4B">
      <w:pPr>
        <w:numPr>
          <w:ilvl w:val="0"/>
          <w:numId w:val="23"/>
        </w:numPr>
        <w:tabs>
          <w:tab w:val="left" w:pos="1440"/>
          <w:tab w:val="left" w:pos="3510"/>
        </w:tabs>
        <w:spacing w:after="60"/>
      </w:pPr>
      <w:r w:rsidRPr="00C83DF5">
        <w:rPr>
          <w:rFonts w:eastAsia="Calibri" w:cs="Tahoma"/>
          <w:szCs w:val="18"/>
        </w:rPr>
        <w:t>Windows Server 2012 Standard</w:t>
      </w:r>
    </w:p>
    <w:p w:rsidR="004D776B" w:rsidRPr="00C83DF5" w:rsidRDefault="004D776B" w:rsidP="00346F4B">
      <w:pPr>
        <w:numPr>
          <w:ilvl w:val="0"/>
          <w:numId w:val="23"/>
        </w:numPr>
        <w:tabs>
          <w:tab w:val="left" w:pos="1440"/>
          <w:tab w:val="left" w:pos="3510"/>
        </w:tabs>
        <w:spacing w:after="60"/>
      </w:pPr>
      <w:r w:rsidRPr="00C83DF5">
        <w:rPr>
          <w:rFonts w:eastAsia="Calibri" w:cs="Tahoma"/>
          <w:szCs w:val="18"/>
        </w:rPr>
        <w:t>System Center 2012 Standard</w:t>
      </w:r>
    </w:p>
    <w:p w:rsidR="00A66BD2" w:rsidRPr="00F64964" w:rsidRDefault="00A66BD2" w:rsidP="00A66BD2">
      <w:pPr>
        <w:tabs>
          <w:tab w:val="left" w:pos="1440"/>
          <w:tab w:val="left" w:pos="3510"/>
        </w:tabs>
        <w:rPr>
          <w:rFonts w:eastAsia="Calibri" w:cs="Tahoma"/>
          <w:szCs w:val="18"/>
        </w:rPr>
      </w:pPr>
    </w:p>
    <w:p w:rsidR="004D776B" w:rsidRPr="00C83DF5" w:rsidRDefault="004D776B" w:rsidP="00A66BD2">
      <w:pPr>
        <w:ind w:left="720"/>
        <w:rPr>
          <w:lang w:val="de-DE"/>
        </w:rPr>
      </w:pPr>
      <w:r w:rsidRPr="00C83DF5">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rsidR="00A66BD2" w:rsidRPr="00C83DF5" w:rsidRDefault="00A66BD2" w:rsidP="00A66BD2">
      <w:pPr>
        <w:ind w:left="720"/>
        <w:rPr>
          <w:lang w:val="de-DE"/>
        </w:rPr>
      </w:pPr>
    </w:p>
    <w:p w:rsidR="004D776B" w:rsidRPr="00C83DF5" w:rsidRDefault="004D776B" w:rsidP="00A66BD2">
      <w:pPr>
        <w:spacing w:after="60"/>
        <w:ind w:left="720"/>
        <w:rPr>
          <w:lang w:val="de-DE"/>
        </w:rPr>
      </w:pPr>
      <w:r w:rsidRPr="00C83DF5">
        <w:rPr>
          <w:rFonts w:eastAsia="Calibri" w:cs="Tahoma"/>
          <w:b/>
          <w:szCs w:val="18"/>
          <w:lang w:val="de-DE"/>
        </w:rPr>
        <w:t>Software Assurance-Verlängerungsangebot für Windows Server Standard- und System Center Standard-Kunden sowie Windows Server Enterprise- und System Center Standard-Kunden</w:t>
      </w:r>
    </w:p>
    <w:p w:rsidR="004D776B" w:rsidRPr="00C83DF5" w:rsidRDefault="004D776B" w:rsidP="00F64964">
      <w:pPr>
        <w:ind w:left="720"/>
        <w:rPr>
          <w:lang w:val="de-DE"/>
        </w:rPr>
      </w:pPr>
      <w:r w:rsidRPr="00C83DF5">
        <w:rPr>
          <w:rFonts w:eastAsia="Calibri" w:cs="Tahoma"/>
          <w:szCs w:val="18"/>
          <w:lang w:val="de-DE"/>
        </w:rPr>
        <w:t xml:space="preserve">Kunden, die über Lizenzen mit aktiver Software Assurance für alle Produkte in der nachfolgenden </w:t>
      </w:r>
      <w:r w:rsidR="00F64964">
        <w:rPr>
          <w:rFonts w:eastAsia="Calibri" w:cs="Tahoma"/>
          <w:szCs w:val="18"/>
          <w:lang w:val="de-DE"/>
        </w:rPr>
        <w:br/>
      </w:r>
      <w:r w:rsidRPr="00C83DF5">
        <w:rPr>
          <w:rFonts w:eastAsia="Calibri" w:cs="Tahoma"/>
          <w:szCs w:val="18"/>
          <w:lang w:val="de-DE"/>
        </w:rPr>
        <w:t>Tabelle A verfügen, sind berechtigt, nach Ablauf dieser Software Assurance Software Assurance für</w:t>
      </w:r>
      <w:r w:rsidR="00F64964">
        <w:rPr>
          <w:rFonts w:eastAsia="Calibri" w:cs="Tahoma"/>
          <w:szCs w:val="18"/>
          <w:lang w:val="de-DE"/>
        </w:rPr>
        <w:t> </w:t>
      </w:r>
      <w:r w:rsidRPr="00C83DF5">
        <w:rPr>
          <w:rFonts w:eastAsia="Calibri" w:cs="Tahoma"/>
          <w:szCs w:val="18"/>
          <w:lang w:val="de-DE"/>
        </w:rPr>
        <w:t>Core</w:t>
      </w:r>
      <w:r w:rsidR="00F64964">
        <w:rPr>
          <w:rFonts w:eastAsia="Calibri" w:cs="Tahoma"/>
          <w:szCs w:val="18"/>
          <w:lang w:val="de-DE"/>
        </w:rPr>
        <w:t> </w:t>
      </w:r>
      <w:r w:rsidRPr="00C83DF5">
        <w:rPr>
          <w:rFonts w:eastAsia="Calibri" w:cs="Tahoma"/>
          <w:szCs w:val="18"/>
          <w:lang w:val="de-DE"/>
        </w:rPr>
        <w:t>Infrastructure Server Suite Standard zu erwerben, ohne die zugrunde liegende Lizenz für Core</w:t>
      </w:r>
      <w:r w:rsidR="00F64964">
        <w:rPr>
          <w:rFonts w:eastAsia="Calibri" w:cs="Tahoma"/>
          <w:szCs w:val="18"/>
          <w:lang w:val="de-DE"/>
        </w:rPr>
        <w:t> </w:t>
      </w:r>
      <w:r w:rsidRPr="00C83DF5">
        <w:rPr>
          <w:rFonts w:eastAsia="Calibri" w:cs="Tahoma"/>
          <w:szCs w:val="18"/>
          <w:lang w:val="de-DE"/>
        </w:rPr>
        <w:t>Infrastructure Server Suite Standard zu erwerben.</w:t>
      </w:r>
    </w:p>
    <w:p w:rsidR="00A66BD2" w:rsidRDefault="00A66BD2" w:rsidP="00A66BD2">
      <w:pPr>
        <w:ind w:left="720"/>
        <w:rPr>
          <w:lang w:val="de-DE"/>
        </w:rPr>
      </w:pPr>
    </w:p>
    <w:p w:rsidR="00F64964" w:rsidRDefault="00F64964" w:rsidP="00A66BD2">
      <w:pPr>
        <w:ind w:left="720"/>
        <w:rPr>
          <w:lang w:val="de-DE"/>
        </w:rPr>
      </w:pPr>
    </w:p>
    <w:p w:rsidR="00F64964" w:rsidRPr="00C83DF5" w:rsidRDefault="00F64964" w:rsidP="00A66BD2">
      <w:pPr>
        <w:ind w:left="720"/>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C83DF5"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C83DF5" w:rsidRDefault="004D776B" w:rsidP="007E466C">
            <w:pPr>
              <w:spacing w:before="120" w:after="120" w:line="276" w:lineRule="auto"/>
              <w:ind w:left="-404"/>
              <w:jc w:val="center"/>
              <w:rPr>
                <w:rFonts w:eastAsia="Calibri" w:cs="Tahoma"/>
                <w:b/>
                <w:szCs w:val="18"/>
              </w:rPr>
            </w:pPr>
            <w:r w:rsidRPr="00C83DF5">
              <w:rPr>
                <w:rFonts w:eastAsia="Calibri" w:cs="Tahoma"/>
                <w:b/>
                <w:szCs w:val="18"/>
              </w:rPr>
              <w:lastRenderedPageBreak/>
              <w:t>Tabelle A</w:t>
            </w:r>
          </w:p>
        </w:tc>
      </w:tr>
      <w:tr w:rsidR="004D776B" w:rsidRPr="00C83DF5"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C83DF5" w:rsidRDefault="004D776B" w:rsidP="007E466C">
            <w:pPr>
              <w:spacing w:before="120" w:after="120" w:line="276" w:lineRule="auto"/>
              <w:ind w:left="-404"/>
              <w:jc w:val="center"/>
              <w:rPr>
                <w:rFonts w:eastAsia="Calibri" w:cs="Tahoma"/>
                <w:szCs w:val="18"/>
              </w:rPr>
            </w:pPr>
            <w:r w:rsidRPr="00C83DF5">
              <w:rPr>
                <w:rFonts w:eastAsia="Calibri" w:cs="Tahoma"/>
                <w:szCs w:val="18"/>
              </w:rPr>
              <w:t>Windows Server Standard</w:t>
            </w:r>
          </w:p>
        </w:tc>
      </w:tr>
      <w:tr w:rsidR="004D776B" w:rsidRPr="00C83DF5"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C83DF5" w:rsidRDefault="004D776B" w:rsidP="007E466C">
            <w:pPr>
              <w:spacing w:before="120" w:after="120" w:line="276" w:lineRule="auto"/>
              <w:ind w:left="-404"/>
              <w:jc w:val="center"/>
              <w:rPr>
                <w:rFonts w:eastAsia="Calibri" w:cs="Tahoma"/>
                <w:szCs w:val="18"/>
              </w:rPr>
            </w:pPr>
            <w:r w:rsidRPr="00C83DF5">
              <w:rPr>
                <w:rFonts w:eastAsia="Calibri" w:cs="Tahoma"/>
                <w:szCs w:val="18"/>
              </w:rPr>
              <w:t>System Center Standard</w:t>
            </w:r>
          </w:p>
        </w:tc>
      </w:tr>
    </w:tbl>
    <w:p w:rsidR="00416294" w:rsidRPr="00F64964" w:rsidRDefault="00416294" w:rsidP="00416294">
      <w:pPr>
        <w:ind w:left="547"/>
        <w:rPr>
          <w:rFonts w:eastAsia="Calibri" w:cs="Tahoma"/>
          <w:szCs w:val="18"/>
        </w:rPr>
      </w:pPr>
    </w:p>
    <w:p w:rsidR="004D776B" w:rsidRPr="00C83DF5" w:rsidRDefault="004D776B" w:rsidP="00A66BD2">
      <w:pPr>
        <w:ind w:left="720"/>
        <w:rPr>
          <w:lang w:val="de-DE"/>
        </w:rPr>
      </w:pPr>
      <w:r w:rsidRPr="00C83DF5">
        <w:rPr>
          <w:rFonts w:eastAsia="Calibri" w:cs="Tahoma"/>
          <w:szCs w:val="18"/>
          <w:lang w:val="de-DE"/>
        </w:rPr>
        <w:t xml:space="preserve">Kunden sind berechtigt, für jeden Satz qualifizierender Lizenzen in oben aufgeführter Tabelle A Software Assurance für eine Lizenz von Core Infrastructure Server Suite Standard zu erwerben. </w:t>
      </w:r>
    </w:p>
    <w:p w:rsidR="00A66BD2" w:rsidRPr="007025E3" w:rsidRDefault="00A66BD2" w:rsidP="00A66BD2">
      <w:pPr>
        <w:ind w:left="720"/>
        <w:rPr>
          <w:rFonts w:eastAsia="Calibri" w:cs="Tahoma"/>
          <w:szCs w:val="18"/>
          <w:lang w:val="de-DE"/>
        </w:rPr>
      </w:pPr>
    </w:p>
    <w:p w:rsidR="004D776B" w:rsidRPr="00C83DF5" w:rsidRDefault="004D776B" w:rsidP="00A66BD2">
      <w:pPr>
        <w:ind w:left="720"/>
        <w:rPr>
          <w:lang w:val="de-DE"/>
        </w:rPr>
      </w:pPr>
      <w:r w:rsidRPr="00C83DF5">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rsidR="00A66BD2" w:rsidRPr="007025E3" w:rsidRDefault="00A66BD2" w:rsidP="00A66BD2">
      <w:pPr>
        <w:ind w:left="720"/>
        <w:rPr>
          <w:rFonts w:eastAsia="Calibri" w:cs="Tahoma"/>
          <w:szCs w:val="18"/>
          <w:lang w:val="de-DE"/>
        </w:rPr>
      </w:pPr>
    </w:p>
    <w:p w:rsidR="00A66BD2" w:rsidRPr="00C83DF5" w:rsidRDefault="004D776B" w:rsidP="00A66BD2">
      <w:pPr>
        <w:spacing w:after="60"/>
        <w:ind w:left="720"/>
        <w:rPr>
          <w:lang w:val="de-DE"/>
        </w:rPr>
      </w:pPr>
      <w:r w:rsidRPr="00C83DF5">
        <w:rPr>
          <w:rFonts w:eastAsia="Calibri" w:cs="Tahoma"/>
          <w:b/>
          <w:szCs w:val="18"/>
          <w:lang w:val="de-DE"/>
        </w:rPr>
        <w:t>Step Up von Windows Server Standard oder System Center Standard zu Core Infrastructure Server Suite Standard</w:t>
      </w:r>
    </w:p>
    <w:p w:rsidR="004D776B" w:rsidRPr="00C83DF5" w:rsidRDefault="004D776B" w:rsidP="00A66BD2">
      <w:pPr>
        <w:ind w:left="720"/>
        <w:rPr>
          <w:lang w:val="de-DE"/>
        </w:rPr>
      </w:pPr>
      <w:r w:rsidRPr="00C83DF5">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E71F46" w:rsidRPr="00C83DF5">
        <w:rPr>
          <w:rFonts w:eastAsia="Calibri" w:cs="Tahoma"/>
          <w:szCs w:val="18"/>
          <w:lang w:val="de-DE"/>
        </w:rPr>
        <w:t xml:space="preserve"> </w:t>
      </w:r>
      <w:r w:rsidRPr="00C83DF5">
        <w:rPr>
          <w:rFonts w:eastAsia="Calibri" w:cs="Tahoma"/>
          <w:szCs w:val="18"/>
          <w:lang w:val="de-DE"/>
        </w:rPr>
        <w:t>Um diese Step Up-Lizenz erwerben zu können, müssen die Kunden über eine aktive Software Assurance für ihre Windows Server Standard- oder System Center Standard-Lizenz verfügen.</w:t>
      </w:r>
      <w:r w:rsidR="00E71F46" w:rsidRPr="00C83DF5">
        <w:rPr>
          <w:rFonts w:eastAsia="Calibri" w:cs="Tahoma"/>
          <w:szCs w:val="18"/>
          <w:lang w:val="de-DE"/>
        </w:rPr>
        <w:t xml:space="preserve"> </w:t>
      </w:r>
    </w:p>
    <w:p w:rsidR="00A66BD2" w:rsidRPr="007025E3" w:rsidRDefault="00A66BD2" w:rsidP="00A66BD2">
      <w:pPr>
        <w:ind w:left="720"/>
        <w:rPr>
          <w:rFonts w:eastAsia="Calibri" w:cs="Tahoma"/>
          <w:szCs w:val="18"/>
          <w:lang w:val="de-DE"/>
        </w:rPr>
      </w:pPr>
    </w:p>
    <w:p w:rsidR="004D776B" w:rsidRPr="00C83DF5" w:rsidRDefault="004D776B" w:rsidP="00A66BD2">
      <w:pPr>
        <w:ind w:left="720"/>
        <w:rPr>
          <w:lang w:val="de-DE"/>
        </w:rPr>
      </w:pPr>
      <w:r w:rsidRPr="00C83DF5">
        <w:rPr>
          <w:rFonts w:eastAsia="Calibri" w:cs="Tahoma"/>
          <w:szCs w:val="18"/>
          <w:lang w:val="de-DE"/>
        </w:rPr>
        <w:t>Für jede qualifizierende Windows Server Standard-Lizenz, die der Kunde besitzt, ist der Kunde berechtigt, eine Step Up-Lizenz für Core Infrastructure Server Suite Standard zu erwerben.</w:t>
      </w:r>
    </w:p>
    <w:p w:rsidR="00A66BD2" w:rsidRPr="007025E3" w:rsidRDefault="00A66BD2" w:rsidP="00A66BD2">
      <w:pPr>
        <w:ind w:left="720"/>
        <w:rPr>
          <w:rFonts w:eastAsia="Calibri" w:cs="Tahoma"/>
          <w:szCs w:val="18"/>
          <w:lang w:val="de-DE"/>
        </w:rPr>
      </w:pPr>
    </w:p>
    <w:p w:rsidR="004D776B" w:rsidRPr="00C83DF5" w:rsidRDefault="004D776B" w:rsidP="00A66BD2">
      <w:pPr>
        <w:ind w:left="720"/>
        <w:rPr>
          <w:lang w:val="de-DE"/>
        </w:rPr>
      </w:pPr>
      <w:r w:rsidRPr="00C83DF5">
        <w:rPr>
          <w:rFonts w:eastAsia="Calibri" w:cs="Tahoma"/>
          <w:szCs w:val="18"/>
          <w:lang w:val="de-DE"/>
        </w:rPr>
        <w:t>Für jede qualifizierende System Center Standard-Lizenz, die der Kunde besitzt, ist der Kunde berechtigt, eine Step Up-Lizenz für Core Infrastructure Server Suite Standard zu erwerben.</w:t>
      </w:r>
    </w:p>
    <w:p w:rsidR="00A66BD2" w:rsidRPr="007025E3" w:rsidRDefault="00A66BD2" w:rsidP="00A66BD2">
      <w:pPr>
        <w:ind w:left="720"/>
        <w:rPr>
          <w:rFonts w:eastAsia="Calibri" w:cs="Tahoma"/>
          <w:szCs w:val="18"/>
          <w:lang w:val="de-DE"/>
        </w:rPr>
      </w:pPr>
    </w:p>
    <w:p w:rsidR="004D776B" w:rsidRPr="00C83DF5" w:rsidRDefault="004D776B" w:rsidP="00A66BD2">
      <w:pPr>
        <w:ind w:left="720"/>
        <w:rPr>
          <w:lang w:val="de-DE"/>
        </w:rPr>
      </w:pPr>
      <w:r w:rsidRPr="00C83DF5">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 qualifizierende Produkt erfüllen.</w:t>
      </w:r>
      <w:r w:rsidR="00E71F46" w:rsidRPr="00C83DF5">
        <w:rPr>
          <w:rFonts w:eastAsia="Calibri" w:cs="Tahoma"/>
          <w:szCs w:val="18"/>
          <w:lang w:val="de-DE"/>
        </w:rPr>
        <w:t xml:space="preserve"> </w:t>
      </w:r>
      <w:r w:rsidRPr="00C83DF5">
        <w:rPr>
          <w:rFonts w:eastAsia="Calibri" w:cs="Tahoma"/>
          <w:szCs w:val="18"/>
          <w:lang w:val="de-DE"/>
        </w:rPr>
        <w:t>Die Lizenz für Core Infrastructure Server Suite Standard hat Vorrang vor der und ersetzt die zugrunde liegende Lizenz für das qualifizierende Produkt.</w:t>
      </w:r>
    </w:p>
    <w:p w:rsidR="00A66BD2" w:rsidRPr="007025E3" w:rsidRDefault="00A66BD2" w:rsidP="007E466C">
      <w:pPr>
        <w:rPr>
          <w:rFonts w:eastAsia="Calibri" w:cs="Tahoma"/>
          <w:b/>
          <w:szCs w:val="18"/>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C83DF5" w:rsidTr="001051D1">
        <w:trPr>
          <w:tblHeader/>
        </w:trPr>
        <w:tc>
          <w:tcPr>
            <w:tcW w:w="4140" w:type="dxa"/>
            <w:shd w:val="clear" w:color="auto" w:fill="FABF8F"/>
            <w:tcMar>
              <w:top w:w="0" w:type="dxa"/>
              <w:left w:w="108" w:type="dxa"/>
              <w:bottom w:w="0" w:type="dxa"/>
              <w:right w:w="108" w:type="dxa"/>
            </w:tcMar>
            <w:hideMark/>
          </w:tcPr>
          <w:p w:rsidR="004D776B" w:rsidRPr="00C83DF5" w:rsidRDefault="004D776B" w:rsidP="007E466C">
            <w:pPr>
              <w:spacing w:before="120" w:after="120" w:line="276" w:lineRule="auto"/>
              <w:jc w:val="center"/>
              <w:rPr>
                <w:rFonts w:eastAsia="Calibri" w:cs="Tahoma"/>
                <w:b/>
                <w:szCs w:val="18"/>
              </w:rPr>
            </w:pPr>
            <w:r w:rsidRPr="00C83DF5">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rsidR="004D776B" w:rsidRPr="00C83DF5" w:rsidRDefault="004D776B" w:rsidP="007E466C">
            <w:pPr>
              <w:spacing w:before="120" w:after="120" w:line="276" w:lineRule="auto"/>
              <w:jc w:val="center"/>
              <w:rPr>
                <w:rFonts w:eastAsia="Calibri" w:cs="Tahoma"/>
                <w:b/>
                <w:szCs w:val="18"/>
              </w:rPr>
            </w:pPr>
            <w:r w:rsidRPr="00C83DF5">
              <w:rPr>
                <w:rFonts w:eastAsia="Calibri" w:cs="Tahoma"/>
                <w:b/>
                <w:szCs w:val="18"/>
              </w:rPr>
              <w:t>Step Up zu</w:t>
            </w:r>
          </w:p>
        </w:tc>
      </w:tr>
      <w:tr w:rsidR="004D776B" w:rsidRPr="004D388E" w:rsidTr="001051D1">
        <w:tc>
          <w:tcPr>
            <w:tcW w:w="4140" w:type="dxa"/>
            <w:tcMar>
              <w:top w:w="0" w:type="dxa"/>
              <w:left w:w="108" w:type="dxa"/>
              <w:bottom w:w="0" w:type="dxa"/>
              <w:right w:w="108" w:type="dxa"/>
            </w:tcMar>
            <w:hideMark/>
          </w:tcPr>
          <w:p w:rsidR="004D776B" w:rsidRPr="00C83DF5" w:rsidRDefault="004D776B" w:rsidP="007E466C">
            <w:pPr>
              <w:spacing w:before="120" w:after="120" w:line="276" w:lineRule="auto"/>
              <w:rPr>
                <w:rFonts w:eastAsia="Calibri" w:cs="Tahoma"/>
                <w:szCs w:val="18"/>
              </w:rPr>
            </w:pPr>
            <w:r w:rsidRPr="00C83DF5">
              <w:rPr>
                <w:rFonts w:eastAsia="Calibri" w:cs="Tahoma"/>
                <w:szCs w:val="18"/>
              </w:rPr>
              <w:t>Windows Server Standard</w:t>
            </w:r>
          </w:p>
        </w:tc>
        <w:tc>
          <w:tcPr>
            <w:tcW w:w="4050" w:type="dxa"/>
            <w:tcMar>
              <w:top w:w="0" w:type="dxa"/>
              <w:left w:w="108" w:type="dxa"/>
              <w:bottom w:w="0" w:type="dxa"/>
              <w:right w:w="108" w:type="dxa"/>
            </w:tcMar>
            <w:hideMark/>
          </w:tcPr>
          <w:p w:rsidR="004D776B" w:rsidRPr="00C83DF5" w:rsidRDefault="004D776B" w:rsidP="007E466C">
            <w:pPr>
              <w:spacing w:before="120" w:after="120" w:line="276" w:lineRule="auto"/>
              <w:rPr>
                <w:rFonts w:eastAsia="Calibri" w:cs="Tahoma"/>
                <w:szCs w:val="18"/>
                <w:lang w:val="fr-FR"/>
              </w:rPr>
            </w:pPr>
            <w:r w:rsidRPr="00C83DF5">
              <w:rPr>
                <w:rFonts w:eastAsia="Calibri" w:cs="Tahoma"/>
                <w:szCs w:val="18"/>
                <w:lang w:val="fr-FR"/>
              </w:rPr>
              <w:t>Core Infrastructure Server Suite Standard</w:t>
            </w:r>
          </w:p>
        </w:tc>
      </w:tr>
      <w:tr w:rsidR="004D776B" w:rsidRPr="004D388E" w:rsidTr="001051D1">
        <w:tc>
          <w:tcPr>
            <w:tcW w:w="4140" w:type="dxa"/>
            <w:tcMar>
              <w:top w:w="0" w:type="dxa"/>
              <w:left w:w="108" w:type="dxa"/>
              <w:bottom w:w="0" w:type="dxa"/>
              <w:right w:w="108" w:type="dxa"/>
            </w:tcMar>
          </w:tcPr>
          <w:p w:rsidR="004D776B" w:rsidRPr="00C83DF5" w:rsidRDefault="004D776B" w:rsidP="00026546">
            <w:pPr>
              <w:spacing w:before="120" w:after="120" w:line="276" w:lineRule="auto"/>
              <w:rPr>
                <w:rFonts w:eastAsia="Calibri" w:cs="Tahoma"/>
                <w:szCs w:val="18"/>
              </w:rPr>
            </w:pPr>
            <w:r w:rsidRPr="00C83DF5">
              <w:rPr>
                <w:rFonts w:eastAsia="Calibri" w:cs="Tahoma"/>
                <w:szCs w:val="18"/>
              </w:rPr>
              <w:t>System Center Standard</w:t>
            </w:r>
          </w:p>
        </w:tc>
        <w:tc>
          <w:tcPr>
            <w:tcW w:w="4050" w:type="dxa"/>
            <w:tcMar>
              <w:top w:w="0" w:type="dxa"/>
              <w:left w:w="108" w:type="dxa"/>
              <w:bottom w:w="0" w:type="dxa"/>
              <w:right w:w="108" w:type="dxa"/>
            </w:tcMar>
          </w:tcPr>
          <w:p w:rsidR="004D776B" w:rsidRPr="00C83DF5" w:rsidRDefault="004D776B" w:rsidP="00026546">
            <w:pPr>
              <w:spacing w:before="120" w:after="120" w:line="276" w:lineRule="auto"/>
              <w:rPr>
                <w:rFonts w:eastAsia="Calibri" w:cs="Tahoma"/>
                <w:szCs w:val="18"/>
                <w:lang w:val="fr-FR"/>
              </w:rPr>
            </w:pPr>
            <w:r w:rsidRPr="00C83DF5">
              <w:rPr>
                <w:rFonts w:eastAsia="Calibri" w:cs="Tahoma"/>
                <w:szCs w:val="18"/>
                <w:lang w:val="fr-FR"/>
              </w:rPr>
              <w:t>Core Infrastructure Server Suite Standard</w:t>
            </w:r>
          </w:p>
        </w:tc>
      </w:tr>
    </w:tbl>
    <w:p w:rsidR="004D776B" w:rsidRPr="001C0A36" w:rsidRDefault="004D776B" w:rsidP="00A66BD2">
      <w:pPr>
        <w:rPr>
          <w:rFonts w:eastAsia="Calibri" w:cs="Tahoma"/>
          <w:szCs w:val="18"/>
          <w:lang w:val="fr-FR"/>
        </w:rPr>
      </w:pPr>
    </w:p>
    <w:p w:rsidR="00BF1889" w:rsidRPr="001C0A36" w:rsidRDefault="00BF1889" w:rsidP="00A66BD2">
      <w:pPr>
        <w:rPr>
          <w:rFonts w:eastAsia="Calibri" w:cs="Tahoma"/>
          <w:szCs w:val="18"/>
          <w:lang w:val="fr-FR"/>
        </w:rPr>
      </w:pPr>
    </w:p>
    <w:p w:rsidR="00B947E4" w:rsidRPr="00C83DF5" w:rsidRDefault="00A560B6" w:rsidP="00B947E4">
      <w:pPr>
        <w:pStyle w:val="Heading3"/>
        <w:rPr>
          <w:lang w:val="de-DE"/>
        </w:rPr>
      </w:pPr>
      <w:bookmarkStart w:id="1176" w:name="_38_Core_Infrastructure"/>
      <w:bookmarkStart w:id="1177" w:name="_42_Core_Infrastructure"/>
      <w:bookmarkStart w:id="1178" w:name="_Toc336338297"/>
      <w:bookmarkStart w:id="1179" w:name="Srv_36CoreInfraServerSuiteEnt"/>
      <w:bookmarkStart w:id="1180" w:name="Srv_33CoreInfrastructureSvrSuiteEnt"/>
      <w:bookmarkStart w:id="1181" w:name="_Toc370983410"/>
      <w:bookmarkEnd w:id="1176"/>
      <w:bookmarkEnd w:id="1177"/>
      <w:r w:rsidRPr="00C83DF5">
        <w:rPr>
          <w:rFonts w:ascii="Tahoma" w:hAnsi="Tahoma"/>
          <w:caps/>
          <w:color w:val="F66400"/>
          <w:sz w:val="22"/>
          <w:vertAlign w:val="superscript"/>
          <w:lang w:val="de-DE"/>
        </w:rPr>
        <w:t>42</w:t>
      </w:r>
      <w:r w:rsidRPr="00C83DF5">
        <w:rPr>
          <w:rFonts w:ascii="Tahoma" w:hAnsi="Tahoma"/>
          <w:color w:val="F66400"/>
          <w:sz w:val="22"/>
          <w:lang w:val="de-DE"/>
        </w:rPr>
        <w:t xml:space="preserve"> Core Infrastructure Server Suite Enterprise</w:t>
      </w:r>
      <w:bookmarkEnd w:id="1178"/>
      <w:bookmarkEnd w:id="1181"/>
    </w:p>
    <w:p w:rsidR="000A297A" w:rsidRPr="007025E3" w:rsidRDefault="000A297A" w:rsidP="00A66BD2">
      <w:pPr>
        <w:rPr>
          <w:lang w:val="de-DE"/>
        </w:rPr>
      </w:pPr>
    </w:p>
    <w:bookmarkEnd w:id="1179"/>
    <w:bookmarkEnd w:id="1180"/>
    <w:p w:rsidR="00B947E4" w:rsidRPr="00C83DF5" w:rsidRDefault="001E68E2" w:rsidP="001C0A36">
      <w:pPr>
        <w:ind w:left="720"/>
        <w:rPr>
          <w:lang w:val="de-DE"/>
        </w:rPr>
      </w:pPr>
      <w:r w:rsidRPr="00C83DF5">
        <w:rPr>
          <w:rFonts w:eastAsia="Calibri" w:cs="Tahoma"/>
          <w:szCs w:val="18"/>
          <w:lang w:val="de-DE"/>
        </w:rPr>
        <w:t>Mit Wirkung vom 1. April 2012 stellt Microsoft Core Infrastructure Server Suite Enterprise ein. Core</w:t>
      </w:r>
      <w:r w:rsidR="001C0A36">
        <w:rPr>
          <w:rFonts w:eastAsia="Calibri" w:cs="Tahoma"/>
          <w:szCs w:val="18"/>
          <w:lang w:val="de-DE"/>
        </w:rPr>
        <w:t> </w:t>
      </w:r>
      <w:r w:rsidRPr="00C83DF5">
        <w:rPr>
          <w:rFonts w:eastAsia="Calibri" w:cs="Tahoma"/>
          <w:szCs w:val="18"/>
          <w:lang w:val="de-DE"/>
        </w:rPr>
        <w:t>Infrastructure Server Suite Enterprise-Kunden, die am 1. April 2012 über aktive Software Assurance verfügen, sind für jede Lizenz für Core Infrastructure Server Suite Enterprise mit Software Assurance, die</w:t>
      </w:r>
      <w:r w:rsidR="001C0A36">
        <w:rPr>
          <w:rFonts w:eastAsia="Calibri" w:cs="Tahoma"/>
          <w:szCs w:val="18"/>
          <w:lang w:val="de-DE"/>
        </w:rPr>
        <w:t> </w:t>
      </w:r>
      <w:r w:rsidRPr="00C83DF5">
        <w:rPr>
          <w:rFonts w:eastAsia="Calibri" w:cs="Tahoma"/>
          <w:szCs w:val="18"/>
          <w:lang w:val="de-DE"/>
        </w:rPr>
        <w:t>sie</w:t>
      </w:r>
      <w:r w:rsidR="001C0A36">
        <w:rPr>
          <w:rFonts w:eastAsia="Calibri" w:cs="Tahoma"/>
          <w:szCs w:val="18"/>
          <w:lang w:val="de-DE"/>
        </w:rPr>
        <w:t> </w:t>
      </w:r>
      <w:r w:rsidRPr="00C83DF5">
        <w:rPr>
          <w:rFonts w:eastAsia="Calibri" w:cs="Tahoma"/>
          <w:szCs w:val="18"/>
          <w:lang w:val="de-DE"/>
        </w:rPr>
        <w:t>an dem Datum besitzen, zu einer Lizenz für Core Infrastructure Server Standard berechtigt.</w:t>
      </w:r>
      <w:r w:rsidR="00E71F46" w:rsidRPr="00C83DF5">
        <w:rPr>
          <w:rFonts w:eastAsia="Calibri" w:cs="Tahoma"/>
          <w:szCs w:val="18"/>
          <w:lang w:val="de-DE"/>
        </w:rPr>
        <w:t xml:space="preserve"> </w:t>
      </w:r>
      <w:r w:rsidRPr="00C83DF5">
        <w:rPr>
          <w:rFonts w:eastAsia="Calibri" w:cs="Tahoma"/>
          <w:szCs w:val="18"/>
          <w:lang w:val="de-DE"/>
        </w:rPr>
        <w:t>Lizenzen</w:t>
      </w:r>
      <w:r w:rsidR="001C0A36">
        <w:rPr>
          <w:rFonts w:eastAsia="Calibri" w:cs="Tahoma"/>
          <w:szCs w:val="18"/>
          <w:lang w:val="de-DE"/>
        </w:rPr>
        <w:t> </w:t>
      </w:r>
      <w:r w:rsidRPr="00C83DF5">
        <w:rPr>
          <w:rFonts w:eastAsia="Calibri" w:cs="Tahoma"/>
          <w:szCs w:val="18"/>
          <w:lang w:val="de-DE"/>
        </w:rPr>
        <w:t>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w:t>
      </w:r>
      <w:r w:rsidR="001C0A36">
        <w:rPr>
          <w:rFonts w:eastAsia="Calibri" w:cs="Tahoma"/>
          <w:szCs w:val="18"/>
          <w:lang w:val="de-DE"/>
        </w:rPr>
        <w:t> </w:t>
      </w:r>
      <w:r w:rsidRPr="00C83DF5">
        <w:rPr>
          <w:rFonts w:eastAsia="Calibri" w:cs="Tahoma"/>
          <w:szCs w:val="18"/>
          <w:lang w:val="de-DE"/>
        </w:rPr>
        <w:t>unter diesem Angebot verwenden, können Software unter ihren qualifizierenden Lizenzen nicht mehr nutzen.</w:t>
      </w:r>
      <w:r w:rsidR="00E71F46" w:rsidRPr="00C83DF5">
        <w:rPr>
          <w:rFonts w:eastAsia="Calibri" w:cs="Tahoma"/>
          <w:szCs w:val="18"/>
          <w:lang w:val="de-DE"/>
        </w:rPr>
        <w:t xml:space="preserve"> </w:t>
      </w:r>
      <w:r w:rsidRPr="00C83DF5">
        <w:rPr>
          <w:rFonts w:eastAsia="Calibri" w:cs="Tahoma"/>
          <w:szCs w:val="18"/>
          <w:lang w:val="de-DE"/>
        </w:rPr>
        <w:t>Dieser Produkthinweis und die Dokumentation der qualifizierenden Lizenzen des Kunden belegt sein Recht, Core Infrastructure Server Suite Standard unter diesem Angebot zu verwenden.</w:t>
      </w:r>
      <w:r w:rsidR="00E71F46" w:rsidRPr="00C83DF5">
        <w:rPr>
          <w:rFonts w:eastAsia="Calibri" w:cs="Tahoma"/>
          <w:szCs w:val="18"/>
          <w:lang w:val="de-DE"/>
        </w:rPr>
        <w:t xml:space="preserve"> </w:t>
      </w:r>
      <w:r w:rsidRPr="00C83DF5">
        <w:rPr>
          <w:rFonts w:eastAsia="Calibri" w:cs="Tahoma"/>
          <w:szCs w:val="18"/>
          <w:lang w:val="de-DE"/>
        </w:rPr>
        <w:t>Dieses</w:t>
      </w:r>
      <w:r w:rsidR="001C0A36">
        <w:rPr>
          <w:rFonts w:eastAsia="Calibri" w:cs="Tahoma"/>
          <w:szCs w:val="18"/>
          <w:lang w:val="de-DE"/>
        </w:rPr>
        <w:t> </w:t>
      </w:r>
      <w:r w:rsidRPr="00C83DF5">
        <w:rPr>
          <w:rFonts w:eastAsia="Calibri" w:cs="Tahoma"/>
          <w:szCs w:val="18"/>
          <w:lang w:val="de-DE"/>
        </w:rPr>
        <w:t>Recht endet mit Ab</w:t>
      </w:r>
      <w:bookmarkStart w:id="1182" w:name="Srv_34CoreInfraSvrSuiteDatacenter"/>
      <w:r w:rsidRPr="00C83DF5">
        <w:rPr>
          <w:rFonts w:eastAsia="Calibri" w:cs="Tahoma"/>
          <w:szCs w:val="18"/>
          <w:lang w:val="de-DE"/>
        </w:rPr>
        <w:t>lauf der qualifizierenden Lizenzen.</w:t>
      </w:r>
    </w:p>
    <w:p w:rsidR="00285E3D" w:rsidRPr="00C83DF5" w:rsidRDefault="00285E3D" w:rsidP="00A66BD2">
      <w:pPr>
        <w:rPr>
          <w:lang w:val="de-DE"/>
        </w:rPr>
      </w:pPr>
    </w:p>
    <w:p w:rsidR="00A66BD2" w:rsidRPr="00C83DF5" w:rsidRDefault="00A66BD2" w:rsidP="00A66BD2">
      <w:pPr>
        <w:rPr>
          <w:lang w:val="de-DE"/>
        </w:rPr>
      </w:pPr>
    </w:p>
    <w:p w:rsidR="00B947E4" w:rsidRPr="00C83DF5" w:rsidRDefault="00A560B6" w:rsidP="00B947E4">
      <w:pPr>
        <w:pStyle w:val="Heading3"/>
        <w:rPr>
          <w:lang w:val="de-DE"/>
        </w:rPr>
      </w:pPr>
      <w:bookmarkStart w:id="1183" w:name="_39_Core_Infrastructure"/>
      <w:bookmarkStart w:id="1184" w:name="_43_Core_Infrastructure"/>
      <w:bookmarkStart w:id="1185" w:name="_Toc336338298"/>
      <w:bookmarkStart w:id="1186" w:name="Srv_37CoreInfraServerSuiteData"/>
      <w:bookmarkStart w:id="1187" w:name="_Toc370983411"/>
      <w:bookmarkEnd w:id="1183"/>
      <w:bookmarkEnd w:id="1184"/>
      <w:r w:rsidRPr="00C83DF5">
        <w:rPr>
          <w:rFonts w:ascii="Tahoma" w:hAnsi="Tahoma"/>
          <w:caps/>
          <w:color w:val="F66400"/>
          <w:sz w:val="22"/>
          <w:vertAlign w:val="superscript"/>
          <w:lang w:val="de-DE"/>
        </w:rPr>
        <w:lastRenderedPageBreak/>
        <w:t>43</w:t>
      </w:r>
      <w:r w:rsidRPr="00C83DF5">
        <w:rPr>
          <w:rFonts w:ascii="Tahoma" w:hAnsi="Tahoma"/>
          <w:color w:val="F66400"/>
          <w:sz w:val="22"/>
          <w:lang w:val="de-DE"/>
        </w:rPr>
        <w:t xml:space="preserve"> Core Infrastructure Server Suite Datacenter</w:t>
      </w:r>
      <w:bookmarkEnd w:id="1182"/>
      <w:bookmarkEnd w:id="1185"/>
      <w:bookmarkEnd w:id="1187"/>
    </w:p>
    <w:bookmarkEnd w:id="1186"/>
    <w:p w:rsidR="00B947E4" w:rsidRPr="00C83DF5" w:rsidRDefault="00B947E4" w:rsidP="00B947E4">
      <w:pPr>
        <w:rPr>
          <w:lang w:val="de-DE"/>
        </w:rPr>
      </w:pPr>
    </w:p>
    <w:p w:rsidR="004D776B" w:rsidRPr="00C83DF5" w:rsidRDefault="004D776B" w:rsidP="00A66BD2">
      <w:pPr>
        <w:spacing w:after="60"/>
        <w:ind w:left="720"/>
        <w:rPr>
          <w:lang w:val="de-DE"/>
        </w:rPr>
      </w:pPr>
      <w:r w:rsidRPr="00C83DF5">
        <w:rPr>
          <w:rFonts w:eastAsia="Calibri" w:cs="Tahoma"/>
          <w:b/>
          <w:szCs w:val="18"/>
          <w:lang w:val="de-DE"/>
        </w:rPr>
        <w:t>Migration zu Neuer Lizenzmethodik</w:t>
      </w:r>
    </w:p>
    <w:p w:rsidR="004D776B" w:rsidRPr="00C83DF5" w:rsidRDefault="004D776B" w:rsidP="006C3191">
      <w:pPr>
        <w:ind w:left="720"/>
        <w:rPr>
          <w:lang w:val="de-DE"/>
        </w:rPr>
      </w:pPr>
      <w:r w:rsidRPr="00C83DF5">
        <w:rPr>
          <w:rFonts w:eastAsia="Calibri" w:cs="Tahoma"/>
          <w:szCs w:val="18"/>
          <w:lang w:val="de-DE"/>
        </w:rPr>
        <w:t>Zum 1. April 2012 wurde das Lizenzmodell für CIS geändert. Unter neuen Beitritten, die nach dem 1.</w:t>
      </w:r>
      <w:r w:rsidR="006C3191">
        <w:rPr>
          <w:rFonts w:eastAsia="Calibri" w:cs="Tahoma"/>
          <w:szCs w:val="18"/>
          <w:lang w:val="de-DE"/>
        </w:rPr>
        <w:t> </w:t>
      </w:r>
      <w:r w:rsidRPr="00C83DF5">
        <w:rPr>
          <w:rFonts w:eastAsia="Calibri" w:cs="Tahoma"/>
          <w:szCs w:val="18"/>
          <w:lang w:val="de-DE"/>
        </w:rPr>
        <w:t>April 2012 wirksam wurden, erworbene Lizenzen können bis zu zwei physische Prozessoren lizenzieren.</w:t>
      </w:r>
    </w:p>
    <w:p w:rsidR="00A66BD2" w:rsidRPr="00C83DF5" w:rsidRDefault="00A66BD2" w:rsidP="00A66BD2">
      <w:pPr>
        <w:ind w:left="720"/>
        <w:rPr>
          <w:lang w:val="de-DE"/>
        </w:rPr>
      </w:pPr>
    </w:p>
    <w:p w:rsidR="004D776B" w:rsidRPr="00C83DF5" w:rsidRDefault="004D776B" w:rsidP="00A66BD2">
      <w:pPr>
        <w:ind w:left="720"/>
        <w:rPr>
          <w:lang w:val="de-DE"/>
        </w:rPr>
      </w:pPr>
      <w:r w:rsidRPr="00C83DF5">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A66BD2" w:rsidRPr="00C83DF5" w:rsidRDefault="00A66BD2" w:rsidP="00A66BD2">
      <w:pPr>
        <w:ind w:left="720"/>
        <w:rPr>
          <w:lang w:val="de-DE"/>
        </w:rPr>
      </w:pPr>
    </w:p>
    <w:p w:rsidR="004D776B" w:rsidRPr="00C83DF5" w:rsidRDefault="004D776B" w:rsidP="00A66BD2">
      <w:pPr>
        <w:pStyle w:val="ListParagraph"/>
        <w:contextualSpacing w:val="0"/>
        <w:rPr>
          <w:lang w:val="de-DE"/>
        </w:rPr>
      </w:pPr>
      <w:r w:rsidRPr="00C83DF5">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rsidR="00857EF7" w:rsidRPr="00C83DF5" w:rsidRDefault="00857EF7" w:rsidP="00A66BD2">
      <w:pPr>
        <w:ind w:left="720"/>
        <w:rPr>
          <w:lang w:val="de-DE"/>
        </w:rPr>
      </w:pPr>
    </w:p>
    <w:p w:rsidR="004D776B" w:rsidRPr="00C83DF5" w:rsidRDefault="004D776B" w:rsidP="007B35CE">
      <w:pPr>
        <w:keepNext/>
        <w:spacing w:after="60"/>
        <w:ind w:left="720"/>
        <w:rPr>
          <w:lang w:val="de-DE"/>
        </w:rPr>
      </w:pPr>
      <w:r w:rsidRPr="00C83DF5">
        <w:rPr>
          <w:rFonts w:eastAsia="Calibri" w:cs="Tahoma"/>
          <w:b/>
          <w:szCs w:val="18"/>
          <w:lang w:val="de-DE"/>
        </w:rPr>
        <w:t>Herausgabe einer Neuen Version von Windows Server</w:t>
      </w:r>
    </w:p>
    <w:p w:rsidR="004D776B" w:rsidRPr="00C83DF5" w:rsidRDefault="004D776B" w:rsidP="003E789C">
      <w:pPr>
        <w:ind w:left="720"/>
        <w:rPr>
          <w:lang w:val="de-DE"/>
        </w:rPr>
      </w:pPr>
      <w:r w:rsidRPr="00C83DF5">
        <w:rPr>
          <w:rFonts w:eastAsia="Calibri" w:cs="Tahoma"/>
          <w:szCs w:val="18"/>
          <w:lang w:val="de-DE"/>
        </w:rPr>
        <w:t>Kunden mit Lizenzen für Core Infrastructure Server Suite Datacenter, die zum 1. September 2012 über</w:t>
      </w:r>
      <w:r w:rsidR="003E789C">
        <w:rPr>
          <w:rFonts w:eastAsia="Calibri" w:cs="Tahoma"/>
          <w:szCs w:val="18"/>
          <w:lang w:val="de-DE"/>
        </w:rPr>
        <w:t> </w:t>
      </w:r>
      <w:r w:rsidRPr="00C83DF5">
        <w:rPr>
          <w:rFonts w:eastAsia="Calibri" w:cs="Tahoma"/>
          <w:szCs w:val="18"/>
          <w:lang w:val="de-DE"/>
        </w:rPr>
        <w:t>aktive Software Assurance verfügen, sind berechtigt, die folgenden Produkte vorbehaltlich der Produktbenutzungsrechte für Core Infrastructure Server Suite Datacenter zu nutzen:</w:t>
      </w:r>
    </w:p>
    <w:p w:rsidR="00857EF7" w:rsidRPr="003E789C" w:rsidRDefault="00857EF7" w:rsidP="00A66BD2">
      <w:pPr>
        <w:ind w:left="720"/>
        <w:rPr>
          <w:rFonts w:eastAsia="Calibri" w:cs="Tahoma"/>
          <w:szCs w:val="18"/>
          <w:lang w:val="de-DE"/>
        </w:rPr>
      </w:pPr>
    </w:p>
    <w:p w:rsidR="004D776B" w:rsidRPr="00C83DF5" w:rsidRDefault="004D776B" w:rsidP="00346F4B">
      <w:pPr>
        <w:numPr>
          <w:ilvl w:val="0"/>
          <w:numId w:val="115"/>
        </w:numPr>
        <w:spacing w:after="60"/>
        <w:ind w:left="1440"/>
      </w:pPr>
      <w:r w:rsidRPr="00C83DF5">
        <w:rPr>
          <w:rFonts w:eastAsia="Calibri" w:cs="Tahoma"/>
          <w:szCs w:val="18"/>
        </w:rPr>
        <w:t>Windows Server 2012 Datacenter</w:t>
      </w:r>
    </w:p>
    <w:p w:rsidR="004D776B" w:rsidRPr="00C83DF5" w:rsidRDefault="004D776B" w:rsidP="00346F4B">
      <w:pPr>
        <w:numPr>
          <w:ilvl w:val="0"/>
          <w:numId w:val="115"/>
        </w:numPr>
        <w:spacing w:after="60"/>
        <w:ind w:left="1440"/>
      </w:pPr>
      <w:r w:rsidRPr="00C83DF5">
        <w:rPr>
          <w:rFonts w:eastAsia="Calibri" w:cs="Tahoma"/>
          <w:szCs w:val="18"/>
        </w:rPr>
        <w:t>System Center 2012 Datacenter</w:t>
      </w:r>
    </w:p>
    <w:p w:rsidR="00D57009" w:rsidRPr="00C83DF5" w:rsidRDefault="00D57009"/>
    <w:p w:rsidR="004D776B" w:rsidRPr="00C83DF5" w:rsidRDefault="004D776B" w:rsidP="00857EF7">
      <w:pPr>
        <w:spacing w:after="60"/>
        <w:ind w:left="720"/>
        <w:rPr>
          <w:lang w:val="de-DE"/>
        </w:rPr>
      </w:pPr>
      <w:r w:rsidRPr="00C83DF5">
        <w:rPr>
          <w:rFonts w:eastAsia="Calibri" w:cs="Tahoma"/>
          <w:b/>
          <w:szCs w:val="18"/>
          <w:lang w:val="de-DE"/>
        </w:rPr>
        <w:t>Software Assurance-Verlängerungsangebot für Windows Server Datacenter- und System Center Datacenter-Kunden</w:t>
      </w:r>
    </w:p>
    <w:p w:rsidR="004D776B" w:rsidRPr="00C83DF5" w:rsidRDefault="004D776B" w:rsidP="003E789C">
      <w:pPr>
        <w:ind w:left="720"/>
        <w:rPr>
          <w:lang w:val="de-DE"/>
        </w:rPr>
      </w:pPr>
      <w:r w:rsidRPr="00C83DF5">
        <w:rPr>
          <w:rFonts w:eastAsia="Calibri" w:cs="Tahoma"/>
          <w:szCs w:val="18"/>
          <w:lang w:val="de-DE"/>
        </w:rPr>
        <w:t xml:space="preserve">Kunden, die über Lizenzen mit aktiver Software Assurance für alle Produkte in der nachfolgenden </w:t>
      </w:r>
      <w:r w:rsidR="003E789C">
        <w:rPr>
          <w:rFonts w:eastAsia="Calibri" w:cs="Tahoma"/>
          <w:szCs w:val="18"/>
          <w:lang w:val="de-DE"/>
        </w:rPr>
        <w:br/>
      </w:r>
      <w:r w:rsidRPr="00C83DF5">
        <w:rPr>
          <w:rFonts w:eastAsia="Calibri" w:cs="Tahoma"/>
          <w:szCs w:val="18"/>
          <w:lang w:val="de-DE"/>
        </w:rPr>
        <w:t>Tabelle C verfügen, sind berechtigt, nach Ablauf dieser Software Assurance Software Assurance für Core</w:t>
      </w:r>
      <w:r w:rsidR="003E789C">
        <w:rPr>
          <w:rFonts w:eastAsia="Calibri" w:cs="Tahoma"/>
          <w:szCs w:val="18"/>
          <w:lang w:val="de-DE"/>
        </w:rPr>
        <w:t> </w:t>
      </w:r>
      <w:r w:rsidRPr="00C83DF5">
        <w:rPr>
          <w:rFonts w:eastAsia="Calibri" w:cs="Tahoma"/>
          <w:szCs w:val="18"/>
          <w:lang w:val="de-DE"/>
        </w:rPr>
        <w:t>Infrastructure Server Suite Datacenter zu erwerben, ohne die zugrunde liegenden Lizenzen für Core</w:t>
      </w:r>
      <w:r w:rsidR="003E789C">
        <w:rPr>
          <w:rFonts w:eastAsia="Calibri" w:cs="Tahoma"/>
          <w:szCs w:val="18"/>
          <w:lang w:val="de-DE"/>
        </w:rPr>
        <w:t> </w:t>
      </w:r>
      <w:r w:rsidRPr="00C83DF5">
        <w:rPr>
          <w:rFonts w:eastAsia="Calibri" w:cs="Tahoma"/>
          <w:szCs w:val="18"/>
          <w:lang w:val="de-DE"/>
        </w:rPr>
        <w:t>Infrastructure Server Suite Datacenter zu erwerben.</w:t>
      </w:r>
    </w:p>
    <w:p w:rsidR="00857EF7" w:rsidRPr="00C83DF5" w:rsidRDefault="00857EF7" w:rsidP="00A66BD2">
      <w:pPr>
        <w:ind w:left="720"/>
        <w:rPr>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C83DF5"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C83DF5" w:rsidRDefault="004D776B" w:rsidP="00026546">
            <w:pPr>
              <w:keepNext/>
              <w:tabs>
                <w:tab w:val="left" w:pos="3120"/>
                <w:tab w:val="center" w:pos="3591"/>
              </w:tabs>
              <w:spacing w:before="120" w:after="120" w:line="276" w:lineRule="auto"/>
              <w:jc w:val="center"/>
              <w:rPr>
                <w:rFonts w:eastAsia="Calibri" w:cs="Tahoma"/>
                <w:b/>
                <w:szCs w:val="18"/>
              </w:rPr>
            </w:pPr>
            <w:r w:rsidRPr="00C83DF5">
              <w:rPr>
                <w:rFonts w:eastAsia="Calibri" w:cs="Tahoma"/>
                <w:b/>
                <w:szCs w:val="18"/>
              </w:rPr>
              <w:t>Tabelle C</w:t>
            </w:r>
          </w:p>
        </w:tc>
      </w:tr>
      <w:tr w:rsidR="004D776B" w:rsidRPr="00C83DF5"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C83DF5" w:rsidRDefault="004D776B" w:rsidP="00026546">
            <w:pPr>
              <w:keepNext/>
              <w:tabs>
                <w:tab w:val="left" w:pos="3120"/>
                <w:tab w:val="center" w:pos="3591"/>
              </w:tabs>
              <w:spacing w:before="120" w:after="120" w:line="276" w:lineRule="auto"/>
              <w:jc w:val="center"/>
              <w:rPr>
                <w:rFonts w:eastAsia="Calibri" w:cs="Tahoma"/>
                <w:b/>
                <w:szCs w:val="18"/>
              </w:rPr>
            </w:pPr>
            <w:r w:rsidRPr="00C83DF5">
              <w:rPr>
                <w:rFonts w:eastAsia="Calibri" w:cs="Tahoma"/>
                <w:b/>
                <w:szCs w:val="18"/>
              </w:rPr>
              <w:t>Windows Server Datacenter</w:t>
            </w:r>
          </w:p>
        </w:tc>
      </w:tr>
      <w:tr w:rsidR="004D776B" w:rsidRPr="00C83DF5"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C83DF5" w:rsidRDefault="004D776B" w:rsidP="00026546">
            <w:pPr>
              <w:keepNext/>
              <w:tabs>
                <w:tab w:val="left" w:pos="3120"/>
                <w:tab w:val="center" w:pos="3591"/>
              </w:tabs>
              <w:spacing w:before="120" w:after="120" w:line="276" w:lineRule="auto"/>
              <w:jc w:val="center"/>
              <w:rPr>
                <w:rFonts w:eastAsia="Calibri" w:cs="Tahoma"/>
                <w:b/>
                <w:szCs w:val="18"/>
              </w:rPr>
            </w:pPr>
            <w:r w:rsidRPr="00C83DF5">
              <w:rPr>
                <w:rFonts w:eastAsia="Calibri" w:cs="Tahoma"/>
                <w:b/>
                <w:szCs w:val="18"/>
              </w:rPr>
              <w:t>System Center Datacenter</w:t>
            </w:r>
          </w:p>
        </w:tc>
      </w:tr>
    </w:tbl>
    <w:p w:rsidR="00416294" w:rsidRPr="00406130" w:rsidRDefault="00416294" w:rsidP="00416294">
      <w:pPr>
        <w:ind w:left="547"/>
        <w:rPr>
          <w:rFonts w:eastAsia="Calibri" w:cs="Tahoma"/>
          <w:color w:val="000000"/>
          <w:szCs w:val="18"/>
        </w:rPr>
      </w:pPr>
    </w:p>
    <w:p w:rsidR="004D776B" w:rsidRPr="00C83DF5" w:rsidRDefault="004D776B" w:rsidP="006C3191">
      <w:pPr>
        <w:ind w:left="720"/>
        <w:rPr>
          <w:lang w:val="de-DE"/>
        </w:rPr>
      </w:pPr>
      <w:r w:rsidRPr="00C83DF5">
        <w:rPr>
          <w:rFonts w:eastAsia="Calibri" w:cs="Tahoma"/>
          <w:color w:val="000000"/>
          <w:szCs w:val="18"/>
        </w:rPr>
        <w:t>Kunden sind berechtigt, für jede Kombination aus einer qualifizierenden Windows Server Datacenter-Lizenz und einer qualifizierende System Center Datacenter-Lizenzen Software Assurance für eine Lizenz von Core</w:t>
      </w:r>
      <w:r w:rsidR="006C3191">
        <w:rPr>
          <w:rFonts w:eastAsia="Calibri" w:cs="Tahoma"/>
          <w:color w:val="000000"/>
          <w:szCs w:val="18"/>
        </w:rPr>
        <w:t> </w:t>
      </w:r>
      <w:r w:rsidRPr="00C83DF5">
        <w:rPr>
          <w:rFonts w:eastAsia="Calibri" w:cs="Tahoma"/>
          <w:color w:val="000000"/>
          <w:szCs w:val="18"/>
        </w:rPr>
        <w:t xml:space="preserve">Infrastructure Server Suite Datacenter zu erwerben. </w:t>
      </w:r>
      <w:r w:rsidRPr="00C83DF5">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rsidR="00973A93" w:rsidRPr="007025E3" w:rsidRDefault="00973A93" w:rsidP="0050116B">
      <w:pPr>
        <w:ind w:left="540"/>
        <w:rPr>
          <w:rFonts w:eastAsia="Calibri" w:cs="Tahoma"/>
          <w:szCs w:val="18"/>
          <w:lang w:val="de-DE"/>
        </w:rPr>
      </w:pPr>
    </w:p>
    <w:p w:rsidR="004D776B" w:rsidRPr="00C83DF5" w:rsidRDefault="004D776B" w:rsidP="00857EF7">
      <w:pPr>
        <w:spacing w:after="60"/>
        <w:ind w:left="720"/>
        <w:rPr>
          <w:lang w:val="de-DE"/>
        </w:rPr>
      </w:pPr>
      <w:r w:rsidRPr="00C83DF5">
        <w:rPr>
          <w:rFonts w:eastAsia="Calibri" w:cs="Tahoma"/>
          <w:b/>
          <w:szCs w:val="18"/>
          <w:lang w:val="de-DE"/>
        </w:rPr>
        <w:t>Step Up von Windows Server Datacenter oder System Center Datacenter zu Core Infrastructure Server Suite Datacenter</w:t>
      </w:r>
    </w:p>
    <w:p w:rsidR="004D776B" w:rsidRPr="00C83DF5" w:rsidRDefault="004D776B" w:rsidP="00C64100">
      <w:pPr>
        <w:ind w:left="720"/>
        <w:rPr>
          <w:lang w:val="de-DE"/>
        </w:rPr>
      </w:pPr>
      <w:r w:rsidRPr="00C83DF5">
        <w:rPr>
          <w:rFonts w:eastAsia="Calibri" w:cs="Tahoma"/>
          <w:szCs w:val="18"/>
          <w:lang w:val="de-DE"/>
        </w:rPr>
        <w:t>Kunden sind berechtigt, ein Step Up von Windows Server Datacenter oder System Center Datacenter zu Core Infrastructure Server Suite Datacenter durchzuführen, indem sie die entsprechende Step Up-Lizenz für</w:t>
      </w:r>
      <w:r w:rsidR="00716403">
        <w:rPr>
          <w:rFonts w:eastAsia="Calibri" w:cs="Tahoma"/>
          <w:szCs w:val="18"/>
          <w:lang w:val="de-DE"/>
        </w:rPr>
        <w:t> </w:t>
      </w:r>
      <w:r w:rsidRPr="00C83DF5">
        <w:rPr>
          <w:rFonts w:eastAsia="Calibri" w:cs="Tahoma"/>
          <w:szCs w:val="18"/>
          <w:lang w:val="de-DE"/>
        </w:rPr>
        <w:t>Core Infrastructure Server Suite Datacenter erwerben.</w:t>
      </w:r>
      <w:r w:rsidR="00E71F46" w:rsidRPr="00C83DF5">
        <w:rPr>
          <w:rFonts w:eastAsia="Calibri" w:cs="Tahoma"/>
          <w:szCs w:val="18"/>
          <w:lang w:val="de-DE"/>
        </w:rPr>
        <w:t xml:space="preserve"> </w:t>
      </w:r>
      <w:r w:rsidRPr="00C83DF5">
        <w:rPr>
          <w:rFonts w:eastAsia="Calibri" w:cs="Tahoma"/>
          <w:szCs w:val="18"/>
          <w:lang w:val="de-DE"/>
        </w:rPr>
        <w:t>Um diese Step Up-Lizenz erwerben zu können, müssen die Kunden über eine aktive Software Assurance für ihre Windows Server Datacenter- oder System</w:t>
      </w:r>
      <w:r w:rsidR="00C64100">
        <w:rPr>
          <w:rFonts w:eastAsia="Calibri" w:cs="Tahoma"/>
          <w:szCs w:val="18"/>
          <w:lang w:val="de-DE"/>
        </w:rPr>
        <w:t> </w:t>
      </w:r>
      <w:r w:rsidRPr="00C83DF5">
        <w:rPr>
          <w:rFonts w:eastAsia="Calibri" w:cs="Tahoma"/>
          <w:szCs w:val="18"/>
          <w:lang w:val="de-DE"/>
        </w:rPr>
        <w:t xml:space="preserve">Center Datacenter-Lizenz verfügen. </w:t>
      </w:r>
    </w:p>
    <w:p w:rsidR="00857EF7" w:rsidRPr="007025E3" w:rsidRDefault="00857EF7" w:rsidP="00857EF7">
      <w:pPr>
        <w:ind w:left="720"/>
        <w:rPr>
          <w:rFonts w:eastAsia="Calibri" w:cs="Tahoma"/>
          <w:szCs w:val="18"/>
          <w:lang w:val="de-DE"/>
        </w:rPr>
      </w:pPr>
    </w:p>
    <w:p w:rsidR="004D776B" w:rsidRPr="00C83DF5" w:rsidRDefault="004D776B" w:rsidP="00857EF7">
      <w:pPr>
        <w:ind w:left="720"/>
        <w:rPr>
          <w:lang w:val="de-DE"/>
        </w:rPr>
      </w:pPr>
      <w:r w:rsidRPr="00C83DF5">
        <w:rPr>
          <w:rFonts w:eastAsia="Calibri" w:cs="Tahoma"/>
          <w:szCs w:val="18"/>
          <w:lang w:val="de-DE"/>
        </w:rPr>
        <w:t>Für jede qualifizierende Lizenz für Windows Server Datacenter, die der Kunde besitzt, ist der Kunde berechtigt, eine Step Up-Lizenz für Core Infrastructure Server Suite Datacenter zu erwerben.</w:t>
      </w:r>
      <w:r w:rsidR="00E71F46" w:rsidRPr="00C83DF5">
        <w:rPr>
          <w:rFonts w:eastAsia="Calibri" w:cs="Tahoma"/>
          <w:szCs w:val="18"/>
          <w:lang w:val="de-DE"/>
        </w:rPr>
        <w:t xml:space="preserve"> </w:t>
      </w:r>
    </w:p>
    <w:p w:rsidR="00857EF7" w:rsidRPr="00C83DF5" w:rsidRDefault="00857EF7" w:rsidP="00857EF7">
      <w:pPr>
        <w:ind w:left="720"/>
        <w:rPr>
          <w:lang w:val="de-DE"/>
        </w:rPr>
      </w:pPr>
    </w:p>
    <w:p w:rsidR="004D776B" w:rsidRPr="00C83DF5" w:rsidRDefault="004D776B" w:rsidP="00857EF7">
      <w:pPr>
        <w:ind w:left="720"/>
        <w:rPr>
          <w:lang w:val="de-DE"/>
        </w:rPr>
      </w:pPr>
      <w:r w:rsidRPr="00C83DF5">
        <w:rPr>
          <w:rFonts w:eastAsia="Calibri" w:cs="Tahoma"/>
          <w:szCs w:val="18"/>
          <w:lang w:val="de-DE"/>
        </w:rPr>
        <w:lastRenderedPageBreak/>
        <w:t>Für jede qualifizierende Lizenz für System Center Datacenter, die der Kunde besitzt, ist der Kunde berechtigt, eine Step Up-Lizenz für Core Infrastructure Server Suite Datacenter zu erwerben.</w:t>
      </w:r>
      <w:r w:rsidR="00E71F46" w:rsidRPr="00C83DF5">
        <w:rPr>
          <w:rFonts w:eastAsia="Calibri" w:cs="Tahoma"/>
          <w:szCs w:val="18"/>
          <w:lang w:val="de-DE"/>
        </w:rPr>
        <w:t xml:space="preserve"> </w:t>
      </w:r>
    </w:p>
    <w:p w:rsidR="00857EF7" w:rsidRPr="00C83DF5" w:rsidRDefault="00857EF7" w:rsidP="00857EF7">
      <w:pPr>
        <w:ind w:left="720"/>
        <w:rPr>
          <w:lang w:val="de-DE"/>
        </w:rPr>
      </w:pPr>
    </w:p>
    <w:p w:rsidR="004D776B" w:rsidRPr="00C83DF5" w:rsidRDefault="004D776B" w:rsidP="00857EF7">
      <w:pPr>
        <w:ind w:left="720"/>
        <w:rPr>
          <w:lang w:val="de-DE"/>
        </w:rPr>
      </w:pPr>
      <w:r w:rsidRPr="00C83DF5">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 das qualifizierende Produkt erfüllen.</w:t>
      </w:r>
      <w:r w:rsidR="00E71F46" w:rsidRPr="00C83DF5">
        <w:rPr>
          <w:rFonts w:eastAsia="Calibri" w:cs="Tahoma"/>
          <w:szCs w:val="18"/>
          <w:lang w:val="de-DE"/>
        </w:rPr>
        <w:t xml:space="preserve"> </w:t>
      </w:r>
      <w:r w:rsidRPr="00C83DF5">
        <w:rPr>
          <w:rFonts w:eastAsia="Calibri" w:cs="Tahoma"/>
          <w:szCs w:val="18"/>
          <w:lang w:val="de-DE"/>
        </w:rPr>
        <w:t>Die Lizenz für Core Infrastructure Server Suite Datacenter hat Vorrang vor der und ersetzt die zugrunde liegende Lizenz für das qualifizierende Produkt.</w:t>
      </w:r>
    </w:p>
    <w:p w:rsidR="00857EF7" w:rsidRPr="00C83DF5" w:rsidRDefault="00857EF7" w:rsidP="00857EF7">
      <w:pPr>
        <w:ind w:left="720"/>
        <w:rPr>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C83DF5" w:rsidTr="00C066F9">
        <w:trPr>
          <w:tblHeader/>
        </w:trPr>
        <w:tc>
          <w:tcPr>
            <w:tcW w:w="3870" w:type="dxa"/>
            <w:shd w:val="clear" w:color="auto" w:fill="FABF8F"/>
            <w:tcMar>
              <w:top w:w="0" w:type="dxa"/>
              <w:left w:w="108" w:type="dxa"/>
              <w:bottom w:w="0" w:type="dxa"/>
              <w:right w:w="108" w:type="dxa"/>
            </w:tcMar>
            <w:vAlign w:val="center"/>
            <w:hideMark/>
          </w:tcPr>
          <w:p w:rsidR="004D776B" w:rsidRPr="00C83DF5" w:rsidRDefault="004D776B" w:rsidP="007E466C">
            <w:pPr>
              <w:spacing w:before="120" w:after="120" w:line="276" w:lineRule="auto"/>
              <w:jc w:val="center"/>
              <w:rPr>
                <w:rFonts w:eastAsia="Calibri" w:cs="Tahoma"/>
                <w:b/>
                <w:szCs w:val="18"/>
              </w:rPr>
            </w:pPr>
            <w:r w:rsidRPr="00C83DF5">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rsidR="004D776B" w:rsidRPr="00C83DF5" w:rsidRDefault="004D776B" w:rsidP="007E466C">
            <w:pPr>
              <w:spacing w:before="120" w:after="120" w:line="276" w:lineRule="auto"/>
              <w:jc w:val="center"/>
              <w:rPr>
                <w:rFonts w:eastAsia="Calibri" w:cs="Tahoma"/>
                <w:b/>
                <w:szCs w:val="18"/>
              </w:rPr>
            </w:pPr>
            <w:r w:rsidRPr="00C83DF5">
              <w:rPr>
                <w:rFonts w:eastAsia="Calibri" w:cs="Tahoma"/>
                <w:b/>
                <w:szCs w:val="18"/>
              </w:rPr>
              <w:t>Step Up zu</w:t>
            </w:r>
          </w:p>
        </w:tc>
      </w:tr>
      <w:tr w:rsidR="004D776B" w:rsidRPr="004D388E" w:rsidTr="001051D1">
        <w:tc>
          <w:tcPr>
            <w:tcW w:w="3870" w:type="dxa"/>
            <w:tcMar>
              <w:top w:w="0" w:type="dxa"/>
              <w:left w:w="108" w:type="dxa"/>
              <w:bottom w:w="0" w:type="dxa"/>
              <w:right w:w="108" w:type="dxa"/>
            </w:tcMar>
            <w:hideMark/>
          </w:tcPr>
          <w:p w:rsidR="004D776B" w:rsidRPr="00C83DF5" w:rsidRDefault="004D776B" w:rsidP="007E466C">
            <w:pPr>
              <w:spacing w:before="120" w:after="120" w:line="276" w:lineRule="auto"/>
              <w:rPr>
                <w:rFonts w:eastAsia="Calibri" w:cs="Tahoma"/>
                <w:szCs w:val="18"/>
              </w:rPr>
            </w:pPr>
            <w:r w:rsidRPr="00C83DF5">
              <w:rPr>
                <w:rFonts w:eastAsia="Calibri" w:cs="Tahoma"/>
                <w:szCs w:val="18"/>
              </w:rPr>
              <w:t>Windows Server Datacenter</w:t>
            </w:r>
          </w:p>
        </w:tc>
        <w:tc>
          <w:tcPr>
            <w:tcW w:w="3870" w:type="dxa"/>
            <w:tcMar>
              <w:top w:w="0" w:type="dxa"/>
              <w:left w:w="108" w:type="dxa"/>
              <w:bottom w:w="0" w:type="dxa"/>
              <w:right w:w="108" w:type="dxa"/>
            </w:tcMar>
            <w:hideMark/>
          </w:tcPr>
          <w:p w:rsidR="004D776B" w:rsidRPr="00C83DF5" w:rsidRDefault="004D776B" w:rsidP="007E466C">
            <w:pPr>
              <w:spacing w:before="120" w:after="120" w:line="276" w:lineRule="auto"/>
              <w:rPr>
                <w:rFonts w:eastAsia="Calibri" w:cs="Tahoma"/>
                <w:szCs w:val="18"/>
                <w:lang w:val="fr-FR"/>
              </w:rPr>
            </w:pPr>
            <w:r w:rsidRPr="00C83DF5">
              <w:rPr>
                <w:rFonts w:eastAsia="Calibri" w:cs="Tahoma"/>
                <w:szCs w:val="18"/>
                <w:lang w:val="fr-FR"/>
              </w:rPr>
              <w:t>Core Infrastructure Server Suite Datacenter</w:t>
            </w:r>
          </w:p>
        </w:tc>
      </w:tr>
      <w:tr w:rsidR="004D776B" w:rsidRPr="004D388E" w:rsidTr="001051D1">
        <w:tc>
          <w:tcPr>
            <w:tcW w:w="3870" w:type="dxa"/>
            <w:tcMar>
              <w:top w:w="0" w:type="dxa"/>
              <w:left w:w="108" w:type="dxa"/>
              <w:bottom w:w="0" w:type="dxa"/>
              <w:right w:w="108" w:type="dxa"/>
            </w:tcMar>
          </w:tcPr>
          <w:p w:rsidR="004D776B" w:rsidRPr="00C83DF5" w:rsidRDefault="004D776B" w:rsidP="007E466C">
            <w:pPr>
              <w:spacing w:before="120" w:after="120" w:line="276" w:lineRule="auto"/>
              <w:rPr>
                <w:rFonts w:eastAsia="Calibri" w:cs="Tahoma"/>
                <w:szCs w:val="18"/>
              </w:rPr>
            </w:pPr>
            <w:r w:rsidRPr="00C83DF5">
              <w:rPr>
                <w:rFonts w:eastAsia="Calibri" w:cs="Tahoma"/>
                <w:szCs w:val="18"/>
              </w:rPr>
              <w:t>System Center Datacenter</w:t>
            </w:r>
          </w:p>
        </w:tc>
        <w:tc>
          <w:tcPr>
            <w:tcW w:w="3870" w:type="dxa"/>
            <w:tcMar>
              <w:top w:w="0" w:type="dxa"/>
              <w:left w:w="108" w:type="dxa"/>
              <w:bottom w:w="0" w:type="dxa"/>
              <w:right w:w="108" w:type="dxa"/>
            </w:tcMar>
          </w:tcPr>
          <w:p w:rsidR="004D776B" w:rsidRPr="00C83DF5" w:rsidRDefault="004D776B" w:rsidP="007E466C">
            <w:pPr>
              <w:spacing w:before="120" w:after="120" w:line="276" w:lineRule="auto"/>
              <w:rPr>
                <w:rFonts w:eastAsia="Calibri" w:cs="Tahoma"/>
                <w:szCs w:val="18"/>
                <w:lang w:val="fr-FR"/>
              </w:rPr>
            </w:pPr>
            <w:r w:rsidRPr="00C83DF5">
              <w:rPr>
                <w:rFonts w:eastAsia="Calibri" w:cs="Tahoma"/>
                <w:szCs w:val="18"/>
                <w:lang w:val="fr-FR"/>
              </w:rPr>
              <w:t>Core Infrastructure Server Suite Datacenter</w:t>
            </w:r>
          </w:p>
        </w:tc>
      </w:tr>
    </w:tbl>
    <w:p w:rsidR="00BC62D4" w:rsidRPr="00C83DF5" w:rsidRDefault="00BC62D4" w:rsidP="00857EF7">
      <w:pPr>
        <w:ind w:left="907"/>
        <w:rPr>
          <w:lang w:val="fr-FR"/>
        </w:rPr>
      </w:pPr>
      <w:bookmarkStart w:id="1188" w:name="Srv_38DynCRMWorkProEnt"/>
    </w:p>
    <w:p w:rsidR="00E03856" w:rsidRPr="00C83DF5" w:rsidRDefault="00E03856" w:rsidP="00857EF7">
      <w:pPr>
        <w:ind w:left="907"/>
        <w:rPr>
          <w:lang w:val="fr-FR"/>
        </w:rPr>
      </w:pPr>
    </w:p>
    <w:p w:rsidR="00F66FB0" w:rsidRPr="00767765" w:rsidRDefault="00A560B6" w:rsidP="007B35CE">
      <w:pPr>
        <w:pStyle w:val="Heading2"/>
        <w:keepNext/>
        <w:ind w:left="0"/>
        <w:rPr>
          <w:lang w:val="de-DE"/>
        </w:rPr>
      </w:pPr>
      <w:bookmarkStart w:id="1189" w:name="_44_Duet_Enterprise"/>
      <w:bookmarkStart w:id="1190" w:name="Srv_38DynamicsCRMOnline"/>
      <w:bookmarkStart w:id="1191" w:name="Srv_37DynamicsCRMOnline"/>
      <w:bookmarkStart w:id="1192" w:name="Srv_37EntCALSuite"/>
      <w:bookmarkStart w:id="1193" w:name="_Toc370983412"/>
      <w:bookmarkEnd w:id="1174"/>
      <w:bookmarkEnd w:id="1188"/>
      <w:bookmarkEnd w:id="1189"/>
      <w:r w:rsidRPr="00767765">
        <w:rPr>
          <w:rFonts w:ascii="Tahoma" w:eastAsia="Times New Roman" w:hAnsi="Tahoma" w:cs="Tahoma"/>
          <w:caps/>
          <w:color w:val="FA6500"/>
          <w:sz w:val="22"/>
          <w:szCs w:val="22"/>
          <w:vertAlign w:val="superscript"/>
          <w:lang w:val="de-DE"/>
        </w:rPr>
        <w:t>44</w:t>
      </w:r>
      <w:r w:rsidRPr="00767765">
        <w:rPr>
          <w:rFonts w:ascii="Tahoma" w:eastAsia="Times New Roman" w:hAnsi="Tahoma" w:cs="Tahoma"/>
          <w:caps/>
          <w:color w:val="FA6500"/>
          <w:sz w:val="22"/>
          <w:szCs w:val="22"/>
          <w:lang w:val="de-DE"/>
        </w:rPr>
        <w:t xml:space="preserve"> </w:t>
      </w:r>
      <w:r w:rsidRPr="00767765">
        <w:rPr>
          <w:rFonts w:ascii="Tahoma" w:eastAsia="Times New Roman" w:hAnsi="Tahoma" w:cs="Tahoma"/>
          <w:color w:val="FA6500"/>
          <w:sz w:val="22"/>
          <w:szCs w:val="22"/>
          <w:lang w:val="de-DE"/>
        </w:rPr>
        <w:t>Duet Enterprise 2.0</w:t>
      </w:r>
      <w:bookmarkEnd w:id="1193"/>
    </w:p>
    <w:p w:rsidR="00F66FB0" w:rsidRPr="00767765" w:rsidRDefault="00AD6873" w:rsidP="007B35CE">
      <w:pPr>
        <w:keepNext/>
        <w:ind w:left="720"/>
        <w:rPr>
          <w:lang w:val="de-DE"/>
        </w:rPr>
      </w:pPr>
      <w:r w:rsidRPr="00767765">
        <w:rPr>
          <w:rFonts w:cs="Tahoma"/>
          <w:lang w:val="de-DE"/>
        </w:rPr>
        <w:t xml:space="preserve"> </w:t>
      </w:r>
    </w:p>
    <w:p w:rsidR="00F66FB0" w:rsidRPr="00C83DF5" w:rsidRDefault="00F66FB0" w:rsidP="00F66FB0">
      <w:pPr>
        <w:ind w:left="720"/>
        <w:rPr>
          <w:lang w:val="de-DE"/>
        </w:rPr>
      </w:pPr>
      <w:r w:rsidRPr="00767765">
        <w:rPr>
          <w:color w:val="000000"/>
          <w:lang w:val="de-DE"/>
        </w:rPr>
        <w:t xml:space="preserve">Duet Enterprise 2.0 stellt die neueste Version von Duet Enterprise für Microsoft SharePoint und SAP 1.0 dar. </w:t>
      </w:r>
      <w:r w:rsidRPr="00C83DF5">
        <w:rPr>
          <w:color w:val="000000"/>
          <w:lang w:val="de-DE"/>
        </w:rPr>
        <w:t>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rsidR="00F66FB0" w:rsidRPr="007025E3" w:rsidRDefault="00AD6873" w:rsidP="00F66FB0">
      <w:pPr>
        <w:rPr>
          <w:color w:val="000000"/>
          <w:lang w:val="de-DE"/>
        </w:rPr>
      </w:pPr>
      <w:r w:rsidRPr="00C83DF5">
        <w:rPr>
          <w:color w:val="000000"/>
          <w:lang w:val="de-DE"/>
        </w:rPr>
        <w:t xml:space="preserve"> </w:t>
      </w:r>
    </w:p>
    <w:p w:rsidR="00F66FB0" w:rsidRPr="00C83DF5" w:rsidRDefault="00F66FB0" w:rsidP="00F66FB0">
      <w:pPr>
        <w:ind w:left="720"/>
        <w:rPr>
          <w:lang w:val="de-DE"/>
        </w:rPr>
      </w:pPr>
      <w:r w:rsidRPr="00C83DF5">
        <w:rPr>
          <w:color w:val="000000"/>
          <w:u w:val="single"/>
          <w:lang w:val="de-DE"/>
        </w:rPr>
        <w:t>Bezug von Duet Enterprise 2.0</w:t>
      </w:r>
    </w:p>
    <w:p w:rsidR="00F66FB0" w:rsidRPr="00C83DF5" w:rsidRDefault="00F66FB0" w:rsidP="001178CC">
      <w:pPr>
        <w:ind w:left="720"/>
        <w:rPr>
          <w:lang w:val="de-DE"/>
        </w:rPr>
      </w:pPr>
      <w:r w:rsidRPr="00C83DF5">
        <w:rPr>
          <w:color w:val="000000"/>
          <w:lang w:val="de-DE"/>
        </w:rPr>
        <w:t>Duet Enterprise 2.0 steht im Center für Volumenlizenz-Services nicht zur Verfügung. Bestehende Kunden mit</w:t>
      </w:r>
      <w:r w:rsidR="001178CC">
        <w:rPr>
          <w:color w:val="000000"/>
          <w:lang w:val="de-DE"/>
        </w:rPr>
        <w:t> </w:t>
      </w:r>
      <w:r w:rsidRPr="00C83DF5">
        <w:rPr>
          <w:color w:val="000000"/>
          <w:lang w:val="de-DE"/>
        </w:rPr>
        <w:t>Anrecht auf Duet Enterprise 2.0 erhalten gesonderte Benachrichtigungen, in denen erklärt wird, wie</w:t>
      </w:r>
      <w:r w:rsidR="001178CC">
        <w:rPr>
          <w:color w:val="000000"/>
          <w:lang w:val="de-DE"/>
        </w:rPr>
        <w:t> </w:t>
      </w:r>
      <w:r w:rsidRPr="00C83DF5">
        <w:rPr>
          <w:color w:val="000000"/>
          <w:lang w:val="de-DE"/>
        </w:rPr>
        <w:t>die</w:t>
      </w:r>
      <w:r w:rsidR="001178CC">
        <w:rPr>
          <w:color w:val="000000"/>
          <w:lang w:val="de-DE"/>
        </w:rPr>
        <w:t> </w:t>
      </w:r>
      <w:r w:rsidRPr="00C83DF5">
        <w:rPr>
          <w:color w:val="000000"/>
          <w:lang w:val="de-DE"/>
        </w:rPr>
        <w:t>Software über Microsoft Connect bezogen werden kann.</w:t>
      </w:r>
    </w:p>
    <w:p w:rsidR="00857EF7" w:rsidRPr="00C83DF5" w:rsidRDefault="00857EF7" w:rsidP="00857EF7">
      <w:pPr>
        <w:rPr>
          <w:lang w:val="de-DE"/>
        </w:rPr>
      </w:pPr>
    </w:p>
    <w:p w:rsidR="0054609D" w:rsidRPr="00C83DF5" w:rsidRDefault="0054609D" w:rsidP="00101859">
      <w:pPr>
        <w:rPr>
          <w:lang w:val="de-DE"/>
        </w:rPr>
      </w:pPr>
      <w:bookmarkStart w:id="1194" w:name="_40_Dynamics_CRM"/>
      <w:bookmarkStart w:id="1195" w:name="_40_39_Dynamics"/>
      <w:bookmarkStart w:id="1196" w:name="_4240_Dynamics_CRM"/>
      <w:bookmarkStart w:id="1197" w:name="_45_Microsoft_Dynamics"/>
      <w:bookmarkStart w:id="1198" w:name="_41_Duet_Enterprise"/>
      <w:bookmarkStart w:id="1199" w:name="Srv_45EntCALBridgeWinIntune"/>
      <w:bookmarkStart w:id="1200" w:name="Srv_38EntCALSuite"/>
      <w:bookmarkEnd w:id="1190"/>
      <w:bookmarkEnd w:id="1191"/>
      <w:bookmarkEnd w:id="1194"/>
      <w:bookmarkEnd w:id="1195"/>
      <w:bookmarkEnd w:id="1196"/>
      <w:bookmarkEnd w:id="1197"/>
      <w:bookmarkEnd w:id="1198"/>
    </w:p>
    <w:p w:rsidR="00162A93" w:rsidRPr="00C83DF5" w:rsidRDefault="00A560B6" w:rsidP="00872A28">
      <w:pPr>
        <w:pStyle w:val="Heading3"/>
        <w:ind w:left="243" w:hanging="243"/>
        <w:rPr>
          <w:lang w:val="de-DE"/>
        </w:rPr>
      </w:pPr>
      <w:bookmarkStart w:id="1201" w:name="_41_Enterprise_CAL"/>
      <w:bookmarkStart w:id="1202" w:name="_46_Enterprise_CAL"/>
      <w:bookmarkStart w:id="1203" w:name="_45_Enterprise_CAL"/>
      <w:bookmarkStart w:id="1204" w:name="_Toc336338303"/>
      <w:bookmarkStart w:id="1205" w:name="_Toc370983413"/>
      <w:bookmarkEnd w:id="1201"/>
      <w:bookmarkEnd w:id="1202"/>
      <w:bookmarkEnd w:id="1203"/>
      <w:r w:rsidRPr="00C83DF5">
        <w:rPr>
          <w:rFonts w:ascii="Tahoma" w:hAnsi="Tahoma" w:cs="Tahoma"/>
          <w:caps/>
          <w:color w:val="F66400"/>
          <w:sz w:val="22"/>
          <w:vertAlign w:val="superscript"/>
          <w:lang w:val="de-DE"/>
        </w:rPr>
        <w:t>45</w:t>
      </w:r>
      <w:r w:rsidRPr="006D51D8">
        <w:rPr>
          <w:rFonts w:ascii="Tahoma" w:hAnsi="Tahoma" w:cs="Tahoma"/>
          <w:caps/>
          <w:color w:val="F66400"/>
          <w:sz w:val="22"/>
          <w:lang w:val="de-DE"/>
        </w:rPr>
        <w:t xml:space="preserve"> </w:t>
      </w:r>
      <w:r w:rsidRPr="00C83DF5">
        <w:rPr>
          <w:rFonts w:ascii="Tahoma" w:hAnsi="Tahoma"/>
          <w:color w:val="F66400"/>
          <w:sz w:val="22"/>
          <w:lang w:val="de-DE"/>
        </w:rPr>
        <w:t>Enterprise CAL Suite Bridge für Office 365, Enterprise CAL Suite Bridge für</w:t>
      </w:r>
      <w:r w:rsidR="00136635">
        <w:rPr>
          <w:rFonts w:ascii="Tahoma" w:hAnsi="Tahoma"/>
          <w:color w:val="F66400"/>
          <w:sz w:val="22"/>
          <w:lang w:val="de-DE"/>
        </w:rPr>
        <w:t> </w:t>
      </w:r>
      <w:r w:rsidRPr="00C83DF5">
        <w:rPr>
          <w:rFonts w:ascii="Tahoma" w:hAnsi="Tahoma"/>
          <w:color w:val="F66400"/>
          <w:sz w:val="22"/>
          <w:lang w:val="de-DE"/>
        </w:rPr>
        <w:t>Office</w:t>
      </w:r>
      <w:r w:rsidR="00136635">
        <w:rPr>
          <w:rFonts w:ascii="Tahoma" w:hAnsi="Tahoma"/>
          <w:color w:val="F66400"/>
          <w:sz w:val="22"/>
          <w:lang w:val="de-DE"/>
        </w:rPr>
        <w:t> </w:t>
      </w:r>
      <w:r w:rsidRPr="00C83DF5">
        <w:rPr>
          <w:rFonts w:ascii="Tahoma" w:hAnsi="Tahoma"/>
          <w:color w:val="F66400"/>
          <w:sz w:val="22"/>
          <w:lang w:val="de-DE"/>
        </w:rPr>
        <w:t>365 und Windows Intune und Enterprise CAL Suite Bridge für Windows</w:t>
      </w:r>
      <w:r w:rsidR="00136635">
        <w:rPr>
          <w:rFonts w:ascii="Tahoma" w:hAnsi="Tahoma"/>
          <w:color w:val="F66400"/>
          <w:sz w:val="22"/>
          <w:lang w:val="de-DE"/>
        </w:rPr>
        <w:t> </w:t>
      </w:r>
      <w:r w:rsidRPr="00C83DF5">
        <w:rPr>
          <w:rFonts w:ascii="Tahoma" w:hAnsi="Tahoma"/>
          <w:color w:val="F66400"/>
          <w:sz w:val="22"/>
          <w:lang w:val="de-DE"/>
        </w:rPr>
        <w:t>Intune</w:t>
      </w:r>
      <w:bookmarkEnd w:id="1204"/>
      <w:bookmarkEnd w:id="1205"/>
      <w:r w:rsidRPr="00C83DF5">
        <w:rPr>
          <w:rFonts w:ascii="Tahoma" w:hAnsi="Tahoma"/>
          <w:color w:val="F66400"/>
          <w:sz w:val="22"/>
          <w:lang w:val="de-DE"/>
        </w:rPr>
        <w:t xml:space="preserve"> </w:t>
      </w:r>
    </w:p>
    <w:p w:rsidR="00BD2BE7" w:rsidRPr="00136635" w:rsidRDefault="00BD2BE7" w:rsidP="0084072C">
      <w:pPr>
        <w:rPr>
          <w:lang w:val="de-DE"/>
        </w:rPr>
      </w:pPr>
    </w:p>
    <w:bookmarkEnd w:id="1199"/>
    <w:p w:rsidR="0084072C" w:rsidRPr="00C83DF5" w:rsidRDefault="00162A93" w:rsidP="0084072C">
      <w:pPr>
        <w:spacing w:after="60"/>
        <w:ind w:left="720"/>
        <w:rPr>
          <w:lang w:val="de-DE"/>
        </w:rPr>
      </w:pPr>
      <w:r w:rsidRPr="00C83DF5">
        <w:rPr>
          <w:rFonts w:cs="Tahoma"/>
          <w:b/>
          <w:szCs w:val="18"/>
          <w:lang w:val="de-DE"/>
        </w:rPr>
        <w:t>Definition</w:t>
      </w:r>
    </w:p>
    <w:p w:rsidR="00162A93" w:rsidRPr="00C83DF5" w:rsidRDefault="00162A93" w:rsidP="0084072C">
      <w:pPr>
        <w:ind w:left="720"/>
        <w:rPr>
          <w:lang w:val="de-DE"/>
        </w:rPr>
      </w:pPr>
      <w:r w:rsidRPr="00C83DF5">
        <w:rPr>
          <w:rFonts w:cs="Tahoma"/>
          <w:szCs w:val="18"/>
          <w:lang w:val="de-DE"/>
        </w:rPr>
        <w:t>„Übergang“ ist die Umwandlung einer Lizenz mit aktueller Software Assurance in eine oder von einer Abonnementlizenz.</w:t>
      </w:r>
      <w:r w:rsidR="00E71F46" w:rsidRPr="00C83DF5">
        <w:rPr>
          <w:rFonts w:cs="Tahoma"/>
          <w:szCs w:val="18"/>
          <w:lang w:val="de-DE"/>
        </w:rPr>
        <w:t xml:space="preserve"> </w:t>
      </w:r>
    </w:p>
    <w:p w:rsidR="00D57009" w:rsidRPr="007025E3" w:rsidRDefault="00D57009">
      <w:pPr>
        <w:rPr>
          <w:rFonts w:cs="Tahoma"/>
          <w:b/>
          <w:szCs w:val="18"/>
          <w:lang w:val="de-DE"/>
        </w:rPr>
      </w:pPr>
    </w:p>
    <w:p w:rsidR="0084072C" w:rsidRPr="00C83DF5" w:rsidRDefault="0084072C" w:rsidP="0084072C">
      <w:pPr>
        <w:spacing w:after="60"/>
        <w:ind w:left="720"/>
        <w:rPr>
          <w:lang w:val="de-DE"/>
        </w:rPr>
      </w:pPr>
      <w:r w:rsidRPr="00C83DF5">
        <w:rPr>
          <w:rFonts w:cs="Tahoma"/>
          <w:b/>
          <w:szCs w:val="18"/>
          <w:lang w:val="de-DE"/>
        </w:rPr>
        <w:t>Anwendbare Nutzungsrechte</w:t>
      </w:r>
    </w:p>
    <w:p w:rsidR="00162A93" w:rsidRPr="00C83DF5" w:rsidRDefault="00162A93" w:rsidP="0084072C">
      <w:pPr>
        <w:ind w:left="720"/>
        <w:rPr>
          <w:lang w:val="de-DE"/>
        </w:rPr>
      </w:pPr>
      <w:r w:rsidRPr="00C83DF5">
        <w:rPr>
          <w:rFonts w:eastAsia="Calibri" w:cs="Tahoma"/>
          <w:szCs w:val="18"/>
          <w:lang w:val="de-DE"/>
        </w:rPr>
        <w:t>Eine CAL Suite Bridge hat keine Versionsnummer, und die Produktbenutzungsrechte hängen vom Status der Software Assurance dafür ab.</w:t>
      </w:r>
      <w:r w:rsidR="00E71F46" w:rsidRPr="00C83DF5">
        <w:rPr>
          <w:rFonts w:eastAsia="Calibri" w:cs="Tahoma"/>
          <w:szCs w:val="18"/>
          <w:lang w:val="de-DE"/>
        </w:rPr>
        <w:t xml:space="preserve"> </w:t>
      </w:r>
      <w:r w:rsidRPr="00C83DF5">
        <w:rPr>
          <w:rFonts w:eastAsia="Calibri" w:cs="Tahoma"/>
          <w:szCs w:val="18"/>
          <w:lang w:val="de-DE"/>
        </w:rPr>
        <w:t>Falls Software Assurance unterbrochen wird, hängen die Zugriffsrechte im Rahmen zeitlich unbeschränkter Lizenzen von den Produktbenutzungsrechten ab, die vor der Unterbrechung galten.</w:t>
      </w:r>
      <w:r w:rsidR="00E71F46" w:rsidRPr="00C83DF5">
        <w:rPr>
          <w:rFonts w:eastAsia="Calibri" w:cs="Tahoma"/>
          <w:szCs w:val="18"/>
          <w:lang w:val="de-DE"/>
        </w:rPr>
        <w:t xml:space="preserve"> </w:t>
      </w:r>
      <w:r w:rsidRPr="00C83DF5">
        <w:rPr>
          <w:rFonts w:eastAsia="Calibri" w:cs="Tahoma"/>
          <w:szCs w:val="18"/>
          <w:lang w:val="de-DE"/>
        </w:rPr>
        <w:t>Eine Lizenz für eine CAL Suite Bridge ist eine einzelne Lizenz, die einem einzelnen Nutzer oder Gerät zugewiesen werden muss.</w:t>
      </w:r>
    </w:p>
    <w:p w:rsidR="0084072C" w:rsidRPr="007025E3" w:rsidRDefault="0084072C" w:rsidP="0084072C">
      <w:pPr>
        <w:ind w:left="720"/>
        <w:rPr>
          <w:rFonts w:eastAsia="Calibri" w:cs="Tahoma"/>
          <w:szCs w:val="18"/>
          <w:lang w:val="de-DE"/>
        </w:rPr>
      </w:pPr>
    </w:p>
    <w:p w:rsidR="0084072C" w:rsidRPr="00C83DF5" w:rsidRDefault="00162A93" w:rsidP="0084072C">
      <w:pPr>
        <w:spacing w:after="60"/>
        <w:ind w:left="720"/>
        <w:rPr>
          <w:lang w:val="de-DE"/>
        </w:rPr>
      </w:pPr>
      <w:r w:rsidRPr="00C83DF5">
        <w:rPr>
          <w:rFonts w:cs="Tahoma"/>
          <w:b/>
          <w:szCs w:val="18"/>
          <w:lang w:val="de-DE"/>
        </w:rPr>
        <w:t>Anforderungen</w:t>
      </w:r>
    </w:p>
    <w:p w:rsidR="00162A93" w:rsidRPr="00C83DF5" w:rsidRDefault="00162A93" w:rsidP="005231AA">
      <w:pPr>
        <w:ind w:left="720"/>
        <w:rPr>
          <w:lang w:val="de-DE"/>
        </w:rPr>
      </w:pPr>
      <w:r w:rsidRPr="00C83DF5">
        <w:rPr>
          <w:rFonts w:eastAsia="Calibri" w:cs="Tahoma"/>
          <w:szCs w:val="18"/>
          <w:lang w:val="de-DE"/>
        </w:rPr>
        <w:t>Eine CAL Suite Bridge ist möglicherweise bei einem Übergang von einer CAL Suite zu einer vergleichbaren Kombination aus Produkt und Onlinediensten erforderlich.</w:t>
      </w:r>
      <w:r w:rsidR="00E71F46" w:rsidRPr="00C83DF5">
        <w:rPr>
          <w:rFonts w:eastAsia="Calibri" w:cs="Tahoma"/>
          <w:szCs w:val="18"/>
          <w:lang w:val="de-DE"/>
        </w:rPr>
        <w:t xml:space="preserve"> </w:t>
      </w:r>
      <w:r w:rsidRPr="00C83DF5">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E71F46" w:rsidRPr="00C83DF5">
        <w:rPr>
          <w:rFonts w:eastAsia="Calibri" w:cs="Tahoma"/>
          <w:szCs w:val="18"/>
          <w:lang w:val="de-DE"/>
        </w:rPr>
        <w:t xml:space="preserve"> </w:t>
      </w:r>
      <w:r w:rsidRPr="00C83DF5">
        <w:rPr>
          <w:rFonts w:eastAsia="Calibri" w:cs="Tahoma"/>
          <w:szCs w:val="18"/>
          <w:lang w:val="de-DE"/>
        </w:rPr>
        <w:t>Stattdessen kann am Jahrestag des Beitritts, für den der Übergang wirksam ist, Software Assurance für die CAL Suite Bridge erworben werden.</w:t>
      </w:r>
      <w:r w:rsidR="00E71F46" w:rsidRPr="00C83DF5">
        <w:rPr>
          <w:rFonts w:eastAsia="Calibri" w:cs="Tahoma"/>
          <w:szCs w:val="18"/>
          <w:lang w:val="de-DE"/>
        </w:rPr>
        <w:t xml:space="preserve"> </w:t>
      </w:r>
      <w:r w:rsidRPr="00C83DF5">
        <w:rPr>
          <w:rFonts w:eastAsia="Calibri" w:cs="Tahoma"/>
          <w:szCs w:val="18"/>
          <w:lang w:val="de-DE"/>
        </w:rPr>
        <w:t>Unter diesen Umständen darf</w:t>
      </w:r>
      <w:r w:rsidR="005231AA">
        <w:rPr>
          <w:rFonts w:eastAsia="Calibri" w:cs="Tahoma"/>
          <w:szCs w:val="18"/>
          <w:lang w:val="de-DE"/>
        </w:rPr>
        <w:t> </w:t>
      </w:r>
      <w:r w:rsidRPr="00C83DF5">
        <w:rPr>
          <w:rFonts w:eastAsia="Calibri" w:cs="Tahoma"/>
          <w:szCs w:val="18"/>
          <w:lang w:val="de-DE"/>
        </w:rPr>
        <w:t>das Übergangsverhältnis nur eine CAL Suite Bridge Software Assurance für eine CAL Suite Software Assurance betragen, und der Übergang muss für dieselbe Nutzer- oder Gerätelizenz gelten wie die qualifizierende CAL Suite.</w:t>
      </w:r>
      <w:r w:rsidR="00E71F46" w:rsidRPr="00C83DF5">
        <w:rPr>
          <w:rFonts w:eastAsia="Calibri" w:cs="Tahoma"/>
          <w:szCs w:val="18"/>
          <w:lang w:val="de-DE"/>
        </w:rPr>
        <w:t xml:space="preserve"> </w:t>
      </w:r>
    </w:p>
    <w:p w:rsidR="0084072C" w:rsidRPr="005231AA" w:rsidRDefault="0084072C" w:rsidP="0084072C">
      <w:pPr>
        <w:ind w:left="720"/>
        <w:rPr>
          <w:rFonts w:eastAsia="Calibri" w:cs="Tahoma"/>
          <w:szCs w:val="18"/>
          <w:lang w:val="de-DE"/>
        </w:rPr>
      </w:pPr>
    </w:p>
    <w:p w:rsidR="00162A93" w:rsidRPr="00C83DF5" w:rsidRDefault="00162A93" w:rsidP="005231AA">
      <w:pPr>
        <w:ind w:left="720"/>
        <w:rPr>
          <w:lang w:val="de-DE"/>
        </w:rPr>
      </w:pPr>
      <w:r w:rsidRPr="00C83DF5">
        <w:rPr>
          <w:rFonts w:eastAsia="Calibri" w:cs="Tahoma"/>
          <w:szCs w:val="18"/>
          <w:lang w:val="de-DE"/>
        </w:rPr>
        <w:lastRenderedPageBreak/>
        <w:t>Eine CAL Suite Bridge ist ein Konzernprodukt und darf nur in Verbindung mit ihrem qualifizierenden Onlinedienst lizenziert werden, um die unternehmensweite Anforderung dieser CAL Suite Bridge oder der</w:t>
      </w:r>
      <w:r w:rsidR="005231AA">
        <w:rPr>
          <w:rFonts w:eastAsia="Calibri" w:cs="Tahoma"/>
          <w:szCs w:val="18"/>
          <w:lang w:val="de-DE"/>
        </w:rPr>
        <w:t> </w:t>
      </w:r>
      <w:r w:rsidRPr="00C83DF5">
        <w:rPr>
          <w:rFonts w:eastAsia="Calibri" w:cs="Tahoma"/>
          <w:szCs w:val="18"/>
          <w:lang w:val="de-DE"/>
        </w:rPr>
        <w:t>übergeordneten CAL Suite zu erfüllen.</w:t>
      </w:r>
    </w:p>
    <w:p w:rsidR="00162A93" w:rsidRPr="00C83DF5" w:rsidRDefault="00162A93" w:rsidP="0084072C">
      <w:pPr>
        <w:ind w:left="720"/>
        <w:rPr>
          <w:lang w:val="de-DE"/>
        </w:rPr>
      </w:pPr>
    </w:p>
    <w:tbl>
      <w:tblPr>
        <w:tblW w:w="4445" w:type="pct"/>
        <w:jc w:val="center"/>
        <w:tblCellMar>
          <w:left w:w="0" w:type="dxa"/>
          <w:right w:w="0" w:type="dxa"/>
        </w:tblCellMar>
        <w:tblLook w:val="04A0" w:firstRow="1" w:lastRow="0" w:firstColumn="1" w:lastColumn="0" w:noHBand="0" w:noVBand="1"/>
      </w:tblPr>
      <w:tblGrid>
        <w:gridCol w:w="2692"/>
        <w:gridCol w:w="2603"/>
        <w:gridCol w:w="3044"/>
      </w:tblGrid>
      <w:tr w:rsidR="00162A93" w:rsidRPr="00C83DF5" w:rsidTr="009237B2">
        <w:trPr>
          <w:tblHeader/>
          <w:jc w:val="center"/>
        </w:trPr>
        <w:tc>
          <w:tcPr>
            <w:tcW w:w="161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C83DF5" w:rsidRDefault="00162A93" w:rsidP="007E466C">
            <w:pPr>
              <w:spacing w:before="120" w:after="120" w:line="276" w:lineRule="auto"/>
              <w:ind w:left="175"/>
              <w:jc w:val="center"/>
              <w:rPr>
                <w:rFonts w:eastAsia="Calibri" w:cs="Tahoma"/>
                <w:b/>
                <w:bCs/>
                <w:color w:val="000000"/>
                <w:szCs w:val="18"/>
                <w:lang w:eastAsia="ja-JP"/>
              </w:rPr>
            </w:pPr>
            <w:r w:rsidRPr="00C83DF5">
              <w:rPr>
                <w:rFonts w:eastAsia="Calibri" w:cs="Tahoma"/>
                <w:b/>
                <w:bCs/>
                <w:szCs w:val="18"/>
              </w:rPr>
              <w:t>CAL Suite Bridge</w:t>
            </w:r>
          </w:p>
        </w:tc>
        <w:tc>
          <w:tcPr>
            <w:tcW w:w="1561" w:type="pct"/>
            <w:tcBorders>
              <w:top w:val="single" w:sz="8" w:space="0" w:color="auto"/>
              <w:left w:val="nil"/>
              <w:bottom w:val="single" w:sz="8" w:space="0" w:color="auto"/>
              <w:right w:val="single" w:sz="8" w:space="0" w:color="auto"/>
            </w:tcBorders>
            <w:shd w:val="clear" w:color="auto" w:fill="FABF8F"/>
            <w:vAlign w:val="center"/>
            <w:hideMark/>
          </w:tcPr>
          <w:p w:rsidR="00162A93" w:rsidRPr="00C83DF5" w:rsidRDefault="00162A93" w:rsidP="007E466C">
            <w:pPr>
              <w:spacing w:before="120" w:after="120" w:line="276" w:lineRule="auto"/>
              <w:ind w:left="180"/>
              <w:jc w:val="center"/>
              <w:rPr>
                <w:rFonts w:eastAsia="Calibri" w:cs="Tahoma"/>
                <w:b/>
                <w:bCs/>
                <w:color w:val="000000"/>
                <w:szCs w:val="18"/>
                <w:lang w:eastAsia="ja-JP"/>
              </w:rPr>
            </w:pPr>
            <w:r w:rsidRPr="00C83DF5">
              <w:rPr>
                <w:rFonts w:eastAsia="Calibri" w:cs="Tahoma"/>
                <w:b/>
                <w:bCs/>
                <w:szCs w:val="18"/>
              </w:rPr>
              <w:t>Übergeordnete CAL Suite</w:t>
            </w:r>
          </w:p>
        </w:tc>
        <w:tc>
          <w:tcPr>
            <w:tcW w:w="1825" w:type="pct"/>
            <w:tcBorders>
              <w:top w:val="single" w:sz="8" w:space="0" w:color="auto"/>
              <w:left w:val="nil"/>
              <w:bottom w:val="single" w:sz="8" w:space="0" w:color="auto"/>
              <w:right w:val="single" w:sz="8" w:space="0" w:color="auto"/>
            </w:tcBorders>
            <w:shd w:val="clear" w:color="auto" w:fill="FABF8F"/>
            <w:vAlign w:val="center"/>
            <w:hideMark/>
          </w:tcPr>
          <w:p w:rsidR="00162A93" w:rsidRPr="00C83DF5" w:rsidRDefault="00162A93" w:rsidP="007E466C">
            <w:pPr>
              <w:spacing w:before="120" w:after="120" w:line="276" w:lineRule="auto"/>
              <w:ind w:left="180" w:right="247"/>
              <w:jc w:val="center"/>
              <w:rPr>
                <w:rFonts w:eastAsia="Calibri" w:cs="Tahoma"/>
                <w:b/>
                <w:bCs/>
                <w:color w:val="000000"/>
                <w:szCs w:val="18"/>
                <w:lang w:eastAsia="ja-JP"/>
              </w:rPr>
            </w:pPr>
            <w:r w:rsidRPr="00C83DF5">
              <w:rPr>
                <w:rFonts w:eastAsia="Calibri" w:cs="Tahoma"/>
                <w:b/>
                <w:bCs/>
                <w:szCs w:val="18"/>
              </w:rPr>
              <w:t>Qualifizierende Onlinedienste</w:t>
            </w:r>
          </w:p>
        </w:tc>
      </w:tr>
      <w:tr w:rsidR="00162A93" w:rsidRPr="00C83DF5" w:rsidTr="009237B2">
        <w:trPr>
          <w:trHeight w:val="576"/>
          <w:jc w:val="center"/>
        </w:trPr>
        <w:tc>
          <w:tcPr>
            <w:tcW w:w="1614" w:type="pct"/>
            <w:tcBorders>
              <w:top w:val="nil"/>
              <w:left w:val="single" w:sz="8" w:space="0" w:color="auto"/>
              <w:bottom w:val="single" w:sz="8" w:space="0" w:color="auto"/>
              <w:right w:val="single" w:sz="8" w:space="0" w:color="auto"/>
            </w:tcBorders>
          </w:tcPr>
          <w:p w:rsidR="00162A93" w:rsidRPr="00C83DF5" w:rsidRDefault="00162A93" w:rsidP="00346F4B">
            <w:pPr>
              <w:numPr>
                <w:ilvl w:val="0"/>
                <w:numId w:val="43"/>
              </w:numPr>
              <w:spacing w:before="60" w:after="60" w:line="276" w:lineRule="auto"/>
              <w:ind w:left="535" w:right="180"/>
              <w:rPr>
                <w:rFonts w:eastAsia="Calibri" w:cs="Tahoma"/>
                <w:szCs w:val="18"/>
              </w:rPr>
            </w:pPr>
            <w:r w:rsidRPr="00C83DF5">
              <w:rPr>
                <w:rFonts w:eastAsia="Calibri" w:cs="Tahoma"/>
                <w:color w:val="000000"/>
                <w:szCs w:val="18"/>
              </w:rPr>
              <w:t>Enterprise CAL Suite Bridge für Office 365</w:t>
            </w:r>
          </w:p>
        </w:tc>
        <w:tc>
          <w:tcPr>
            <w:tcW w:w="1561" w:type="pct"/>
            <w:tcBorders>
              <w:top w:val="nil"/>
              <w:left w:val="nil"/>
              <w:bottom w:val="single" w:sz="8" w:space="0" w:color="auto"/>
              <w:right w:val="single" w:sz="8" w:space="0" w:color="auto"/>
            </w:tcBorders>
          </w:tcPr>
          <w:p w:rsidR="00162A93" w:rsidRPr="00C83DF5" w:rsidRDefault="00162A93" w:rsidP="00346F4B">
            <w:pPr>
              <w:numPr>
                <w:ilvl w:val="0"/>
                <w:numId w:val="44"/>
              </w:numPr>
              <w:spacing w:before="80" w:after="200" w:line="276" w:lineRule="auto"/>
              <w:ind w:left="449" w:hanging="270"/>
              <w:jc w:val="both"/>
              <w:rPr>
                <w:rFonts w:eastAsia="Calibri" w:cs="Tahoma"/>
                <w:szCs w:val="18"/>
              </w:rPr>
            </w:pPr>
            <w:r w:rsidRPr="00C83DF5">
              <w:rPr>
                <w:rFonts w:eastAsia="Calibri" w:cs="Tahoma"/>
                <w:color w:val="000000"/>
                <w:szCs w:val="18"/>
              </w:rPr>
              <w:t>Enterprise-CAL-Suite</w:t>
            </w:r>
          </w:p>
        </w:tc>
        <w:tc>
          <w:tcPr>
            <w:tcW w:w="1825" w:type="pct"/>
            <w:tcBorders>
              <w:top w:val="nil"/>
              <w:left w:val="nil"/>
              <w:bottom w:val="single" w:sz="8" w:space="0" w:color="auto"/>
              <w:right w:val="single" w:sz="8" w:space="0" w:color="auto"/>
            </w:tcBorders>
          </w:tcPr>
          <w:p w:rsidR="00162A93" w:rsidRPr="00C83DF5" w:rsidRDefault="00162A93" w:rsidP="009237B2">
            <w:pPr>
              <w:numPr>
                <w:ilvl w:val="0"/>
                <w:numId w:val="45"/>
              </w:numPr>
              <w:spacing w:before="80" w:after="200" w:line="276" w:lineRule="auto"/>
              <w:ind w:left="630"/>
            </w:pPr>
            <w:r w:rsidRPr="00C83DF5">
              <w:rPr>
                <w:rFonts w:eastAsia="Calibri" w:cs="Tahoma"/>
                <w:color w:val="000000"/>
                <w:szCs w:val="18"/>
              </w:rPr>
              <w:t>Office 365 Enterprise E3</w:t>
            </w:r>
            <w:r w:rsidR="009237B2">
              <w:rPr>
                <w:rFonts w:eastAsia="Calibri" w:cs="Tahoma"/>
                <w:color w:val="000000"/>
                <w:szCs w:val="18"/>
              </w:rPr>
              <w:t xml:space="preserve"> </w:t>
            </w:r>
            <w:r w:rsidRPr="00C83DF5">
              <w:rPr>
                <w:rFonts w:eastAsia="Calibri" w:cs="Tahoma"/>
                <w:color w:val="000000"/>
                <w:szCs w:val="18"/>
              </w:rPr>
              <w:t>oder</w:t>
            </w:r>
          </w:p>
          <w:p w:rsidR="00162A93" w:rsidRPr="00C83DF5" w:rsidRDefault="00162A93" w:rsidP="00346F4B">
            <w:pPr>
              <w:numPr>
                <w:ilvl w:val="0"/>
                <w:numId w:val="45"/>
              </w:numPr>
              <w:spacing w:before="80" w:after="200" w:line="276" w:lineRule="auto"/>
              <w:ind w:left="630"/>
              <w:rPr>
                <w:rFonts w:eastAsia="Calibri" w:cs="Tahoma"/>
                <w:color w:val="000000"/>
                <w:szCs w:val="18"/>
              </w:rPr>
            </w:pPr>
            <w:r w:rsidRPr="00C83DF5">
              <w:rPr>
                <w:rFonts w:eastAsia="Calibri" w:cs="Tahoma"/>
                <w:color w:val="000000"/>
                <w:szCs w:val="18"/>
              </w:rPr>
              <w:t>Office 365 Enterprise E4</w:t>
            </w:r>
          </w:p>
        </w:tc>
      </w:tr>
      <w:tr w:rsidR="00162A93" w:rsidRPr="00C83DF5" w:rsidTr="009237B2">
        <w:trPr>
          <w:trHeight w:val="576"/>
          <w:jc w:val="center"/>
        </w:trPr>
        <w:tc>
          <w:tcPr>
            <w:tcW w:w="1614" w:type="pct"/>
            <w:tcBorders>
              <w:top w:val="nil"/>
              <w:left w:val="single" w:sz="8" w:space="0" w:color="auto"/>
              <w:bottom w:val="single" w:sz="8" w:space="0" w:color="auto"/>
              <w:right w:val="single" w:sz="8" w:space="0" w:color="auto"/>
            </w:tcBorders>
          </w:tcPr>
          <w:p w:rsidR="00162A93" w:rsidRPr="00C83DF5" w:rsidRDefault="00162A93" w:rsidP="00136635">
            <w:pPr>
              <w:numPr>
                <w:ilvl w:val="0"/>
                <w:numId w:val="43"/>
              </w:numPr>
              <w:spacing w:before="60" w:after="60" w:line="276" w:lineRule="auto"/>
              <w:ind w:left="535" w:right="180"/>
              <w:rPr>
                <w:rFonts w:eastAsia="Calibri" w:cs="Tahoma"/>
                <w:szCs w:val="18"/>
              </w:rPr>
            </w:pPr>
            <w:r w:rsidRPr="00C83DF5">
              <w:rPr>
                <w:rFonts w:eastAsia="Calibri" w:cs="Tahoma"/>
                <w:color w:val="000000"/>
                <w:szCs w:val="18"/>
              </w:rPr>
              <w:t>Enterprise CAL Suite Bridge für Office 365 und</w:t>
            </w:r>
            <w:r w:rsidR="00136635">
              <w:rPr>
                <w:rFonts w:eastAsia="Calibri" w:cs="Tahoma"/>
                <w:color w:val="000000"/>
                <w:szCs w:val="18"/>
              </w:rPr>
              <w:t> </w:t>
            </w:r>
            <w:r w:rsidRPr="00C83DF5">
              <w:rPr>
                <w:rFonts w:eastAsia="Calibri" w:cs="Tahoma"/>
                <w:color w:val="000000"/>
                <w:szCs w:val="18"/>
              </w:rPr>
              <w:t>Windows Intune</w:t>
            </w:r>
          </w:p>
        </w:tc>
        <w:tc>
          <w:tcPr>
            <w:tcW w:w="1561" w:type="pct"/>
            <w:tcBorders>
              <w:top w:val="nil"/>
              <w:left w:val="nil"/>
              <w:bottom w:val="single" w:sz="8" w:space="0" w:color="auto"/>
              <w:right w:val="single" w:sz="8" w:space="0" w:color="auto"/>
            </w:tcBorders>
          </w:tcPr>
          <w:p w:rsidR="00162A93" w:rsidRPr="00C83DF5" w:rsidRDefault="00162A93" w:rsidP="00346F4B">
            <w:pPr>
              <w:numPr>
                <w:ilvl w:val="0"/>
                <w:numId w:val="44"/>
              </w:numPr>
              <w:spacing w:before="80" w:after="200" w:line="276" w:lineRule="auto"/>
              <w:ind w:left="449" w:hanging="270"/>
              <w:jc w:val="both"/>
              <w:rPr>
                <w:rFonts w:eastAsia="Calibri" w:cs="Tahoma"/>
                <w:szCs w:val="18"/>
              </w:rPr>
            </w:pPr>
            <w:r w:rsidRPr="00C83DF5">
              <w:rPr>
                <w:rFonts w:eastAsia="Calibri" w:cs="Tahoma"/>
                <w:color w:val="000000"/>
                <w:szCs w:val="18"/>
              </w:rPr>
              <w:t>Enterprise-CAL-Suite</w:t>
            </w:r>
          </w:p>
        </w:tc>
        <w:tc>
          <w:tcPr>
            <w:tcW w:w="1825" w:type="pct"/>
            <w:tcBorders>
              <w:top w:val="nil"/>
              <w:left w:val="nil"/>
              <w:bottom w:val="single" w:sz="8" w:space="0" w:color="auto"/>
              <w:right w:val="single" w:sz="8" w:space="0" w:color="auto"/>
            </w:tcBorders>
          </w:tcPr>
          <w:p w:rsidR="00162A93" w:rsidRPr="00C83DF5" w:rsidRDefault="00162A93" w:rsidP="00346F4B">
            <w:pPr>
              <w:numPr>
                <w:ilvl w:val="0"/>
                <w:numId w:val="45"/>
              </w:numPr>
              <w:spacing w:before="80" w:after="200" w:line="276" w:lineRule="auto"/>
              <w:ind w:left="630"/>
              <w:rPr>
                <w:lang w:val="de-DE"/>
              </w:rPr>
            </w:pPr>
            <w:r w:rsidRPr="00C83DF5">
              <w:rPr>
                <w:rFonts w:eastAsia="Calibri" w:cs="Tahoma"/>
                <w:color w:val="000000"/>
                <w:szCs w:val="18"/>
                <w:lang w:val="de-DE"/>
              </w:rPr>
              <w:t>Office 365 Enterprise E3 und Windows Intune oder</w:t>
            </w:r>
          </w:p>
          <w:p w:rsidR="00162A93" w:rsidRPr="00C83DF5" w:rsidRDefault="00162A93" w:rsidP="00346F4B">
            <w:pPr>
              <w:numPr>
                <w:ilvl w:val="0"/>
                <w:numId w:val="45"/>
              </w:numPr>
              <w:spacing w:before="80" w:after="200" w:line="276" w:lineRule="auto"/>
              <w:ind w:left="630"/>
              <w:rPr>
                <w:rFonts w:eastAsia="Calibri" w:cs="Tahoma"/>
                <w:color w:val="000000"/>
                <w:szCs w:val="18"/>
              </w:rPr>
            </w:pPr>
            <w:r w:rsidRPr="00C83DF5">
              <w:rPr>
                <w:rFonts w:eastAsia="Calibri" w:cs="Tahoma"/>
                <w:color w:val="000000"/>
                <w:szCs w:val="18"/>
              </w:rPr>
              <w:t>Office 365 Enterprise E4 und Windows Intune</w:t>
            </w:r>
          </w:p>
        </w:tc>
      </w:tr>
      <w:tr w:rsidR="00162A93" w:rsidRPr="00C83DF5" w:rsidTr="009237B2">
        <w:trPr>
          <w:trHeight w:val="576"/>
          <w:jc w:val="center"/>
        </w:trPr>
        <w:tc>
          <w:tcPr>
            <w:tcW w:w="1614" w:type="pct"/>
            <w:tcBorders>
              <w:top w:val="nil"/>
              <w:left w:val="single" w:sz="8" w:space="0" w:color="auto"/>
              <w:bottom w:val="single" w:sz="8" w:space="0" w:color="auto"/>
              <w:right w:val="single" w:sz="8" w:space="0" w:color="auto"/>
            </w:tcBorders>
            <w:hideMark/>
          </w:tcPr>
          <w:p w:rsidR="00162A93" w:rsidRPr="00C83DF5" w:rsidRDefault="00162A93" w:rsidP="00136635">
            <w:pPr>
              <w:numPr>
                <w:ilvl w:val="0"/>
                <w:numId w:val="43"/>
              </w:numPr>
              <w:spacing w:before="60" w:after="60" w:line="276" w:lineRule="auto"/>
              <w:ind w:left="535" w:right="180"/>
              <w:rPr>
                <w:rFonts w:eastAsia="Calibri" w:cs="Tahoma"/>
                <w:color w:val="000000"/>
                <w:szCs w:val="18"/>
                <w:lang w:eastAsia="ja-JP"/>
              </w:rPr>
            </w:pPr>
            <w:r w:rsidRPr="00C83DF5">
              <w:rPr>
                <w:rFonts w:eastAsia="Calibri" w:cs="Tahoma"/>
                <w:szCs w:val="18"/>
              </w:rPr>
              <w:t>Enterprise CAL Suite</w:t>
            </w:r>
            <w:r w:rsidR="00136635">
              <w:rPr>
                <w:rFonts w:eastAsia="Calibri" w:cs="Tahoma"/>
                <w:szCs w:val="18"/>
              </w:rPr>
              <w:t> </w:t>
            </w:r>
            <w:r w:rsidRPr="00C83DF5">
              <w:rPr>
                <w:rFonts w:eastAsia="Calibri" w:cs="Tahoma"/>
                <w:szCs w:val="18"/>
              </w:rPr>
              <w:t>Bridge für Windows</w:t>
            </w:r>
            <w:r w:rsidR="00136635">
              <w:rPr>
                <w:rFonts w:eastAsia="Calibri" w:cs="Tahoma"/>
                <w:szCs w:val="18"/>
              </w:rPr>
              <w:t> </w:t>
            </w:r>
            <w:r w:rsidRPr="00C83DF5">
              <w:rPr>
                <w:rFonts w:eastAsia="Calibri" w:cs="Tahoma"/>
                <w:szCs w:val="18"/>
              </w:rPr>
              <w:t>Intune</w:t>
            </w:r>
          </w:p>
        </w:tc>
        <w:tc>
          <w:tcPr>
            <w:tcW w:w="1561" w:type="pct"/>
            <w:tcBorders>
              <w:top w:val="nil"/>
              <w:left w:val="nil"/>
              <w:bottom w:val="single" w:sz="8" w:space="0" w:color="auto"/>
              <w:right w:val="single" w:sz="8" w:space="0" w:color="auto"/>
            </w:tcBorders>
            <w:hideMark/>
          </w:tcPr>
          <w:p w:rsidR="00162A93" w:rsidRPr="00C83DF5"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C83DF5">
              <w:rPr>
                <w:rFonts w:eastAsia="Calibri" w:cs="Tahoma"/>
                <w:szCs w:val="18"/>
              </w:rPr>
              <w:t>Enterprise-CAL-Suite</w:t>
            </w:r>
          </w:p>
        </w:tc>
        <w:tc>
          <w:tcPr>
            <w:tcW w:w="1825" w:type="pct"/>
            <w:tcBorders>
              <w:top w:val="nil"/>
              <w:left w:val="nil"/>
              <w:bottom w:val="single" w:sz="8" w:space="0" w:color="auto"/>
              <w:right w:val="single" w:sz="8" w:space="0" w:color="auto"/>
            </w:tcBorders>
            <w:hideMark/>
          </w:tcPr>
          <w:p w:rsidR="00162A93" w:rsidRPr="00C83DF5" w:rsidRDefault="00162A93" w:rsidP="00346F4B">
            <w:pPr>
              <w:numPr>
                <w:ilvl w:val="0"/>
                <w:numId w:val="45"/>
              </w:numPr>
              <w:spacing w:before="80" w:after="200" w:line="276" w:lineRule="auto"/>
              <w:ind w:left="630"/>
              <w:rPr>
                <w:rFonts w:cs="Tahoma"/>
                <w:color w:val="000000"/>
                <w:szCs w:val="18"/>
              </w:rPr>
            </w:pPr>
            <w:r w:rsidRPr="00C83DF5">
              <w:rPr>
                <w:rFonts w:eastAsia="Calibri" w:cs="Tahoma"/>
                <w:color w:val="000000"/>
                <w:szCs w:val="18"/>
              </w:rPr>
              <w:t>Windows Intune</w:t>
            </w:r>
          </w:p>
        </w:tc>
      </w:tr>
    </w:tbl>
    <w:p w:rsidR="005614CA" w:rsidRPr="00C2048A" w:rsidRDefault="005614CA" w:rsidP="00C2048A">
      <w:pPr>
        <w:ind w:left="720"/>
        <w:rPr>
          <w:lang w:val="de-DE"/>
        </w:rPr>
      </w:pPr>
      <w:bookmarkStart w:id="1206" w:name="_Toc336338304"/>
      <w:bookmarkStart w:id="1207" w:name="Srv_43EnterpriseCALSuite"/>
      <w:bookmarkEnd w:id="1192"/>
      <w:bookmarkEnd w:id="1200"/>
    </w:p>
    <w:p w:rsidR="00676723" w:rsidRPr="00C2048A" w:rsidRDefault="00676723" w:rsidP="00C2048A">
      <w:pPr>
        <w:ind w:left="720"/>
        <w:rPr>
          <w:lang w:val="de-DE"/>
        </w:rPr>
      </w:pPr>
    </w:p>
    <w:p w:rsidR="00652053" w:rsidRPr="00C83DF5" w:rsidRDefault="00A560B6" w:rsidP="001760D6">
      <w:pPr>
        <w:pStyle w:val="Heading3"/>
        <w:keepNext/>
      </w:pPr>
      <w:bookmarkStart w:id="1208" w:name="_42_Enterprise_CAL"/>
      <w:bookmarkStart w:id="1209" w:name="_47_Enterprise_CAL"/>
      <w:bookmarkStart w:id="1210" w:name="_Toc370983414"/>
      <w:bookmarkEnd w:id="1208"/>
      <w:bookmarkEnd w:id="1209"/>
      <w:r w:rsidRPr="00C83DF5">
        <w:rPr>
          <w:rFonts w:ascii="Tahoma" w:hAnsi="Tahoma"/>
          <w:caps/>
          <w:color w:val="F66400"/>
          <w:sz w:val="22"/>
          <w:vertAlign w:val="superscript"/>
        </w:rPr>
        <w:t>46</w:t>
      </w:r>
      <w:r w:rsidRPr="00C83DF5">
        <w:rPr>
          <w:rFonts w:ascii="Tahoma" w:hAnsi="Tahoma"/>
          <w:color w:val="F66400"/>
          <w:sz w:val="22"/>
        </w:rPr>
        <w:t xml:space="preserve"> Enterprise CAL Suite</w:t>
      </w:r>
      <w:bookmarkEnd w:id="1206"/>
      <w:bookmarkEnd w:id="1210"/>
      <w:r w:rsidRPr="00C83DF5">
        <w:rPr>
          <w:rFonts w:ascii="Tahoma" w:hAnsi="Tahoma"/>
          <w:color w:val="F66400"/>
          <w:sz w:val="22"/>
        </w:rPr>
        <w:t xml:space="preserve"> </w:t>
      </w:r>
    </w:p>
    <w:bookmarkEnd w:id="1207"/>
    <w:p w:rsidR="00023FE7" w:rsidRPr="00C83DF5" w:rsidRDefault="00023FE7" w:rsidP="0084072C"/>
    <w:p w:rsidR="009A727E" w:rsidRPr="00C83DF5" w:rsidRDefault="008446D1" w:rsidP="00C2048A">
      <w:pPr>
        <w:ind w:left="720"/>
        <w:rPr>
          <w:lang w:val="de-DE"/>
        </w:rPr>
      </w:pPr>
      <w:r w:rsidRPr="00C83DF5">
        <w:rPr>
          <w:rFonts w:cs="Tahoma"/>
          <w:szCs w:val="20"/>
          <w:lang w:val="de-DE"/>
        </w:rPr>
        <w:t>Enterprise CAL Suite hat keine Versionsnummer, und die Produktbenutzungsrechte hängen vom Status der Software Assurance für Enterprise CAL Suite ab.</w:t>
      </w:r>
      <w:r w:rsidR="00E71F46" w:rsidRPr="00C83DF5">
        <w:rPr>
          <w:rFonts w:cs="Tahoma"/>
          <w:szCs w:val="20"/>
          <w:lang w:val="de-DE"/>
        </w:rPr>
        <w:t xml:space="preserve"> </w:t>
      </w:r>
      <w:r w:rsidRPr="00C83DF5">
        <w:rPr>
          <w:rFonts w:cs="Tahoma"/>
          <w:szCs w:val="20"/>
          <w:lang w:val="de-DE"/>
        </w:rPr>
        <w:t>Falls Software Assurance unterbrochen wurde, hängen die Zugriffsrechte im Rahmen zeitlich unbeschränkter Lizenzen von den Produktbenutzungsrechten ab, die vor der Unterbrechung galten.</w:t>
      </w:r>
      <w:r w:rsidR="00E71F46" w:rsidRPr="00C83DF5">
        <w:rPr>
          <w:rFonts w:cs="Tahoma"/>
          <w:szCs w:val="20"/>
          <w:lang w:val="de-DE"/>
        </w:rPr>
        <w:t xml:space="preserve"> </w:t>
      </w:r>
      <w:r w:rsidRPr="00C83DF5">
        <w:rPr>
          <w:rFonts w:cs="Tahoma"/>
          <w:szCs w:val="20"/>
          <w:lang w:val="de-DE"/>
        </w:rPr>
        <w:t>Rechte im Zusammenhang mit Onlinediensten laufen bei einer Unterbrechung von Software Assurance ab, unabhängig davon, ob die Enterprise CAL Suite zeitlich unbeschränkt ist.</w:t>
      </w:r>
      <w:r w:rsidR="00E71F46" w:rsidRPr="00C83DF5">
        <w:rPr>
          <w:rFonts w:cs="Tahoma"/>
          <w:szCs w:val="20"/>
          <w:lang w:val="de-DE"/>
        </w:rPr>
        <w:t xml:space="preserve"> </w:t>
      </w:r>
      <w:r w:rsidRPr="00C83DF5">
        <w:rPr>
          <w:rFonts w:cs="Tahoma"/>
          <w:szCs w:val="20"/>
          <w:lang w:val="de-DE"/>
        </w:rPr>
        <w:t>Ab</w:t>
      </w:r>
      <w:r w:rsidR="00C2048A">
        <w:rPr>
          <w:rFonts w:cs="Tahoma"/>
          <w:szCs w:val="20"/>
          <w:lang w:val="de-DE"/>
        </w:rPr>
        <w:t> </w:t>
      </w:r>
      <w:r w:rsidRPr="00C83DF5">
        <w:rPr>
          <w:rFonts w:cs="Tahoma"/>
          <w:szCs w:val="20"/>
          <w:lang w:val="de-DE"/>
        </w:rPr>
        <w:t>dem 1. 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w:t>
      </w:r>
      <w:r w:rsidR="00E71F46" w:rsidRPr="00C83DF5">
        <w:rPr>
          <w:rFonts w:cs="Tahoma"/>
          <w:szCs w:val="20"/>
          <w:lang w:val="de-DE"/>
        </w:rPr>
        <w:t xml:space="preserve"> </w:t>
      </w:r>
      <w:r w:rsidRPr="00C83DF5">
        <w:rPr>
          <w:rFonts w:cs="Tahoma"/>
          <w:szCs w:val="20"/>
          <w:lang w:val="de-DE"/>
        </w:rPr>
        <w:t>Eine Lizenz für Core Enterprise Suite ist</w:t>
      </w:r>
      <w:r w:rsidR="00C2048A">
        <w:rPr>
          <w:rFonts w:cs="Tahoma"/>
          <w:szCs w:val="20"/>
          <w:lang w:val="de-DE"/>
        </w:rPr>
        <w:t> </w:t>
      </w:r>
      <w:r w:rsidRPr="00C83DF5">
        <w:rPr>
          <w:rFonts w:cs="Tahoma"/>
          <w:szCs w:val="20"/>
          <w:lang w:val="de-DE"/>
        </w:rPr>
        <w:t>eine einzelne Lizenz, die einem einzelnen Nutzer oder Gerät zugewiesen werden muss.</w:t>
      </w:r>
      <w:r w:rsidR="00E71F46" w:rsidRPr="00C83DF5">
        <w:rPr>
          <w:rFonts w:cs="Tahoma"/>
          <w:szCs w:val="20"/>
          <w:lang w:val="de-DE"/>
        </w:rPr>
        <w:t xml:space="preserve"> </w:t>
      </w:r>
      <w:r w:rsidRPr="00C83DF5">
        <w:rPr>
          <w:rFonts w:cs="Tahoma"/>
          <w:szCs w:val="20"/>
          <w:lang w:val="de-DE"/>
        </w:rPr>
        <w:t>Wie im Volumenlizenzvertrag dargelegt, dürfen Kunden die Rechte unter Core Enterprise Suite nicht trennen, um zwei oder mehr Nutzern oder Geräten, den gleichzeitigen Zugriff auf ihre verschiedenen Komponenten zu ermöglichen.</w:t>
      </w:r>
      <w:r w:rsidR="00E71F46" w:rsidRPr="00C83DF5">
        <w:rPr>
          <w:rFonts w:cs="Tahoma"/>
          <w:szCs w:val="20"/>
          <w:lang w:val="de-DE"/>
        </w:rPr>
        <w:t xml:space="preserve"> </w:t>
      </w:r>
    </w:p>
    <w:p w:rsidR="00D57009" w:rsidRPr="007025E3" w:rsidRDefault="00D57009">
      <w:pPr>
        <w:rPr>
          <w:rFonts w:cs="Tahoma"/>
          <w:b/>
          <w:szCs w:val="20"/>
          <w:lang w:val="de-DE"/>
        </w:rPr>
      </w:pPr>
    </w:p>
    <w:p w:rsidR="00163658" w:rsidRPr="00C83DF5" w:rsidRDefault="00163658" w:rsidP="0084072C">
      <w:pPr>
        <w:ind w:left="720"/>
        <w:rPr>
          <w:lang w:val="de-DE"/>
        </w:rPr>
      </w:pPr>
      <w:r w:rsidRPr="00C83DF5">
        <w:rPr>
          <w:rFonts w:cs="Tahoma"/>
          <w:b/>
          <w:szCs w:val="20"/>
          <w:lang w:val="de-DE"/>
        </w:rPr>
        <w:t>In Enterprise CAL Suite enthaltene Onlinedienste</w:t>
      </w:r>
    </w:p>
    <w:p w:rsidR="00391D38" w:rsidRPr="007025E3" w:rsidRDefault="00391D38" w:rsidP="0084072C">
      <w:pPr>
        <w:ind w:left="720"/>
        <w:rPr>
          <w:rFonts w:cs="Tahoma"/>
          <w:b/>
          <w:szCs w:val="20"/>
          <w:lang w:val="de-DE"/>
        </w:rPr>
      </w:pPr>
    </w:p>
    <w:p w:rsidR="00163658" w:rsidRPr="00C83DF5" w:rsidRDefault="00163658" w:rsidP="009A5D6F">
      <w:pPr>
        <w:ind w:left="720"/>
        <w:rPr>
          <w:lang w:val="de-DE"/>
        </w:rPr>
      </w:pPr>
      <w:r w:rsidRPr="00C83DF5">
        <w:rPr>
          <w:rFonts w:cs="Tahoma"/>
          <w:szCs w:val="20"/>
          <w:lang w:val="de-DE"/>
        </w:rPr>
        <w:t>Ab 1. April 2013 beinhaltet eine Lizenz für die Enterprise CAL Suite mit aktiver Software Assurance die Rechte zur Exchange Online-Archivierung für Exchange Server, Vermeidung von Datenverlusten und Exchange Online Protection.</w:t>
      </w:r>
    </w:p>
    <w:p w:rsidR="00855B26" w:rsidRPr="007025E3" w:rsidRDefault="00855B26" w:rsidP="00855B26">
      <w:pPr>
        <w:ind w:left="720"/>
        <w:rPr>
          <w:rFonts w:cs="Tahoma"/>
          <w:szCs w:val="20"/>
          <w:lang w:val="de-DE"/>
        </w:rPr>
      </w:pPr>
    </w:p>
    <w:p w:rsidR="00855B26" w:rsidRPr="00C83DF5" w:rsidRDefault="00855B26" w:rsidP="00973B91">
      <w:pPr>
        <w:ind w:left="720"/>
        <w:rPr>
          <w:lang w:val="de-DE"/>
        </w:rPr>
      </w:pPr>
      <w:r w:rsidRPr="00C83DF5">
        <w:rPr>
          <w:rFonts w:cs="Tahoma"/>
          <w:szCs w:val="20"/>
          <w:u w:val="single"/>
          <w:lang w:val="de-DE"/>
        </w:rPr>
        <w:t>Internationale Verfügbarkeit</w:t>
      </w:r>
      <w:r w:rsidRPr="00C83DF5">
        <w:rPr>
          <w:rFonts w:cs="Tahoma"/>
          <w:szCs w:val="20"/>
          <w:lang w:val="de-DE"/>
        </w:rPr>
        <w:t>. Diese Onlinedienste sind nur in Ländern verfügbar, in denen Office 365 verfügbar ist:</w:t>
      </w:r>
      <w:r w:rsidRPr="00BA36E1">
        <w:rPr>
          <w:rFonts w:cs="Tahoma"/>
          <w:szCs w:val="20"/>
          <w:lang w:val="de-DE"/>
        </w:rPr>
        <w:t xml:space="preserve"> </w:t>
      </w:r>
      <w:hyperlink r:id="rId47" w:anchor="international" w:history="1">
        <w:r w:rsidR="00973B91" w:rsidRPr="00973B91">
          <w:rPr>
            <w:rStyle w:val="Hyperlink"/>
            <w:color w:val="5B9BD5"/>
            <w:lang w:val="de-DE"/>
          </w:rPr>
          <w:t>http://www.microsoft.com/online/faq.aspx#international</w:t>
        </w:r>
      </w:hyperlink>
      <w:r w:rsidRPr="00C83DF5">
        <w:rPr>
          <w:color w:val="5B9BD5"/>
          <w:lang w:val="de-DE"/>
        </w:rPr>
        <w:br/>
      </w:r>
    </w:p>
    <w:p w:rsidR="00163658" w:rsidRPr="00C83DF5" w:rsidRDefault="000150D5" w:rsidP="000150D5">
      <w:pPr>
        <w:ind w:left="720"/>
        <w:rPr>
          <w:lang w:val="de-DE"/>
        </w:rPr>
      </w:pPr>
      <w:r w:rsidRPr="00C83DF5">
        <w:rPr>
          <w:rFonts w:cs="Tahoma"/>
          <w:szCs w:val="20"/>
          <w:u w:val="single"/>
          <w:lang w:val="de-DE"/>
        </w:rPr>
        <w:t>Erbringung</w:t>
      </w:r>
      <w:r w:rsidRPr="00BA36E1">
        <w:rPr>
          <w:rFonts w:cs="Tahoma"/>
          <w:szCs w:val="20"/>
          <w:lang w:val="de-DE"/>
        </w:rPr>
        <w:t xml:space="preserve">. </w:t>
      </w:r>
      <w:r w:rsidRPr="00C83DF5">
        <w:rPr>
          <w:rFonts w:cs="Tahoma"/>
          <w:szCs w:val="20"/>
          <w:lang w:val="de-DE"/>
        </w:rPr>
        <w:t>Kunden können die Inanspruchnahme dieser Dienste aufnehmen, indem sie ihren Microsoft-Partner kontaktieren, der den für die Aktivierung eines jeden Dienstes erforderlichen Erbringungsprozess anstoßen kann.</w:t>
      </w:r>
    </w:p>
    <w:p w:rsidR="00855B26" w:rsidRPr="00C83DF5" w:rsidRDefault="00855B26" w:rsidP="000150D5">
      <w:pPr>
        <w:ind w:left="720"/>
        <w:rPr>
          <w:lang w:val="de-DE"/>
        </w:rPr>
      </w:pPr>
    </w:p>
    <w:p w:rsidR="00391D38" w:rsidRPr="00C83DF5" w:rsidRDefault="000150D5" w:rsidP="006C3191">
      <w:pPr>
        <w:ind w:left="720"/>
        <w:rPr>
          <w:lang w:val="de-DE"/>
        </w:rPr>
      </w:pPr>
      <w:r w:rsidRPr="00C83DF5">
        <w:rPr>
          <w:snapToGrid w:val="0"/>
          <w:u w:val="single"/>
          <w:lang w:val="de-DE"/>
        </w:rPr>
        <w:t>Ergänzende Bestimmungen</w:t>
      </w:r>
      <w:r w:rsidRPr="00230B92">
        <w:rPr>
          <w:snapToGrid w:val="0"/>
          <w:lang w:val="de-DE"/>
        </w:rPr>
        <w:t xml:space="preserve">. </w:t>
      </w:r>
      <w:r w:rsidRPr="00C83DF5">
        <w:rPr>
          <w:rFonts w:cs="Tahoma"/>
          <w:szCs w:val="20"/>
          <w:lang w:val="de-DE"/>
        </w:rPr>
        <w:t xml:space="preserve">Die Ergänzenden Bestimmungen („Ergänzende Bestimmungen“) in </w:t>
      </w:r>
      <w:hyperlink w:anchor="_Section_10_–" w:history="1">
        <w:r w:rsidRPr="00C83DF5">
          <w:rPr>
            <w:rStyle w:val="Hyperlink"/>
            <w:rFonts w:cs="Tahoma"/>
            <w:szCs w:val="20"/>
            <w:lang w:val="de-DE"/>
          </w:rPr>
          <w:t>Abschnitt 10</w:t>
        </w:r>
      </w:hyperlink>
      <w:r w:rsidRPr="00C83DF5">
        <w:rPr>
          <w:rFonts w:cs="Tahoma"/>
          <w:szCs w:val="20"/>
          <w:lang w:val="de-DE"/>
        </w:rPr>
        <w:t xml:space="preserve"> gelten für </w:t>
      </w:r>
      <w:r w:rsidRPr="00C83DF5">
        <w:rPr>
          <w:snapToGrid w:val="0"/>
          <w:lang w:val="de-DE"/>
        </w:rPr>
        <w:t>den Erwerb und die Nutzung der in Enterprise CAL Suite enthaltenen Onlinedienste durch die</w:t>
      </w:r>
      <w:r w:rsidR="006C3191">
        <w:rPr>
          <w:snapToGrid w:val="0"/>
          <w:lang w:val="de-DE"/>
        </w:rPr>
        <w:t> </w:t>
      </w:r>
      <w:r w:rsidRPr="00C83DF5">
        <w:rPr>
          <w:snapToGrid w:val="0"/>
          <w:lang w:val="de-DE"/>
        </w:rPr>
        <w:t>Kunden.</w:t>
      </w:r>
      <w:r w:rsidR="00E71F46" w:rsidRPr="00C83DF5">
        <w:rPr>
          <w:rFonts w:cs="Tahoma"/>
          <w:szCs w:val="20"/>
          <w:lang w:val="de-DE"/>
        </w:rPr>
        <w:t xml:space="preserve"> </w:t>
      </w:r>
    </w:p>
    <w:p w:rsidR="00391D38" w:rsidRPr="00C83DF5" w:rsidRDefault="00391D38" w:rsidP="0084072C">
      <w:pPr>
        <w:ind w:left="720"/>
        <w:rPr>
          <w:lang w:val="de-DE"/>
        </w:rPr>
      </w:pPr>
    </w:p>
    <w:p w:rsidR="00112BE6" w:rsidRPr="00C83DF5" w:rsidRDefault="00112BE6" w:rsidP="005D1A15">
      <w:pPr>
        <w:spacing w:after="60"/>
        <w:ind w:left="720"/>
        <w:rPr>
          <w:lang w:val="de-DE"/>
        </w:rPr>
      </w:pPr>
      <w:r w:rsidRPr="00C83DF5">
        <w:rPr>
          <w:rFonts w:cs="Tahoma"/>
          <w:b/>
          <w:color w:val="000000"/>
          <w:szCs w:val="20"/>
          <w:lang w:val="de-DE"/>
        </w:rPr>
        <w:lastRenderedPageBreak/>
        <w:t>Forefront Unified Access Gateway 2010</w:t>
      </w:r>
    </w:p>
    <w:p w:rsidR="005D1A15" w:rsidRPr="00C83DF5" w:rsidRDefault="005D1A15" w:rsidP="00112BE6">
      <w:pPr>
        <w:spacing w:after="60"/>
        <w:ind w:left="720"/>
        <w:rPr>
          <w:lang w:val="de-DE"/>
        </w:rPr>
      </w:pPr>
      <w:r w:rsidRPr="00C83DF5">
        <w:rPr>
          <w:rFonts w:cs="Tahoma"/>
          <w:color w:val="000000"/>
          <w:szCs w:val="20"/>
          <w:u w:val="single"/>
          <w:lang w:val="de-DE"/>
        </w:rPr>
        <w:t>True Up-Rechte</w:t>
      </w:r>
      <w:r w:rsidR="009237B2" w:rsidRPr="009237B2">
        <w:rPr>
          <w:rFonts w:cs="Tahoma"/>
          <w:color w:val="000000"/>
          <w:szCs w:val="20"/>
          <w:lang w:val="de-DE"/>
        </w:rPr>
        <w:t xml:space="preserve"> </w:t>
      </w:r>
      <w:r w:rsidRPr="00C83DF5">
        <w:rPr>
          <w:rFonts w:cs="Tahoma"/>
          <w:color w:val="000000"/>
          <w:szCs w:val="2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 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w:t>
      </w:r>
      <w:r w:rsidR="00E71F46" w:rsidRPr="00C83DF5">
        <w:rPr>
          <w:rFonts w:cs="Tahoma"/>
          <w:color w:val="000000"/>
          <w:szCs w:val="20"/>
          <w:lang w:val="de-DE"/>
        </w:rPr>
        <w:t xml:space="preserve"> </w:t>
      </w:r>
      <w:r w:rsidRPr="00C83DF5">
        <w:rPr>
          <w:rFonts w:cs="Tahoma"/>
          <w:color w:val="000000"/>
          <w:szCs w:val="20"/>
          <w:lang w:val="de-DE"/>
        </w:rPr>
        <w:t>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rsidR="005D1A15" w:rsidRPr="00C83DF5" w:rsidRDefault="00112BE6" w:rsidP="009237B2">
      <w:pPr>
        <w:spacing w:before="120" w:after="60"/>
        <w:ind w:left="720"/>
        <w:rPr>
          <w:lang w:val="de-DE"/>
        </w:rPr>
      </w:pPr>
      <w:r w:rsidRPr="00C83DF5">
        <w:rPr>
          <w:rFonts w:cs="Tahoma"/>
          <w:color w:val="000000"/>
          <w:szCs w:val="20"/>
          <w:lang w:val="de-DE"/>
        </w:rPr>
        <w:t>Software Assurance. 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w:t>
      </w:r>
      <w:r w:rsidR="009237B2">
        <w:rPr>
          <w:rFonts w:cs="Tahoma"/>
          <w:color w:val="000000"/>
          <w:szCs w:val="20"/>
          <w:lang w:val="de-DE"/>
        </w:rPr>
        <w:t> </w:t>
      </w:r>
      <w:r w:rsidRPr="00C83DF5">
        <w:rPr>
          <w:rFonts w:cs="Tahoma"/>
          <w:color w:val="000000"/>
          <w:szCs w:val="20"/>
          <w:lang w:val="de-DE"/>
        </w:rPr>
        <w:t>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rsidR="005D1A15" w:rsidRPr="007025E3" w:rsidRDefault="005D1A15" w:rsidP="00630ED6">
      <w:pPr>
        <w:ind w:left="720"/>
        <w:rPr>
          <w:rFonts w:cs="Tahoma"/>
          <w:color w:val="000000"/>
          <w:szCs w:val="20"/>
          <w:lang w:val="de-DE"/>
        </w:rPr>
      </w:pPr>
    </w:p>
    <w:p w:rsidR="004E3869" w:rsidRPr="00C83DF5" w:rsidRDefault="00A2724A" w:rsidP="0084072C">
      <w:pPr>
        <w:spacing w:after="60"/>
        <w:ind w:left="720"/>
        <w:rPr>
          <w:lang w:val="de-DE"/>
        </w:rPr>
      </w:pPr>
      <w:r w:rsidRPr="00C83DF5">
        <w:rPr>
          <w:rFonts w:cs="Tahoma"/>
          <w:b/>
          <w:color w:val="000000"/>
          <w:szCs w:val="20"/>
          <w:lang w:val="de-DE"/>
        </w:rPr>
        <w:t>Erweiterte Nutzungsrechte für Forefront-Produkte</w:t>
      </w:r>
    </w:p>
    <w:p w:rsidR="00C349AE" w:rsidRPr="00C83DF5" w:rsidRDefault="00793CBD" w:rsidP="00D9293C">
      <w:pPr>
        <w:ind w:left="720"/>
        <w:rPr>
          <w:lang w:val="de-DE"/>
        </w:rPr>
      </w:pPr>
      <w:r w:rsidRPr="00C83DF5">
        <w:rPr>
          <w:rFonts w:cs="Tahoma"/>
          <w:bCs/>
          <w:color w:val="000000"/>
          <w:szCs w:val="18"/>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00E71F46" w:rsidRPr="00C83DF5">
        <w:rPr>
          <w:rFonts w:cs="Tahoma"/>
          <w:bCs/>
          <w:color w:val="000000"/>
          <w:szCs w:val="18"/>
          <w:lang w:val="de-DE"/>
        </w:rPr>
        <w:t xml:space="preserve"> </w:t>
      </w:r>
      <w:r w:rsidRPr="00C83DF5">
        <w:rPr>
          <w:rFonts w:cs="Tahoma"/>
          <w:bCs/>
          <w:color w:val="000000"/>
          <w:szCs w:val="18"/>
          <w:lang w:val="de-DE"/>
        </w:rPr>
        <w:t xml:space="preserve">Diese Kunden sind außerdem berechtigt, die Komponenten </w:t>
      </w:r>
      <w:r w:rsidRPr="00C83DF5">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C83DF5">
        <w:rPr>
          <w:rFonts w:cs="Tahoma"/>
          <w:bCs/>
          <w:color w:val="000000"/>
          <w:szCs w:val="18"/>
          <w:lang w:val="de-DE"/>
        </w:rPr>
        <w:t>der Suite weiterhin bis zum 31. Dezember 2015 zu verwenden. Diese</w:t>
      </w:r>
      <w:r w:rsidR="00D9293C">
        <w:rPr>
          <w:rFonts w:cs="Tahoma"/>
          <w:bCs/>
          <w:color w:val="000000"/>
          <w:szCs w:val="18"/>
          <w:lang w:val="de-DE"/>
        </w:rPr>
        <w:t> </w:t>
      </w:r>
      <w:r w:rsidRPr="00C83DF5">
        <w:rPr>
          <w:rFonts w:cs="Tahoma"/>
          <w:bCs/>
          <w:color w:val="000000"/>
          <w:szCs w:val="18"/>
          <w:lang w:val="de-DE"/>
        </w:rPr>
        <w:t>Bestimmungen gelten auch für nachfolgende Enterprise CAL Suite-Lizenzen, die von diesen Kunden</w:t>
      </w:r>
      <w:r w:rsidR="00D9293C">
        <w:rPr>
          <w:rFonts w:cs="Tahoma"/>
          <w:bCs/>
          <w:color w:val="000000"/>
          <w:szCs w:val="18"/>
          <w:lang w:val="de-DE"/>
        </w:rPr>
        <w:t> </w:t>
      </w:r>
      <w:r w:rsidRPr="00C83DF5">
        <w:rPr>
          <w:rFonts w:cs="Tahoma"/>
          <w:bCs/>
          <w:color w:val="000000"/>
          <w:szCs w:val="18"/>
          <w:lang w:val="de-DE"/>
        </w:rPr>
        <w:t>vor dem 31. Dezember 2015 erworben werden. Die fortgesetzte Verwendung der Komponenten-Onlinedienste unterliegt weiterhin den Bestimmungen des Volumenlizenzvertrages des Kunden, den</w:t>
      </w:r>
      <w:r w:rsidR="00D9293C">
        <w:rPr>
          <w:rFonts w:cs="Tahoma"/>
          <w:bCs/>
          <w:color w:val="000000"/>
          <w:szCs w:val="18"/>
          <w:lang w:val="de-DE"/>
        </w:rPr>
        <w:t> </w:t>
      </w:r>
      <w:r w:rsidRPr="00C83DF5">
        <w:rPr>
          <w:rFonts w:cs="Tahoma"/>
          <w:bCs/>
          <w:color w:val="000000"/>
          <w:szCs w:val="18"/>
          <w:lang w:val="de-DE"/>
        </w:rPr>
        <w:t>Produktbenutzungsrechten für die Onlinedienste und den hierin enthaltenen Bestimmungen.</w:t>
      </w:r>
    </w:p>
    <w:p w:rsidR="00C349AE" w:rsidRPr="00C83DF5" w:rsidRDefault="00C349AE" w:rsidP="0084072C">
      <w:pPr>
        <w:ind w:left="720"/>
        <w:rPr>
          <w:lang w:val="de-DE"/>
        </w:rPr>
      </w:pPr>
    </w:p>
    <w:p w:rsidR="004E3869" w:rsidRPr="00C83DF5" w:rsidRDefault="004E3869" w:rsidP="0084072C">
      <w:pPr>
        <w:spacing w:after="60"/>
        <w:ind w:left="720"/>
        <w:rPr>
          <w:lang w:val="de-DE"/>
        </w:rPr>
      </w:pPr>
      <w:r w:rsidRPr="00C83DF5">
        <w:rPr>
          <w:rFonts w:cs="Tahoma"/>
          <w:b/>
          <w:color w:val="000000"/>
          <w:szCs w:val="20"/>
          <w:lang w:val="de-DE"/>
        </w:rPr>
        <w:t xml:space="preserve">Forefront Protection Suite </w:t>
      </w:r>
    </w:p>
    <w:p w:rsidR="004E3869" w:rsidRPr="00C83DF5" w:rsidRDefault="004E3869" w:rsidP="0084072C">
      <w:pPr>
        <w:ind w:left="720"/>
        <w:rPr>
          <w:lang w:val="de-DE"/>
        </w:rPr>
      </w:pPr>
      <w:r w:rsidRPr="00C83DF5">
        <w:rPr>
          <w:rFonts w:cs="Tahoma"/>
          <w:color w:val="000000"/>
          <w:szCs w:val="20"/>
          <w:lang w:val="de-DE"/>
        </w:rPr>
        <w:t>Das Forefront Protection Suite-Abonnement umfasst die folgenden Onlinedienste:</w:t>
      </w:r>
      <w:r w:rsidR="00E71F46" w:rsidRPr="00C83DF5">
        <w:rPr>
          <w:rFonts w:cs="Tahoma"/>
          <w:color w:val="000000"/>
          <w:szCs w:val="20"/>
          <w:lang w:val="de-DE"/>
        </w:rPr>
        <w:t xml:space="preserve"> </w:t>
      </w:r>
      <w:r w:rsidRPr="00C83DF5">
        <w:rPr>
          <w:rFonts w:cs="Tahoma"/>
          <w:color w:val="000000"/>
          <w:szCs w:val="20"/>
          <w:lang w:val="de-DE"/>
        </w:rPr>
        <w:t xml:space="preserve">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B2460D" w:rsidRPr="00C83DF5" w:rsidRDefault="00B2460D" w:rsidP="0084072C">
      <w:pPr>
        <w:ind w:left="720"/>
        <w:rPr>
          <w:lang w:val="de-DE"/>
        </w:rPr>
      </w:pPr>
    </w:p>
    <w:p w:rsidR="00023FE7" w:rsidRPr="00C83DF5" w:rsidRDefault="00023FE7" w:rsidP="0084072C">
      <w:pPr>
        <w:spacing w:after="60"/>
        <w:ind w:left="720"/>
        <w:rPr>
          <w:lang w:val="de-DE"/>
        </w:rPr>
      </w:pPr>
      <w:r w:rsidRPr="00C83DF5">
        <w:rPr>
          <w:rFonts w:cs="Tahoma"/>
          <w:b/>
          <w:color w:val="000000"/>
          <w:szCs w:val="20"/>
          <w:lang w:val="de-DE"/>
        </w:rPr>
        <w:t>CALs für Studenten (Open- und Select-Lizenz für Forschung &amp; Lehre)</w:t>
      </w:r>
    </w:p>
    <w:p w:rsidR="00023FE7" w:rsidRPr="00C83DF5" w:rsidRDefault="00023FE7" w:rsidP="0084072C">
      <w:pPr>
        <w:ind w:left="720"/>
        <w:rPr>
          <w:lang w:val="de-DE"/>
        </w:rPr>
      </w:pPr>
      <w:r w:rsidRPr="00C83DF5">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026546" w:rsidRPr="00C83DF5" w:rsidRDefault="00026546" w:rsidP="0084072C">
      <w:pPr>
        <w:ind w:left="720"/>
        <w:rPr>
          <w:lang w:val="de-DE"/>
        </w:rPr>
      </w:pPr>
    </w:p>
    <w:p w:rsidR="007B35CE" w:rsidRDefault="007B35CE" w:rsidP="0084072C">
      <w:pPr>
        <w:ind w:left="720"/>
        <w:rPr>
          <w:lang w:val="de-DE"/>
        </w:rPr>
      </w:pPr>
    </w:p>
    <w:p w:rsidR="00946661" w:rsidRDefault="00946661" w:rsidP="0084072C">
      <w:pPr>
        <w:ind w:left="720"/>
        <w:rPr>
          <w:lang w:val="de-DE"/>
        </w:rPr>
      </w:pPr>
    </w:p>
    <w:p w:rsidR="00946661" w:rsidRDefault="00946661" w:rsidP="0084072C">
      <w:pPr>
        <w:ind w:left="720"/>
        <w:rPr>
          <w:lang w:val="de-DE"/>
        </w:rPr>
      </w:pPr>
    </w:p>
    <w:p w:rsidR="00946661" w:rsidRDefault="00946661" w:rsidP="0084072C">
      <w:pPr>
        <w:ind w:left="720"/>
        <w:rPr>
          <w:lang w:val="de-DE"/>
        </w:rPr>
      </w:pPr>
    </w:p>
    <w:p w:rsidR="00946661" w:rsidRDefault="00946661" w:rsidP="0084072C">
      <w:pPr>
        <w:ind w:left="720"/>
        <w:rPr>
          <w:lang w:val="de-DE"/>
        </w:rPr>
      </w:pPr>
    </w:p>
    <w:p w:rsidR="00946661" w:rsidRDefault="00946661" w:rsidP="0084072C">
      <w:pPr>
        <w:ind w:left="720"/>
        <w:rPr>
          <w:lang w:val="de-DE"/>
        </w:rPr>
      </w:pPr>
    </w:p>
    <w:p w:rsidR="00946661" w:rsidRDefault="00946661" w:rsidP="0084072C">
      <w:pPr>
        <w:ind w:left="720"/>
        <w:rPr>
          <w:lang w:val="de-DE"/>
        </w:rPr>
      </w:pPr>
    </w:p>
    <w:p w:rsidR="00946661" w:rsidRDefault="00946661" w:rsidP="0084072C">
      <w:pPr>
        <w:ind w:left="720"/>
        <w:rPr>
          <w:lang w:val="de-DE"/>
        </w:rPr>
      </w:pPr>
    </w:p>
    <w:p w:rsidR="00946661" w:rsidRPr="00C83DF5" w:rsidRDefault="00946661" w:rsidP="0084072C">
      <w:pPr>
        <w:ind w:left="720"/>
        <w:rPr>
          <w:lang w:val="de-DE"/>
        </w:rPr>
      </w:pPr>
    </w:p>
    <w:p w:rsidR="00112BE6" w:rsidRPr="00C83DF5" w:rsidRDefault="00A560B6" w:rsidP="00112BE6">
      <w:pPr>
        <w:pStyle w:val="Heading3"/>
        <w:rPr>
          <w:lang w:val="de-DE"/>
        </w:rPr>
      </w:pPr>
      <w:bookmarkStart w:id="1211" w:name="_45_Exchange_Enterprise"/>
      <w:bookmarkStart w:id="1212" w:name="_48_Exchange_Enterprise"/>
      <w:bookmarkStart w:id="1213" w:name="_47_Exchange_Enterprise"/>
      <w:bookmarkStart w:id="1214" w:name="_Toc370983415"/>
      <w:bookmarkEnd w:id="1211"/>
      <w:bookmarkEnd w:id="1212"/>
      <w:bookmarkEnd w:id="1213"/>
      <w:r w:rsidRPr="00C83DF5">
        <w:rPr>
          <w:rFonts w:ascii="Tahoma" w:hAnsi="Tahoma"/>
          <w:caps/>
          <w:color w:val="F66400"/>
          <w:sz w:val="22"/>
          <w:vertAlign w:val="superscript"/>
          <w:lang w:val="de-DE"/>
        </w:rPr>
        <w:lastRenderedPageBreak/>
        <w:t>47</w:t>
      </w:r>
      <w:r w:rsidRPr="00C83DF5">
        <w:rPr>
          <w:rFonts w:ascii="Tahoma" w:hAnsi="Tahoma"/>
          <w:color w:val="F66400"/>
          <w:sz w:val="22"/>
          <w:lang w:val="de-DE"/>
        </w:rPr>
        <w:t xml:space="preserve"> Exchange Enterprise CAL mit Diensten 2013</w:t>
      </w:r>
      <w:bookmarkEnd w:id="1214"/>
      <w:r w:rsidRPr="00C83DF5">
        <w:rPr>
          <w:rFonts w:ascii="Tahoma" w:hAnsi="Tahoma"/>
          <w:color w:val="F66400"/>
          <w:sz w:val="22"/>
          <w:lang w:val="de-DE"/>
        </w:rPr>
        <w:t xml:space="preserve"> </w:t>
      </w:r>
    </w:p>
    <w:p w:rsidR="00112BE6" w:rsidRPr="00C83DF5" w:rsidRDefault="00112BE6" w:rsidP="00112BE6">
      <w:pPr>
        <w:rPr>
          <w:lang w:val="de-DE"/>
        </w:rPr>
      </w:pPr>
    </w:p>
    <w:p w:rsidR="00112BE6" w:rsidRPr="00C83DF5" w:rsidRDefault="00112BE6" w:rsidP="00112BE6">
      <w:pPr>
        <w:ind w:left="720"/>
        <w:rPr>
          <w:lang w:val="de-DE"/>
        </w:rPr>
      </w:pPr>
      <w:r w:rsidRPr="00C83DF5">
        <w:rPr>
          <w:rFonts w:cs="Tahoma"/>
          <w:b/>
          <w:szCs w:val="20"/>
          <w:lang w:val="de-DE"/>
        </w:rPr>
        <w:t>In Exchange Enterprise CAL mit Diensten 2013 enthaltene Onlinedienste</w:t>
      </w:r>
    </w:p>
    <w:p w:rsidR="00112BE6" w:rsidRPr="00C83DF5" w:rsidRDefault="00112BE6" w:rsidP="00946661">
      <w:pPr>
        <w:ind w:left="720"/>
        <w:rPr>
          <w:lang w:val="de-DE"/>
        </w:rPr>
      </w:pPr>
      <w:r w:rsidRPr="00C83DF5">
        <w:rPr>
          <w:rFonts w:cs="Tahoma"/>
          <w:szCs w:val="20"/>
          <w:lang w:val="de-DE"/>
        </w:rPr>
        <w:t>Ab 1. April 2013 beinhaltet eine Lizenz für Exchange Enterprise CAL mit Diensten 2013 mit aktiver Software</w:t>
      </w:r>
      <w:r w:rsidR="00946661">
        <w:rPr>
          <w:rFonts w:cs="Tahoma"/>
          <w:szCs w:val="20"/>
          <w:lang w:val="de-DE"/>
        </w:rPr>
        <w:t> </w:t>
      </w:r>
      <w:r w:rsidRPr="00C83DF5">
        <w:rPr>
          <w:rFonts w:cs="Tahoma"/>
          <w:szCs w:val="20"/>
          <w:lang w:val="de-DE"/>
        </w:rPr>
        <w:t>Assurance die Rechte zur Vermeidung von Datenverlusten und Exchange Online Protection.</w:t>
      </w:r>
    </w:p>
    <w:p w:rsidR="00112BE6" w:rsidRPr="00C83DF5" w:rsidRDefault="00112BE6" w:rsidP="00112BE6">
      <w:pPr>
        <w:ind w:left="720"/>
        <w:rPr>
          <w:lang w:val="de-DE"/>
        </w:rPr>
      </w:pPr>
    </w:p>
    <w:p w:rsidR="00855B26" w:rsidRPr="00C83DF5" w:rsidRDefault="00855B26" w:rsidP="00652716">
      <w:pPr>
        <w:ind w:left="720"/>
        <w:rPr>
          <w:lang w:val="de-DE"/>
        </w:rPr>
      </w:pPr>
      <w:r w:rsidRPr="00C83DF5">
        <w:rPr>
          <w:rFonts w:cs="Tahoma"/>
          <w:szCs w:val="20"/>
          <w:u w:val="single"/>
          <w:lang w:val="de-DE"/>
        </w:rPr>
        <w:t>Internationale Verfügbarkeit</w:t>
      </w:r>
      <w:r w:rsidRPr="00C83DF5">
        <w:rPr>
          <w:rFonts w:cs="Tahoma"/>
          <w:szCs w:val="20"/>
          <w:lang w:val="de-DE"/>
        </w:rPr>
        <w:t>. Diese Onlinedienste sind nur in Ländern verfügbar, in denen Office 365 verfügbar ist:</w:t>
      </w:r>
      <w:r w:rsidRPr="00C83DF5">
        <w:rPr>
          <w:rFonts w:cs="Tahoma"/>
          <w:color w:val="5B9BD5"/>
          <w:szCs w:val="20"/>
          <w:lang w:val="de-DE"/>
        </w:rPr>
        <w:t xml:space="preserve"> </w:t>
      </w:r>
      <w:hyperlink r:id="rId48" w:anchor="international" w:history="1">
        <w:r w:rsidR="00652716" w:rsidRPr="00652716">
          <w:rPr>
            <w:rStyle w:val="Hyperlink"/>
            <w:color w:val="5B9BD5"/>
            <w:lang w:val="de-DE"/>
          </w:rPr>
          <w:t>http://www.microsoft.com/online/faq.aspx#international</w:t>
        </w:r>
      </w:hyperlink>
      <w:r w:rsidRPr="00C83DF5">
        <w:rPr>
          <w:color w:val="5B9BD5"/>
          <w:lang w:val="de-DE"/>
        </w:rPr>
        <w:br/>
      </w:r>
    </w:p>
    <w:p w:rsidR="00112BE6" w:rsidRPr="00C83DF5" w:rsidRDefault="00112BE6" w:rsidP="00112BE6">
      <w:pPr>
        <w:ind w:left="720"/>
        <w:rPr>
          <w:lang w:val="de-DE"/>
        </w:rPr>
      </w:pPr>
      <w:r w:rsidRPr="00C83DF5">
        <w:rPr>
          <w:rFonts w:cs="Tahoma"/>
          <w:szCs w:val="20"/>
          <w:u w:val="single"/>
          <w:lang w:val="de-DE"/>
        </w:rPr>
        <w:t>Erbringung</w:t>
      </w:r>
      <w:r w:rsidRPr="00C83DF5">
        <w:rPr>
          <w:rFonts w:cs="Tahoma"/>
          <w:szCs w:val="20"/>
          <w:lang w:val="de-DE"/>
        </w:rPr>
        <w:t>. Kunden können die Inanspruchnahme dieser Dienste aufnehmen, indem sie ihren Microsoft-Partner kontaktieren, der den für die Aktivierung eines jeden Dienstes erforderlichen Erbringungsprozess anstoßen kann.</w:t>
      </w:r>
    </w:p>
    <w:p w:rsidR="00112BE6" w:rsidRPr="00C83DF5" w:rsidRDefault="00112BE6" w:rsidP="00112BE6">
      <w:pPr>
        <w:ind w:left="720"/>
        <w:rPr>
          <w:lang w:val="de-DE"/>
        </w:rPr>
      </w:pPr>
    </w:p>
    <w:p w:rsidR="00112BE6" w:rsidRPr="00C83DF5" w:rsidRDefault="00112BE6" w:rsidP="00112BE6">
      <w:pPr>
        <w:ind w:left="720"/>
        <w:rPr>
          <w:lang w:val="de-DE"/>
        </w:rPr>
      </w:pPr>
      <w:r w:rsidRPr="00C83DF5">
        <w:rPr>
          <w:rFonts w:cs="Tahoma"/>
          <w:szCs w:val="20"/>
          <w:u w:val="single"/>
          <w:lang w:val="de-DE"/>
        </w:rPr>
        <w:t>Ergänzende Bestimmungen</w:t>
      </w:r>
      <w:r w:rsidRPr="00C83DF5">
        <w:rPr>
          <w:rFonts w:cs="Tahoma"/>
          <w:szCs w:val="20"/>
          <w:lang w:val="de-DE"/>
        </w:rPr>
        <w:t xml:space="preserve">. Die Ergänzenden Bestimmungen („Ergänzende Bestimmungen“) in </w:t>
      </w:r>
      <w:hyperlink w:anchor="_Section_10_–" w:history="1">
        <w:r w:rsidRPr="00C83DF5">
          <w:rPr>
            <w:rStyle w:val="Hyperlink"/>
            <w:rFonts w:cs="Tahoma"/>
            <w:szCs w:val="20"/>
            <w:lang w:val="de-DE"/>
          </w:rPr>
          <w:t>Abschnitt 10</w:t>
        </w:r>
      </w:hyperlink>
      <w:r w:rsidRPr="00C83DF5">
        <w:rPr>
          <w:rFonts w:cs="Tahoma"/>
          <w:szCs w:val="20"/>
          <w:lang w:val="de-DE"/>
        </w:rPr>
        <w:t xml:space="preserve"> gelten für </w:t>
      </w:r>
      <w:r w:rsidRPr="00C83DF5">
        <w:rPr>
          <w:snapToGrid w:val="0"/>
          <w:lang w:val="de-DE"/>
        </w:rPr>
        <w:t>den Erwerb und die Nutzung der in Exchange Enterprise CAL mit Diensten 2013 enthaltenen Onlinedienste durch die Kunden.</w:t>
      </w:r>
    </w:p>
    <w:p w:rsidR="00D70D2C" w:rsidRPr="00C83DF5" w:rsidRDefault="00D70D2C" w:rsidP="0084072C">
      <w:pPr>
        <w:ind w:left="540"/>
        <w:rPr>
          <w:lang w:val="de-DE"/>
        </w:rPr>
      </w:pPr>
    </w:p>
    <w:p w:rsidR="007B35CE" w:rsidRPr="00C83DF5" w:rsidRDefault="007B35CE" w:rsidP="0084072C">
      <w:pPr>
        <w:ind w:left="540"/>
        <w:rPr>
          <w:lang w:val="de-DE"/>
        </w:rPr>
      </w:pPr>
    </w:p>
    <w:p w:rsidR="00D70D2C" w:rsidRPr="00C83DF5" w:rsidRDefault="0085774C" w:rsidP="00D70D2C">
      <w:pPr>
        <w:pStyle w:val="Heading2"/>
        <w:ind w:left="270" w:hanging="270"/>
        <w:rPr>
          <w:lang w:val="de-DE"/>
        </w:rPr>
      </w:pPr>
      <w:bookmarkStart w:id="1215" w:name="_43_Exchange_Enterprise"/>
      <w:bookmarkStart w:id="1216" w:name="_44_Exchange_Online"/>
      <w:bookmarkStart w:id="1217" w:name="_48_Exchange_Online-Archivierung"/>
      <w:bookmarkStart w:id="1218" w:name="_Toc336338305"/>
      <w:bookmarkStart w:id="1219" w:name="Srv_45ExchOnlineArchivingUserSL"/>
      <w:bookmarkStart w:id="1220" w:name="_Toc370983416"/>
      <w:bookmarkEnd w:id="1215"/>
      <w:bookmarkEnd w:id="1216"/>
      <w:bookmarkEnd w:id="1217"/>
      <w:r w:rsidRPr="00C83DF5">
        <w:rPr>
          <w:rFonts w:ascii="Tahoma" w:hAnsi="Tahoma" w:cs="Tahoma"/>
          <w:color w:val="F26200"/>
          <w:sz w:val="20"/>
          <w:vertAlign w:val="superscript"/>
          <w:lang w:val="de-DE"/>
        </w:rPr>
        <w:t>48</w:t>
      </w:r>
      <w:r w:rsidRPr="00C83DF5">
        <w:rPr>
          <w:rFonts w:ascii="Tahoma" w:hAnsi="Tahoma" w:cs="Tahoma"/>
          <w:color w:val="F26200"/>
          <w:lang w:val="de-DE"/>
        </w:rPr>
        <w:t xml:space="preserve"> </w:t>
      </w:r>
      <w:r w:rsidRPr="00C83DF5">
        <w:rPr>
          <w:rFonts w:ascii="Tahoma" w:hAnsi="Tahoma" w:cs="Tahoma"/>
          <w:color w:val="F26200"/>
          <w:sz w:val="22"/>
          <w:lang w:val="de-DE"/>
        </w:rPr>
        <w:t>Exchange Online-Archivierung für Exchange Server (Nutzer-AL)</w:t>
      </w:r>
      <w:bookmarkEnd w:id="1218"/>
      <w:bookmarkEnd w:id="1220"/>
    </w:p>
    <w:bookmarkEnd w:id="1219"/>
    <w:p w:rsidR="00D70D2C" w:rsidRPr="00C83DF5" w:rsidRDefault="00D70D2C" w:rsidP="00D70D2C">
      <w:pPr>
        <w:ind w:left="900"/>
        <w:rPr>
          <w:lang w:val="de-DE"/>
        </w:rPr>
      </w:pPr>
    </w:p>
    <w:p w:rsidR="00D70D2C" w:rsidRPr="00C83DF5" w:rsidRDefault="00D70D2C" w:rsidP="00E62BC4">
      <w:pPr>
        <w:pStyle w:val="ListParagraph"/>
        <w:rPr>
          <w:lang w:val="de-DE"/>
        </w:rPr>
      </w:pPr>
      <w:r w:rsidRPr="00C83DF5">
        <w:rPr>
          <w:rFonts w:ascii="Tahoma" w:hAnsi="Tahoma" w:cs="Tahoma"/>
          <w:color w:val="000000"/>
          <w:sz w:val="18"/>
          <w:szCs w:val="18"/>
          <w:lang w:val="de-DE"/>
        </w:rPr>
        <w:t>Exchange Online-Archivierung für Exchange Server ist ein Folge-Onlinedienst für Exchange Hosted Archive.</w:t>
      </w:r>
    </w:p>
    <w:p w:rsidR="00D70D2C" w:rsidRPr="007025E3" w:rsidRDefault="00D70D2C" w:rsidP="00E62BC4">
      <w:pPr>
        <w:pStyle w:val="ListParagraph"/>
        <w:rPr>
          <w:rFonts w:ascii="Tahoma" w:hAnsi="Tahoma" w:cs="Tahoma"/>
          <w:color w:val="000000"/>
          <w:sz w:val="18"/>
          <w:szCs w:val="18"/>
          <w:lang w:val="de-DE"/>
        </w:rPr>
      </w:pPr>
    </w:p>
    <w:p w:rsidR="00D70D2C" w:rsidRPr="00C83DF5" w:rsidRDefault="00D70D2C" w:rsidP="00E62BC4">
      <w:pPr>
        <w:ind w:left="720"/>
        <w:rPr>
          <w:lang w:val="de-DE"/>
        </w:rPr>
      </w:pPr>
      <w:r w:rsidRPr="00C83DF5">
        <w:rPr>
          <w:rFonts w:cs="Tahoma"/>
          <w:color w:val="000000"/>
          <w:szCs w:val="18"/>
          <w:lang w:val="de-DE"/>
        </w:rPr>
        <w:t>Wenn Sie von Exchange Hosted Archive auf Exchange Online-Archivierung für Exchange Server verlängern und noch nicht auf Exchange Online-</w:t>
      </w:r>
      <w:r w:rsidRPr="00C83DF5">
        <w:rPr>
          <w:color w:val="000000"/>
          <w:lang w:val="de-DE"/>
        </w:rPr>
        <w:t>Archivierung für Exchange Server migriert haben, sind Ihre lizenzierte Nutzer berechtigt, den Exchange Hosted Archive-Dienst weiterhin unter den Bestimmungen der Produktbenutzungsrechte (PUR) von März 2011 zu verwenden, bis Sie auf Exchange Online-Archivierung für Exchange Server migrieren oder bis Ihr Abonnement für Exchange Online-Archivierung für Exchange Server abläuft, wobei das frühere Datum maßgeblich ist.</w:t>
      </w:r>
    </w:p>
    <w:p w:rsidR="00B23BE6" w:rsidRPr="007025E3" w:rsidRDefault="00B23BE6" w:rsidP="00E62BC4">
      <w:pPr>
        <w:ind w:left="720"/>
        <w:rPr>
          <w:color w:val="000000"/>
          <w:lang w:val="de-DE"/>
        </w:rPr>
      </w:pPr>
    </w:p>
    <w:p w:rsidR="00B23BE6" w:rsidRPr="00C83DF5" w:rsidRDefault="00B23BE6" w:rsidP="0084072C">
      <w:pPr>
        <w:spacing w:after="60"/>
        <w:ind w:left="720"/>
      </w:pPr>
      <w:r w:rsidRPr="00C83DF5">
        <w:rPr>
          <w:rFonts w:eastAsia="Calibri" w:cs="Tahoma"/>
          <w:b/>
          <w:color w:val="000000"/>
          <w:szCs w:val="18"/>
        </w:rPr>
        <w:t>Government Community Cloud (nur USA)</w:t>
      </w:r>
    </w:p>
    <w:p w:rsidR="00B23BE6" w:rsidRPr="00C83DF5" w:rsidRDefault="00B23BE6" w:rsidP="00E62BC4">
      <w:pPr>
        <w:ind w:left="720"/>
        <w:rPr>
          <w:lang w:val="de-DE"/>
        </w:rPr>
      </w:pPr>
      <w:r w:rsidRPr="00C83DF5">
        <w:rPr>
          <w:rFonts w:eastAsia="Calibri" w:cs="Tahoma"/>
          <w:color w:val="000000"/>
          <w:szCs w:val="18"/>
        </w:rPr>
        <w:t>Einige Onlinedienste in der Office 365-Produktfamilie (darunter Exchange Online-Archivierung für Exchange Server) werden als Government Community Cloud-Dienste und Non-Government Community Cloud-Dienste angeboten.</w:t>
      </w:r>
      <w:r w:rsidR="00E71F46" w:rsidRPr="00C83DF5">
        <w:rPr>
          <w:rFonts w:eastAsia="Calibri" w:cs="Tahoma"/>
          <w:color w:val="000000"/>
          <w:szCs w:val="18"/>
        </w:rPr>
        <w:t xml:space="preserve"> </w:t>
      </w:r>
      <w:r w:rsidRPr="00C83DF5">
        <w:rPr>
          <w:rFonts w:eastAsia="Calibri" w:cs="Tahoma"/>
          <w:color w:val="000000"/>
          <w:szCs w:val="18"/>
          <w:lang w:val="de-DE"/>
        </w:rPr>
        <w:t>Die Bereitstellung an Kunden kann in der einen oder anderen Form erfolgen, jedoch nicht als Kombination aus beidem.</w:t>
      </w:r>
      <w:r w:rsidR="00E71F46" w:rsidRPr="00C83DF5">
        <w:rPr>
          <w:rFonts w:eastAsia="Calibri" w:cs="Tahoma"/>
          <w:color w:val="000000"/>
          <w:szCs w:val="18"/>
          <w:lang w:val="de-DE"/>
        </w:rPr>
        <w:t xml:space="preserve"> </w:t>
      </w:r>
      <w:r w:rsidRPr="00C83DF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71F46" w:rsidRPr="00C83DF5">
        <w:rPr>
          <w:rFonts w:eastAsia="Calibri" w:cs="Tahoma"/>
          <w:color w:val="000000"/>
          <w:szCs w:val="18"/>
          <w:lang w:val="de-DE"/>
        </w:rPr>
        <w:t xml:space="preserve"> </w:t>
      </w:r>
      <w:r w:rsidRPr="00C83DF5">
        <w:rPr>
          <w:rFonts w:eastAsia="Calibri" w:cs="Tahoma"/>
          <w:color w:val="000000"/>
          <w:szCs w:val="18"/>
          <w:lang w:val="de-DE"/>
        </w:rPr>
        <w:t>Diese Beschränkung gilt für alle Onlinedienste, die zur Office 365-Produktfamilie gehören, darunter Exchange Online, SharePoint Online und Lync Online.</w:t>
      </w:r>
      <w:r w:rsidR="00E71F46" w:rsidRPr="00C83DF5">
        <w:rPr>
          <w:rFonts w:eastAsia="Calibri" w:cs="Tahoma"/>
          <w:color w:val="000000"/>
          <w:szCs w:val="18"/>
          <w:lang w:val="de-DE"/>
        </w:rPr>
        <w:t xml:space="preserve"> </w:t>
      </w:r>
    </w:p>
    <w:p w:rsidR="00B23BE6" w:rsidRPr="00C83DF5" w:rsidRDefault="00B23BE6" w:rsidP="00E62BC4">
      <w:pPr>
        <w:ind w:left="720"/>
        <w:rPr>
          <w:lang w:val="de-DE"/>
        </w:rPr>
      </w:pPr>
    </w:p>
    <w:p w:rsidR="00B23BE6" w:rsidRPr="00C83DF5" w:rsidRDefault="00B23BE6" w:rsidP="00FA1FC2">
      <w:pPr>
        <w:ind w:left="720"/>
        <w:rPr>
          <w:lang w:val="de-DE"/>
        </w:rPr>
      </w:pPr>
      <w:r w:rsidRPr="00C83DF5">
        <w:rPr>
          <w:rFonts w:eastAsia="Calibri" w:cs="Tahoma"/>
          <w:color w:val="000000"/>
          <w:szCs w:val="18"/>
          <w:lang w:val="de-DE"/>
        </w:rPr>
        <w:t>Wenn ein Onlinedienst in der Government Community Cloud bereitgestellt wird, bleibt er für die Dauer der</w:t>
      </w:r>
      <w:r w:rsidR="00FA1FC2">
        <w:rPr>
          <w:rFonts w:eastAsia="Calibri" w:cs="Tahoma"/>
          <w:color w:val="000000"/>
          <w:szCs w:val="18"/>
          <w:lang w:val="de-DE"/>
        </w:rPr>
        <w:t> </w:t>
      </w:r>
      <w:r w:rsidRPr="00C83DF5">
        <w:rPr>
          <w:rFonts w:eastAsia="Calibri" w:cs="Tahoma"/>
          <w:color w:val="000000"/>
          <w:szCs w:val="18"/>
          <w:lang w:val="de-DE"/>
        </w:rPr>
        <w:t>Abonnementlaufzeit dort.</w:t>
      </w:r>
      <w:r w:rsidR="00E71F46" w:rsidRPr="00C83DF5">
        <w:rPr>
          <w:rFonts w:eastAsia="Calibri" w:cs="Tahoma"/>
          <w:color w:val="000000"/>
          <w:szCs w:val="18"/>
          <w:lang w:val="de-DE"/>
        </w:rPr>
        <w:t xml:space="preserve"> </w:t>
      </w:r>
      <w:r w:rsidRPr="00C83DF5">
        <w:rPr>
          <w:rFonts w:eastAsia="Calibri" w:cs="Tahoma"/>
          <w:color w:val="000000"/>
          <w:szCs w:val="18"/>
          <w:lang w:val="de-DE"/>
        </w:rPr>
        <w:t>Kunden, bei denen es sich um US-amerikanische Verwaltungseinrichtungen auf nationaler, einzelstaatlicher, kommunaler oder Stammesebene handelt, müssen Vertragspartei eines</w:t>
      </w:r>
      <w:r w:rsidR="00FA1FC2">
        <w:rPr>
          <w:rFonts w:eastAsia="Calibri" w:cs="Tahoma"/>
          <w:color w:val="000000"/>
          <w:szCs w:val="18"/>
          <w:lang w:val="de-DE"/>
        </w:rPr>
        <w:t> </w:t>
      </w:r>
      <w:r w:rsidRPr="00C83DF5">
        <w:rPr>
          <w:rFonts w:eastAsia="Calibri" w:cs="Tahoma"/>
          <w:color w:val="000000"/>
          <w:szCs w:val="18"/>
          <w:lang w:val="de-DE"/>
        </w:rPr>
        <w:t>Konzernbeitritts oder Konzern-Abonnement-Beitritts für US-Behörden sein, um zum Erwerb von</w:t>
      </w:r>
      <w:r w:rsidR="00FA1FC2">
        <w:rPr>
          <w:rFonts w:eastAsia="Calibri" w:cs="Tahoma"/>
          <w:color w:val="000000"/>
          <w:szCs w:val="18"/>
          <w:lang w:val="de-DE"/>
        </w:rPr>
        <w:t> </w:t>
      </w:r>
      <w:r w:rsidRPr="00C83DF5">
        <w:rPr>
          <w:rFonts w:eastAsia="Calibri" w:cs="Tahoma"/>
          <w:color w:val="000000"/>
          <w:szCs w:val="18"/>
          <w:lang w:val="de-DE"/>
        </w:rPr>
        <w:t>Onlinediensten, die als Government Community Cloud bezeichnet werden, berechtigt zu sein.</w:t>
      </w:r>
      <w:r w:rsidR="00E71F46" w:rsidRPr="00C83DF5">
        <w:rPr>
          <w:rFonts w:eastAsia="Calibri" w:cs="Tahoma"/>
          <w:color w:val="000000"/>
          <w:szCs w:val="18"/>
          <w:lang w:val="de-DE"/>
        </w:rPr>
        <w:t xml:space="preserve"> </w:t>
      </w:r>
      <w:r w:rsidRPr="00C83DF5">
        <w:rPr>
          <w:rFonts w:eastAsia="Calibri" w:cs="Tahoma"/>
          <w:color w:val="000000"/>
          <w:szCs w:val="18"/>
          <w:lang w:val="de-DE"/>
        </w:rPr>
        <w:t>Die</w:t>
      </w:r>
      <w:r w:rsidR="00FA1FC2">
        <w:rPr>
          <w:rFonts w:eastAsia="Calibri" w:cs="Tahoma"/>
          <w:color w:val="000000"/>
          <w:szCs w:val="18"/>
          <w:lang w:val="de-DE"/>
        </w:rPr>
        <w:t> </w:t>
      </w:r>
      <w:r w:rsidRPr="00C83DF5">
        <w:rPr>
          <w:rFonts w:eastAsia="Calibri" w:cs="Tahoma"/>
          <w:color w:val="000000"/>
          <w:szCs w:val="18"/>
          <w:lang w:val="de-DE"/>
        </w:rPr>
        <w:t>Nutzungsrechte für Government Community Cloud-Dienste entsprechen den Nutzungsrechten ihrer mehrinstanzenfähigen Standardäquivalente.</w:t>
      </w:r>
      <w:r w:rsidR="00E71F46" w:rsidRPr="00C83DF5">
        <w:rPr>
          <w:rFonts w:eastAsia="Calibri" w:cs="Tahoma"/>
          <w:color w:val="000000"/>
          <w:szCs w:val="18"/>
          <w:lang w:val="de-DE"/>
        </w:rPr>
        <w:t xml:space="preserve"> </w:t>
      </w:r>
      <w:r w:rsidRPr="00C83DF5">
        <w:rPr>
          <w:rFonts w:eastAsia="Calibri" w:cs="Tahoma"/>
          <w:color w:val="000000"/>
          <w:szCs w:val="18"/>
          <w:lang w:val="de-DE"/>
        </w:rPr>
        <w:t>Government Community Cloud-Dienste sind zum jetzigen Zeitpunkt nicht zur Lizenzreservierung und Übergängen berechtigt.</w:t>
      </w:r>
    </w:p>
    <w:p w:rsidR="005D484B" w:rsidRPr="00C83DF5" w:rsidRDefault="005D484B" w:rsidP="003C3A72">
      <w:pPr>
        <w:rPr>
          <w:lang w:val="de-DE"/>
        </w:rPr>
      </w:pPr>
    </w:p>
    <w:p w:rsidR="007B35CE" w:rsidRPr="00C83DF5" w:rsidRDefault="007B35CE" w:rsidP="003C3A72">
      <w:pPr>
        <w:rPr>
          <w:lang w:val="de-DE"/>
        </w:rPr>
      </w:pPr>
    </w:p>
    <w:p w:rsidR="005D484B" w:rsidRPr="00C83DF5" w:rsidRDefault="00D629A3" w:rsidP="001760D6">
      <w:pPr>
        <w:pStyle w:val="Heading2"/>
        <w:keepNext/>
        <w:ind w:left="270" w:hanging="270"/>
        <w:rPr>
          <w:lang w:val="de-DE"/>
        </w:rPr>
      </w:pPr>
      <w:bookmarkStart w:id="1221" w:name="_47__Exchange"/>
      <w:bookmarkStart w:id="1222" w:name="_50__Exchange"/>
      <w:bookmarkStart w:id="1223" w:name="_49_Exchange_Online-Archivierung"/>
      <w:bookmarkStart w:id="1224" w:name="_Toc370983417"/>
      <w:bookmarkEnd w:id="1221"/>
      <w:bookmarkEnd w:id="1222"/>
      <w:bookmarkEnd w:id="1223"/>
      <w:r w:rsidRPr="00C83DF5">
        <w:rPr>
          <w:rFonts w:ascii="Tahoma" w:hAnsi="Tahoma" w:cs="Tahoma"/>
          <w:color w:val="F26200"/>
          <w:sz w:val="20"/>
          <w:vertAlign w:val="superscript"/>
          <w:lang w:val="de-DE"/>
        </w:rPr>
        <w:t>49</w:t>
      </w:r>
      <w:r w:rsidRPr="00C83DF5">
        <w:rPr>
          <w:rFonts w:ascii="Tahoma" w:hAnsi="Tahoma" w:cs="Tahoma"/>
          <w:color w:val="F26200"/>
          <w:lang w:val="de-DE"/>
        </w:rPr>
        <w:t xml:space="preserve"> </w:t>
      </w:r>
      <w:r w:rsidRPr="00C83DF5">
        <w:rPr>
          <w:rFonts w:ascii="Tahoma" w:hAnsi="Tahoma" w:cs="Tahoma"/>
          <w:color w:val="F26200"/>
          <w:sz w:val="22"/>
          <w:lang w:val="de-DE"/>
        </w:rPr>
        <w:t>Exchange Online-Archivierung für Exchange Server A (Nutzer-AL)</w:t>
      </w:r>
      <w:bookmarkEnd w:id="1224"/>
    </w:p>
    <w:p w:rsidR="005D484B" w:rsidRPr="00C83DF5" w:rsidRDefault="005D484B" w:rsidP="001760D6">
      <w:pPr>
        <w:keepNext/>
        <w:ind w:left="900"/>
        <w:rPr>
          <w:lang w:val="de-DE"/>
        </w:rPr>
      </w:pPr>
    </w:p>
    <w:p w:rsidR="005D484B" w:rsidRPr="00C83DF5" w:rsidRDefault="005D484B" w:rsidP="005D484B">
      <w:pPr>
        <w:ind w:left="720"/>
        <w:rPr>
          <w:lang w:val="de-DE"/>
        </w:rPr>
      </w:pPr>
      <w:r w:rsidRPr="00C83DF5">
        <w:rPr>
          <w:rFonts w:cs="Tahoma"/>
          <w:szCs w:val="18"/>
          <w:lang w:val="de-DE"/>
        </w:rPr>
        <w:t>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gedeckt sind. Anweisungen für die Bereitstellung entnehmen Sie dem Produkthinweis für Enterprise CAL Suite.</w:t>
      </w:r>
    </w:p>
    <w:p w:rsidR="00B23BE6" w:rsidRPr="00C83DF5" w:rsidRDefault="00B23BE6" w:rsidP="00D70D2C">
      <w:pPr>
        <w:ind w:left="540"/>
        <w:rPr>
          <w:lang w:val="de-DE"/>
        </w:rPr>
      </w:pPr>
    </w:p>
    <w:p w:rsidR="00EC1F23" w:rsidRPr="00C83DF5" w:rsidRDefault="00EC1F23" w:rsidP="0084072C">
      <w:pPr>
        <w:pStyle w:val="Heading2"/>
        <w:ind w:left="0"/>
        <w:rPr>
          <w:lang w:val="de-DE"/>
        </w:rPr>
      </w:pPr>
    </w:p>
    <w:p w:rsidR="00EC1F23" w:rsidRPr="00C83DF5" w:rsidRDefault="00A560B6" w:rsidP="00B85D2D">
      <w:pPr>
        <w:pStyle w:val="Heading2"/>
        <w:ind w:left="245" w:hanging="245"/>
      </w:pPr>
      <w:bookmarkStart w:id="1225" w:name="_45_Exchange_Hosted"/>
      <w:bookmarkStart w:id="1226" w:name="_51_Exchange_Hosted"/>
      <w:bookmarkStart w:id="1227" w:name="_50_Exchange_Hosted"/>
      <w:bookmarkStart w:id="1228" w:name="_Toc336338306"/>
      <w:bookmarkStart w:id="1229" w:name="Srv_44ExchHostArchiveandStorage"/>
      <w:bookmarkStart w:id="1230" w:name="_Toc370983418"/>
      <w:bookmarkEnd w:id="1225"/>
      <w:bookmarkEnd w:id="1226"/>
      <w:bookmarkEnd w:id="1227"/>
      <w:r w:rsidRPr="00C83DF5">
        <w:rPr>
          <w:rFonts w:ascii="Tahoma" w:hAnsi="Tahoma" w:cs="Tahoma"/>
          <w:color w:val="F26200"/>
          <w:sz w:val="20"/>
          <w:vertAlign w:val="superscript"/>
        </w:rPr>
        <w:lastRenderedPageBreak/>
        <w:t>50</w:t>
      </w:r>
      <w:r w:rsidRPr="00C83DF5">
        <w:rPr>
          <w:rFonts w:ascii="Tahoma" w:hAnsi="Tahoma" w:cs="Tahoma"/>
          <w:color w:val="F26200"/>
        </w:rPr>
        <w:t xml:space="preserve"> </w:t>
      </w:r>
      <w:r w:rsidRPr="00C83DF5">
        <w:rPr>
          <w:rFonts w:ascii="Tahoma" w:hAnsi="Tahoma" w:cs="Tahoma"/>
          <w:color w:val="F26200"/>
          <w:sz w:val="22"/>
        </w:rPr>
        <w:t>Exchange Hosted Archive (Nutzer-AL), Exchange Hosted Archive Extra Storage (Add-On-AL)</w:t>
      </w:r>
      <w:bookmarkEnd w:id="1228"/>
      <w:bookmarkEnd w:id="1230"/>
      <w:r w:rsidRPr="00C83DF5">
        <w:rPr>
          <w:rFonts w:ascii="Tahoma" w:hAnsi="Tahoma" w:cs="Tahoma"/>
          <w:color w:val="F26200"/>
          <w:sz w:val="22"/>
        </w:rPr>
        <w:t xml:space="preserve"> </w:t>
      </w:r>
      <w:bookmarkEnd w:id="1229"/>
    </w:p>
    <w:p w:rsidR="00EC1F23" w:rsidRPr="005C5A5B" w:rsidRDefault="00EC1F23" w:rsidP="00EC1F23">
      <w:pPr>
        <w:ind w:left="900"/>
        <w:rPr>
          <w:rFonts w:eastAsia="Calibri" w:cs="Tahoma"/>
          <w:color w:val="000000"/>
          <w:sz w:val="16"/>
          <w:szCs w:val="16"/>
        </w:rPr>
      </w:pPr>
    </w:p>
    <w:p w:rsidR="00EC1F23" w:rsidRPr="00C83DF5" w:rsidRDefault="00EC1F23" w:rsidP="0084072C">
      <w:pPr>
        <w:spacing w:after="60"/>
        <w:ind w:left="720"/>
        <w:rPr>
          <w:lang w:val="de-DE"/>
        </w:rPr>
      </w:pPr>
      <w:r w:rsidRPr="00C83DF5">
        <w:rPr>
          <w:rFonts w:eastAsia="Calibri" w:cs="Tahoma"/>
          <w:b/>
          <w:bCs/>
          <w:iCs/>
          <w:color w:val="000000"/>
          <w:lang w:val="de-DE"/>
        </w:rPr>
        <w:t>1. Mai 2011 Lizenzgewährung für Exchange Hosted Archive-Kunden</w:t>
      </w:r>
      <w:r w:rsidRPr="00C83DF5">
        <w:rPr>
          <w:rFonts w:eastAsia="Calibri" w:cs="Tahoma"/>
          <w:b/>
          <w:iCs/>
          <w:color w:val="000000"/>
          <w:lang w:val="de-DE"/>
        </w:rPr>
        <w:t xml:space="preserve"> </w:t>
      </w:r>
    </w:p>
    <w:p w:rsidR="00EC1F23" w:rsidRPr="00C83DF5" w:rsidRDefault="00EC1F23" w:rsidP="00B85D2D">
      <w:pPr>
        <w:ind w:left="720"/>
        <w:rPr>
          <w:lang w:val="de-DE"/>
        </w:rPr>
      </w:pPr>
      <w:r w:rsidRPr="00C83DF5">
        <w:rPr>
          <w:rFonts w:eastAsia="Calibri" w:cs="Tahoma"/>
          <w:iCs/>
          <w:color w:val="000000"/>
          <w:lang w:val="de-DE"/>
        </w:rPr>
        <w:t>Kunden wird eine zusätzliche Anzahl von Lizenzen („zusätzliche Lizenzen“) gewährt, die 15</w:t>
      </w:r>
      <w:r w:rsidR="00855C44">
        <w:rPr>
          <w:rFonts w:eastAsia="Calibri" w:cs="Tahoma"/>
          <w:iCs/>
          <w:color w:val="000000"/>
          <w:lang w:val="de-DE"/>
        </w:rPr>
        <w:t>%</w:t>
      </w:r>
      <w:r w:rsidRPr="00C83DF5">
        <w:rPr>
          <w:rFonts w:eastAsia="Calibri" w:cs="Tahoma"/>
          <w:iCs/>
          <w:color w:val="000000"/>
          <w:lang w:val="de-DE"/>
        </w:rPr>
        <w:t xml:space="preserve"> der Anzahl</w:t>
      </w:r>
      <w:r w:rsidR="00B85D2D">
        <w:rPr>
          <w:rFonts w:eastAsia="Calibri" w:cs="Tahoma"/>
          <w:iCs/>
          <w:color w:val="000000"/>
          <w:lang w:val="de-DE"/>
        </w:rPr>
        <w:t> </w:t>
      </w:r>
      <w:r w:rsidRPr="00C83DF5">
        <w:rPr>
          <w:rFonts w:eastAsia="Calibri" w:cs="Tahoma"/>
          <w:iCs/>
          <w:color w:val="000000"/>
          <w:lang w:val="de-DE"/>
        </w:rPr>
        <w:t>von Lizenzen für Exchange Hosted Archive (EHA) entspricht, die sie erworben haben und die am 1.</w:t>
      </w:r>
      <w:r w:rsidR="00B85D2D">
        <w:rPr>
          <w:rFonts w:eastAsia="Calibri" w:cs="Tahoma"/>
          <w:iCs/>
          <w:color w:val="000000"/>
          <w:lang w:val="de-DE"/>
        </w:rPr>
        <w:t> </w:t>
      </w:r>
      <w:r w:rsidRPr="00C83DF5">
        <w:rPr>
          <w:rFonts w:eastAsia="Calibri" w:cs="Tahoma"/>
          <w:iCs/>
          <w:color w:val="000000"/>
          <w:lang w:val="de-DE"/>
        </w:rPr>
        <w:t>Mai 2011 aktiv sind („qualifizierende Lizenzen“).</w:t>
      </w:r>
      <w:r w:rsidR="00E71F46" w:rsidRPr="00C83DF5">
        <w:rPr>
          <w:rFonts w:eastAsia="Calibri" w:cs="Tahoma"/>
          <w:iCs/>
          <w:color w:val="000000"/>
          <w:lang w:val="de-DE"/>
        </w:rPr>
        <w:t xml:space="preserve"> </w:t>
      </w:r>
      <w:r w:rsidRPr="00C83DF5">
        <w:rPr>
          <w:rFonts w:eastAsia="Calibri" w:cs="Tahoma"/>
          <w:iCs/>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E71F46" w:rsidRPr="00C83DF5">
        <w:rPr>
          <w:rFonts w:eastAsia="Calibri" w:cs="Tahoma"/>
          <w:iCs/>
          <w:color w:val="000000"/>
          <w:lang w:val="de-DE"/>
        </w:rPr>
        <w:t xml:space="preserve"> </w:t>
      </w:r>
      <w:r w:rsidRPr="00C83DF5">
        <w:rPr>
          <w:rFonts w:eastAsia="Calibri" w:cs="Tahoma"/>
          <w:iCs/>
          <w:color w:val="000000"/>
          <w:lang w:val="de-DE"/>
        </w:rPr>
        <w:t>Kunden, die den Folge-Onlinedienst nach Ablauf ihrer zusätzlichen Lizenzen weiterhin nutzen möchten, müssen eine Anzahl von Lizenzen bestellen, die der Gesamtzahl der Nutzer entspricht, die</w:t>
      </w:r>
      <w:r w:rsidR="00B85D2D">
        <w:rPr>
          <w:rFonts w:eastAsia="Calibri" w:cs="Tahoma"/>
          <w:iCs/>
          <w:color w:val="000000"/>
          <w:lang w:val="de-DE"/>
        </w:rPr>
        <w:t> </w:t>
      </w:r>
      <w:r w:rsidRPr="00C83DF5">
        <w:rPr>
          <w:rFonts w:eastAsia="Calibri" w:cs="Tahoma"/>
          <w:iCs/>
          <w:color w:val="000000"/>
          <w:lang w:val="de-DE"/>
        </w:rPr>
        <w:t xml:space="preserve">auf diesen Onlinedienst zugreifen oder ihn nutzen werden. </w:t>
      </w:r>
    </w:p>
    <w:p w:rsidR="00BA1490" w:rsidRPr="007025E3" w:rsidRDefault="00BA1490" w:rsidP="0084072C">
      <w:pPr>
        <w:rPr>
          <w:rFonts w:eastAsia="Calibri" w:cs="Tahoma"/>
          <w:bCs/>
          <w:iCs/>
          <w:color w:val="000000"/>
          <w:sz w:val="16"/>
          <w:szCs w:val="16"/>
          <w:u w:val="single"/>
          <w:lang w:val="de-DE"/>
        </w:rPr>
      </w:pPr>
    </w:p>
    <w:p w:rsidR="00EA6918" w:rsidRPr="00C83DF5" w:rsidRDefault="00EC1F23" w:rsidP="0084072C">
      <w:pPr>
        <w:spacing w:after="60"/>
        <w:ind w:left="720"/>
        <w:rPr>
          <w:lang w:val="de-DE"/>
        </w:rPr>
      </w:pPr>
      <w:r w:rsidRPr="00C83DF5">
        <w:rPr>
          <w:rFonts w:eastAsia="Calibri" w:cs="Tahoma"/>
          <w:b/>
          <w:bCs/>
          <w:iCs/>
          <w:color w:val="000000"/>
          <w:lang w:val="de-DE"/>
        </w:rPr>
        <w:t>Migrationslizenzgewährung für Exchange Hosted Archive-Kunden</w:t>
      </w:r>
    </w:p>
    <w:p w:rsidR="00EC1F23" w:rsidRPr="00C83DF5" w:rsidRDefault="00EC1F23" w:rsidP="000D158F">
      <w:pPr>
        <w:ind w:left="720"/>
        <w:rPr>
          <w:lang w:val="de-DE"/>
        </w:rPr>
      </w:pPr>
      <w:r w:rsidRPr="00C83DF5">
        <w:rPr>
          <w:rFonts w:eastAsia="Calibri" w:cs="Tahoma"/>
          <w:iCs/>
          <w:color w:val="000000"/>
          <w:lang w:val="de-DE"/>
        </w:rPr>
        <w:t xml:space="preserve">EHA-Kunden, die auf Folge-Onlinedienste migrieren, wird eine Gesamtzahl von Ersatzlizenzen für die </w:t>
      </w:r>
      <w:r w:rsidR="000D158F">
        <w:rPr>
          <w:rFonts w:eastAsia="Calibri" w:cs="Tahoma"/>
          <w:iCs/>
          <w:color w:val="000000"/>
          <w:lang w:val="de-DE"/>
        </w:rPr>
        <w:br/>
      </w:r>
      <w:r w:rsidRPr="00C83DF5">
        <w:rPr>
          <w:rFonts w:eastAsia="Calibri" w:cs="Tahoma"/>
          <w:iCs/>
          <w:color w:val="000000"/>
          <w:lang w:val="de-DE"/>
        </w:rPr>
        <w:t>Folge-Onlinedienste gewährt, die ihrer Gesamtzahl von qualifizierenden und zusätzlichen EHA-Lizenzen wie</w:t>
      </w:r>
      <w:r w:rsidR="000D158F">
        <w:rPr>
          <w:rFonts w:eastAsia="Calibri" w:cs="Tahoma"/>
          <w:iCs/>
          <w:color w:val="000000"/>
          <w:lang w:val="de-DE"/>
        </w:rPr>
        <w:t> </w:t>
      </w:r>
      <w:r w:rsidRPr="00C83DF5">
        <w:rPr>
          <w:rFonts w:eastAsia="Calibri" w:cs="Tahoma"/>
          <w:iCs/>
          <w:color w:val="000000"/>
          <w:lang w:val="de-DE"/>
        </w:rPr>
        <w:t>in der Tabelle unten dargestellt entspricht.</w:t>
      </w:r>
      <w:r w:rsidR="00E71F46" w:rsidRPr="00C83DF5">
        <w:rPr>
          <w:rFonts w:eastAsia="Calibri" w:cs="Tahoma"/>
          <w:iCs/>
          <w:color w:val="000000"/>
          <w:lang w:val="de-DE"/>
        </w:rPr>
        <w:t xml:space="preserve"> </w:t>
      </w:r>
      <w:r w:rsidRPr="00C83DF5">
        <w:rPr>
          <w:rFonts w:eastAsia="Calibri" w:cs="Tahoma"/>
          <w:iCs/>
          <w:color w:val="000000"/>
          <w:lang w:val="de-DE"/>
        </w:rPr>
        <w:t>Diese Ersatzlizenzen laufen am Ende der Abonnementlaufzeit ab, das</w:t>
      </w:r>
      <w:r w:rsidR="000D158F">
        <w:rPr>
          <w:rFonts w:eastAsia="Calibri" w:cs="Tahoma"/>
          <w:iCs/>
          <w:color w:val="000000"/>
          <w:lang w:val="de-DE"/>
        </w:rPr>
        <w:t> </w:t>
      </w:r>
      <w:r w:rsidRPr="00C83DF5">
        <w:rPr>
          <w:rFonts w:eastAsia="Calibri" w:cs="Tahoma"/>
          <w:iCs/>
          <w:color w:val="000000"/>
          <w:lang w:val="de-DE"/>
        </w:rPr>
        <w:t xml:space="preserve">mit dem Datum der Migration des Kunden von EHA auf die Folge-Onlinedienste übereinstimmt. </w:t>
      </w:r>
    </w:p>
    <w:p w:rsidR="00EC1F23" w:rsidRPr="005C5A5B" w:rsidRDefault="00EC1F23" w:rsidP="00E62BC4">
      <w:pPr>
        <w:ind w:left="720"/>
        <w:rPr>
          <w:rFonts w:eastAsia="Calibri" w:cs="Tahoma"/>
          <w:color w:val="000000"/>
          <w:sz w:val="16"/>
          <w:szCs w:val="16"/>
          <w:lang w:val="de-DE"/>
        </w:rPr>
      </w:pPr>
    </w:p>
    <w:p w:rsidR="002512D3" w:rsidRPr="00C83DF5" w:rsidRDefault="00EC1F23" w:rsidP="007F18F6">
      <w:pPr>
        <w:ind w:left="720"/>
        <w:rPr>
          <w:lang w:val="de-DE"/>
        </w:rPr>
      </w:pPr>
      <w:r w:rsidRPr="007025E3">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w:t>
      </w:r>
      <w:r w:rsidR="007F18F6" w:rsidRPr="007025E3">
        <w:rPr>
          <w:rFonts w:eastAsia="Calibri" w:cs="Tahoma"/>
          <w:iCs/>
          <w:color w:val="000000"/>
          <w:lang w:val="de-DE"/>
        </w:rPr>
        <w:t> </w:t>
      </w:r>
      <w:r w:rsidRPr="007025E3">
        <w:rPr>
          <w:rFonts w:eastAsia="Calibri" w:cs="Tahoma"/>
          <w:iCs/>
          <w:color w:val="000000"/>
          <w:lang w:val="de-DE"/>
        </w:rPr>
        <w:t>Standard, Office 365 Enterprise E1, BPOS Deskless, Exchange Online Deskless oder Exchange Online</w:t>
      </w:r>
      <w:r w:rsidR="007F18F6" w:rsidRPr="007025E3">
        <w:rPr>
          <w:rFonts w:eastAsia="Calibri" w:cs="Tahoma"/>
          <w:iCs/>
          <w:color w:val="000000"/>
          <w:lang w:val="de-DE"/>
        </w:rPr>
        <w:t> </w:t>
      </w:r>
      <w:r w:rsidRPr="007025E3">
        <w:rPr>
          <w:rFonts w:eastAsia="Calibri" w:cs="Tahoma"/>
          <w:iCs/>
          <w:color w:val="000000"/>
          <w:lang w:val="de-DE"/>
        </w:rPr>
        <w:t>Kiosk zugewiesen ist.</w:t>
      </w:r>
      <w:r w:rsidR="00E71F46" w:rsidRPr="007025E3">
        <w:rPr>
          <w:rFonts w:eastAsia="Calibri" w:cs="Tahoma"/>
          <w:iCs/>
          <w:color w:val="000000"/>
          <w:lang w:val="de-DE"/>
        </w:rPr>
        <w:t xml:space="preserve"> </w:t>
      </w:r>
      <w:r w:rsidRPr="00C83DF5">
        <w:rPr>
          <w:rFonts w:eastAsia="Calibri" w:cs="Tahoma"/>
          <w:iCs/>
          <w:color w:val="000000"/>
          <w:lang w:val="de-DE"/>
        </w:rPr>
        <w:t>Wenn die entsprechende Nutzer-AL einem neuen Nutzer neu zugewiesen wird,</w:t>
      </w:r>
      <w:r w:rsidR="007F18F6">
        <w:rPr>
          <w:rFonts w:eastAsia="Calibri" w:cs="Tahoma"/>
          <w:iCs/>
          <w:color w:val="000000"/>
          <w:lang w:val="de-DE"/>
        </w:rPr>
        <w:t> </w:t>
      </w:r>
      <w:r w:rsidRPr="00C83DF5">
        <w:rPr>
          <w:rFonts w:eastAsia="Calibri" w:cs="Tahoma"/>
          <w:iCs/>
          <w:color w:val="000000"/>
          <w:lang w:val="de-DE"/>
        </w:rPr>
        <w:t xml:space="preserve">dann muss auch der Exchange Online Plan 2 diesem neuen Nutzer neu zugewiesen werden. </w:t>
      </w:r>
    </w:p>
    <w:p w:rsidR="00EC1F23" w:rsidRPr="005C5A5B" w:rsidRDefault="00EC1F23" w:rsidP="00EC1F23">
      <w:pPr>
        <w:rPr>
          <w:rFonts w:eastAsia="Calibri" w:cs="Tahoma"/>
          <w:iCs/>
          <w:color w:val="000000"/>
          <w:sz w:val="16"/>
          <w:szCs w:val="16"/>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C83DF5" w:rsidTr="00C066F9">
        <w:trPr>
          <w:jc w:val="center"/>
        </w:trPr>
        <w:tc>
          <w:tcPr>
            <w:tcW w:w="7740" w:type="dxa"/>
            <w:gridSpan w:val="2"/>
            <w:shd w:val="clear" w:color="auto" w:fill="FABF8F"/>
          </w:tcPr>
          <w:p w:rsidR="00EC1F23" w:rsidRPr="00C83DF5" w:rsidRDefault="00EC1F23" w:rsidP="00022FBE">
            <w:pPr>
              <w:jc w:val="center"/>
              <w:rPr>
                <w:rFonts w:eastAsia="Calibri" w:cs="Tahoma"/>
                <w:b/>
                <w:iCs/>
                <w:color w:val="000000"/>
              </w:rPr>
            </w:pPr>
            <w:r w:rsidRPr="00C83DF5">
              <w:rPr>
                <w:rFonts w:eastAsia="Calibri" w:cs="Tahoma"/>
                <w:b/>
                <w:iCs/>
                <w:color w:val="000000"/>
              </w:rPr>
              <w:t>Migrationslizenzgewährung</w:t>
            </w:r>
          </w:p>
        </w:tc>
      </w:tr>
      <w:tr w:rsidR="00EC1F23" w:rsidRPr="00C83DF5" w:rsidTr="00C066F9">
        <w:trPr>
          <w:jc w:val="center"/>
        </w:trPr>
        <w:tc>
          <w:tcPr>
            <w:tcW w:w="3960" w:type="dxa"/>
            <w:shd w:val="clear" w:color="auto" w:fill="auto"/>
          </w:tcPr>
          <w:p w:rsidR="00EC1F23" w:rsidRPr="00C83DF5" w:rsidRDefault="00EC1F23" w:rsidP="00022FBE">
            <w:pPr>
              <w:jc w:val="center"/>
              <w:rPr>
                <w:rFonts w:eastAsia="Calibri" w:cs="Tahoma"/>
                <w:iCs/>
                <w:color w:val="000000"/>
              </w:rPr>
            </w:pPr>
            <w:r w:rsidRPr="00C83DF5">
              <w:rPr>
                <w:rFonts w:eastAsia="Calibri" w:cs="Tahoma"/>
                <w:iCs/>
                <w:color w:val="000000"/>
              </w:rPr>
              <w:t>Qualifizierende Lizenzposition</w:t>
            </w:r>
          </w:p>
        </w:tc>
        <w:tc>
          <w:tcPr>
            <w:tcW w:w="3780" w:type="dxa"/>
            <w:shd w:val="clear" w:color="auto" w:fill="auto"/>
          </w:tcPr>
          <w:p w:rsidR="00EC1F23" w:rsidRPr="00C83DF5" w:rsidRDefault="00EC1F23" w:rsidP="00022FBE">
            <w:pPr>
              <w:jc w:val="center"/>
              <w:rPr>
                <w:rFonts w:eastAsia="Calibri" w:cs="Tahoma"/>
                <w:iCs/>
                <w:color w:val="000000"/>
              </w:rPr>
            </w:pPr>
            <w:r w:rsidRPr="00C83DF5">
              <w:rPr>
                <w:rFonts w:eastAsia="Calibri" w:cs="Tahoma"/>
                <w:iCs/>
                <w:color w:val="000000"/>
              </w:rPr>
              <w:t>Lizenzgewährung</w:t>
            </w:r>
          </w:p>
        </w:tc>
      </w:tr>
      <w:tr w:rsidR="00EC1F23" w:rsidRPr="004D388E" w:rsidTr="00C066F9">
        <w:trPr>
          <w:jc w:val="center"/>
        </w:trPr>
        <w:tc>
          <w:tcPr>
            <w:tcW w:w="3960" w:type="dxa"/>
            <w:shd w:val="clear" w:color="auto" w:fill="auto"/>
          </w:tcPr>
          <w:p w:rsidR="00EE53FF" w:rsidRPr="00C83DF5" w:rsidRDefault="00EE53FF" w:rsidP="001051D1">
            <w:pPr>
              <w:spacing w:before="60" w:after="60"/>
              <w:ind w:left="158" w:right="346"/>
              <w:rPr>
                <w:lang w:val="de-DE"/>
              </w:rPr>
            </w:pPr>
            <w:r w:rsidRPr="00C83DF5">
              <w:rPr>
                <w:rFonts w:eastAsia="Calibri" w:cs="Tahoma"/>
                <w:iCs/>
                <w:color w:val="000000"/>
                <w:lang w:val="de-DE"/>
              </w:rPr>
              <w:t>EHA-Nutzer-AL (in Verbindung mit einer lokalen Exchange-CAL genutzt)</w:t>
            </w:r>
          </w:p>
          <w:p w:rsidR="00EC1F23" w:rsidRPr="00C83DF5" w:rsidRDefault="00EC1F23" w:rsidP="001051D1">
            <w:pPr>
              <w:spacing w:before="60" w:after="60"/>
              <w:ind w:left="158" w:right="346"/>
              <w:rPr>
                <w:lang w:val="de-DE"/>
              </w:rPr>
            </w:pPr>
            <w:r w:rsidRPr="00C83DF5">
              <w:rPr>
                <w:rFonts w:eastAsia="Calibri" w:cs="Tahoma"/>
                <w:iCs/>
                <w:color w:val="000000"/>
                <w:lang w:val="de-DE"/>
              </w:rPr>
              <w:t>EHA-Nutzer-AL (in Verbindung mit Nutzer-ALs für Exchange Online Standard, Exchange Online Plan</w:t>
            </w:r>
          </w:p>
          <w:p w:rsidR="00EC1F23" w:rsidRPr="00C83DF5" w:rsidRDefault="00EC1F23" w:rsidP="001051D1">
            <w:pPr>
              <w:spacing w:before="60" w:after="60"/>
              <w:ind w:left="158" w:right="346"/>
              <w:rPr>
                <w:rFonts w:eastAsia="Calibri" w:cs="Tahoma"/>
                <w:iCs/>
                <w:color w:val="000000"/>
                <w:lang w:val="de-DE"/>
              </w:rPr>
            </w:pPr>
            <w:r w:rsidRPr="00C83DF5">
              <w:rPr>
                <w:rFonts w:eastAsia="Calibri" w:cs="Tahoma"/>
                <w:iCs/>
                <w:color w:val="000000"/>
                <w:lang w:val="de-DE"/>
              </w:rPr>
              <w:t>2, BPOS Standard, Office 365 E1, BPOS Deskless, Exchange Online Deskless oder Exchange Online Kiosk genutzt)</w:t>
            </w:r>
          </w:p>
        </w:tc>
        <w:tc>
          <w:tcPr>
            <w:tcW w:w="3780" w:type="dxa"/>
            <w:shd w:val="clear" w:color="auto" w:fill="auto"/>
          </w:tcPr>
          <w:p w:rsidR="00EC1F23" w:rsidRPr="00C83DF5" w:rsidRDefault="00EC1F23" w:rsidP="00B956BE">
            <w:pPr>
              <w:numPr>
                <w:ilvl w:val="0"/>
                <w:numId w:val="46"/>
              </w:numPr>
              <w:spacing w:before="60" w:after="60"/>
              <w:ind w:right="342"/>
              <w:rPr>
                <w:rFonts w:eastAsia="Calibri" w:cs="Tahoma"/>
                <w:iCs/>
                <w:color w:val="000000"/>
                <w:lang w:val="de-DE"/>
              </w:rPr>
            </w:pPr>
            <w:r w:rsidRPr="00C83DF5">
              <w:rPr>
                <w:rFonts w:eastAsia="Calibri" w:cs="Tahoma"/>
                <w:iCs/>
                <w:color w:val="000000"/>
                <w:lang w:val="de-DE"/>
              </w:rPr>
              <w:t>Nutzer-AL für Exchange Online</w:t>
            </w:r>
            <w:r w:rsidR="00B956BE">
              <w:rPr>
                <w:rFonts w:eastAsia="Calibri" w:cs="Tahoma"/>
                <w:iCs/>
                <w:color w:val="000000"/>
                <w:lang w:val="de-DE"/>
              </w:rPr>
              <w:t> </w:t>
            </w:r>
            <w:r w:rsidRPr="00C83DF5">
              <w:rPr>
                <w:rFonts w:eastAsia="Calibri" w:cs="Tahoma"/>
                <w:iCs/>
                <w:color w:val="000000"/>
                <w:lang w:val="de-DE"/>
              </w:rPr>
              <w:t>Plan 2</w:t>
            </w:r>
          </w:p>
        </w:tc>
      </w:tr>
    </w:tbl>
    <w:p w:rsidR="00D57009" w:rsidRPr="007025E3" w:rsidRDefault="00D57009">
      <w:pPr>
        <w:rPr>
          <w:b/>
          <w:color w:val="000000"/>
          <w:sz w:val="16"/>
          <w:szCs w:val="16"/>
          <w:lang w:val="de-DE"/>
        </w:rPr>
      </w:pPr>
    </w:p>
    <w:p w:rsidR="00DD39C7" w:rsidRPr="00C83DF5" w:rsidRDefault="00DD39C7" w:rsidP="0084072C">
      <w:pPr>
        <w:spacing w:after="60"/>
        <w:ind w:left="720"/>
        <w:rPr>
          <w:lang w:val="de-DE"/>
        </w:rPr>
      </w:pPr>
      <w:r w:rsidRPr="00C83DF5">
        <w:rPr>
          <w:b/>
          <w:color w:val="000000"/>
          <w:lang w:val="de-DE"/>
        </w:rPr>
        <w:t>Kontinuierliche Verwendung von Exchange Hosted Archive (EHA) mit aktiven Abonnements für Business Productivity Online Subscription (BPOS) und Exchange Online Standard</w:t>
      </w:r>
    </w:p>
    <w:p w:rsidR="00B956BE" w:rsidRDefault="00DD39C7" w:rsidP="00B956BE">
      <w:pPr>
        <w:ind w:left="720"/>
        <w:rPr>
          <w:iCs/>
          <w:color w:val="000000"/>
          <w:lang w:val="de-DE"/>
        </w:rPr>
      </w:pPr>
      <w:r w:rsidRPr="00C83DF5">
        <w:rPr>
          <w:iCs/>
          <w:color w:val="000000"/>
          <w:lang w:val="de-DE"/>
        </w:rPr>
        <w:t>Kunden mit ablaufenden EHA-Abonnements, die noch nicht auf Office 365 migriert wurden und derzeit auf</w:t>
      </w:r>
      <w:r w:rsidR="00B956BE">
        <w:rPr>
          <w:iCs/>
          <w:color w:val="000000"/>
          <w:lang w:val="de-DE"/>
        </w:rPr>
        <w:t> </w:t>
      </w:r>
      <w:r w:rsidRPr="00C83DF5">
        <w:rPr>
          <w:iCs/>
          <w:color w:val="000000"/>
          <w:lang w:val="de-DE"/>
        </w:rPr>
        <w:t xml:space="preserve">BPOS oder Exchange Online Standard bereitgestellt sind, sind berechtigt, EHA nach Ablauf ihres </w:t>
      </w:r>
      <w:r w:rsidR="00B956BE">
        <w:rPr>
          <w:iCs/>
          <w:color w:val="000000"/>
          <w:lang w:val="de-DE"/>
        </w:rPr>
        <w:br/>
      </w:r>
      <w:r w:rsidRPr="00C83DF5">
        <w:rPr>
          <w:iCs/>
          <w:color w:val="000000"/>
          <w:lang w:val="de-DE"/>
        </w:rPr>
        <w:t>EHA-Abonnements und bis (i) zu ihrer Migration auf Office 365 oder (ii) zum Ablauf ihres Abonnements für</w:t>
      </w:r>
      <w:r w:rsidR="00B956BE">
        <w:rPr>
          <w:iCs/>
          <w:color w:val="000000"/>
          <w:lang w:val="de-DE"/>
        </w:rPr>
        <w:t> </w:t>
      </w:r>
      <w:r w:rsidRPr="00C83DF5">
        <w:rPr>
          <w:iCs/>
          <w:color w:val="000000"/>
          <w:lang w:val="de-DE"/>
        </w:rPr>
        <w:t>BPOS oder Exchange Online Standard zu verwenden, wobei das frühere Datum maßgeblich ist.</w:t>
      </w:r>
      <w:r w:rsidR="00E71F46" w:rsidRPr="00C83DF5">
        <w:rPr>
          <w:iCs/>
          <w:color w:val="000000"/>
          <w:lang w:val="de-DE"/>
        </w:rPr>
        <w:t xml:space="preserve"> </w:t>
      </w:r>
      <w:r w:rsidRPr="00C83DF5">
        <w:rPr>
          <w:iCs/>
          <w:color w:val="000000"/>
          <w:lang w:val="de-DE"/>
        </w:rPr>
        <w:t>Die</w:t>
      </w:r>
      <w:r w:rsidR="00B956BE">
        <w:rPr>
          <w:iCs/>
          <w:color w:val="000000"/>
          <w:lang w:val="de-DE"/>
        </w:rPr>
        <w:t> </w:t>
      </w:r>
      <w:r w:rsidRPr="00C83DF5">
        <w:rPr>
          <w:iCs/>
          <w:color w:val="000000"/>
          <w:lang w:val="de-DE"/>
        </w:rPr>
        <w:t>Verwendung von EHA im Rahmen dieses Angebots durch Kunden unterliegt den Bestimmungen ihres</w:t>
      </w:r>
      <w:r w:rsidR="00B956BE">
        <w:rPr>
          <w:iCs/>
          <w:color w:val="000000"/>
          <w:lang w:val="de-DE"/>
        </w:rPr>
        <w:t> </w:t>
      </w:r>
      <w:r w:rsidRPr="00C83DF5">
        <w:rPr>
          <w:iCs/>
          <w:color w:val="000000"/>
          <w:lang w:val="de-DE"/>
        </w:rPr>
        <w:t xml:space="preserve">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w:t>
      </w:r>
    </w:p>
    <w:p w:rsidR="00DD39C7" w:rsidRPr="00C83DF5" w:rsidRDefault="00DD39C7" w:rsidP="00B956BE">
      <w:pPr>
        <w:ind w:left="720"/>
        <w:rPr>
          <w:lang w:val="de-DE"/>
        </w:rPr>
      </w:pPr>
      <w:r w:rsidRPr="00C83DF5">
        <w:rPr>
          <w:iCs/>
          <w:color w:val="000000"/>
          <w:lang w:val="de-DE"/>
        </w:rPr>
        <w:t>EHA-Nutzer- und -Geräte-Abonnementlizenzen dürfen nur Nutzern und Geräten zugewiesen werden, denen</w:t>
      </w:r>
      <w:r w:rsidR="00B956BE">
        <w:rPr>
          <w:iCs/>
          <w:color w:val="000000"/>
          <w:lang w:val="de-DE"/>
        </w:rPr>
        <w:t> </w:t>
      </w:r>
      <w:r w:rsidRPr="00C83DF5">
        <w:rPr>
          <w:iCs/>
          <w:color w:val="000000"/>
          <w:lang w:val="de-DE"/>
        </w:rPr>
        <w:t>BPOS- oder Exchange Online Standard-Lizenzen zugewiesen wurden.</w:t>
      </w:r>
      <w:r w:rsidR="00E71F46" w:rsidRPr="00C83DF5">
        <w:rPr>
          <w:iCs/>
          <w:color w:val="000000"/>
          <w:lang w:val="de-DE"/>
        </w:rPr>
        <w:t xml:space="preserve"> </w:t>
      </w:r>
      <w:r w:rsidRPr="00C83DF5">
        <w:rPr>
          <w:iCs/>
          <w:color w:val="000000"/>
          <w:lang w:val="de-DE"/>
        </w:rPr>
        <w:t>EHA wird wie besehen und</w:t>
      </w:r>
      <w:r w:rsidR="00B956BE">
        <w:rPr>
          <w:iCs/>
          <w:color w:val="000000"/>
          <w:lang w:val="de-DE"/>
        </w:rPr>
        <w:t> </w:t>
      </w:r>
      <w:r w:rsidRPr="00C83DF5">
        <w:rPr>
          <w:iCs/>
          <w:color w:val="000000"/>
          <w:lang w:val="de-DE"/>
        </w:rPr>
        <w:t>ohne Gewährleistung jeglicher Art lizenziert.</w:t>
      </w:r>
      <w:r w:rsidR="00E71F46" w:rsidRPr="00C83DF5">
        <w:rPr>
          <w:iCs/>
          <w:color w:val="000000"/>
          <w:lang w:val="de-DE"/>
        </w:rPr>
        <w:t xml:space="preserve"> </w:t>
      </w:r>
    </w:p>
    <w:p w:rsidR="00DD39C7" w:rsidRPr="005C5A5B" w:rsidRDefault="00DD39C7" w:rsidP="00DD39C7">
      <w:pPr>
        <w:ind w:left="720"/>
        <w:rPr>
          <w:sz w:val="16"/>
          <w:szCs w:val="16"/>
          <w:lang w:val="de-DE"/>
        </w:rPr>
      </w:pPr>
    </w:p>
    <w:p w:rsidR="00023FE7" w:rsidRPr="005C5A5B" w:rsidRDefault="00023FE7" w:rsidP="00B956BE">
      <w:pPr>
        <w:ind w:left="720"/>
        <w:rPr>
          <w:sz w:val="16"/>
          <w:szCs w:val="16"/>
          <w:lang w:val="de-DE"/>
        </w:rPr>
      </w:pPr>
    </w:p>
    <w:p w:rsidR="00827D38" w:rsidRPr="00C83DF5" w:rsidRDefault="00A560B6" w:rsidP="00B52F10">
      <w:pPr>
        <w:pStyle w:val="Heading2"/>
        <w:ind w:left="0"/>
        <w:rPr>
          <w:lang w:val="de-DE"/>
        </w:rPr>
      </w:pPr>
      <w:bookmarkStart w:id="1231" w:name="_46_Exchange_Hosted"/>
      <w:bookmarkStart w:id="1232" w:name="_52_Exchange_Hosted"/>
      <w:bookmarkStart w:id="1233" w:name="_Toc336338307"/>
      <w:bookmarkStart w:id="1234" w:name="Srv_39ExchangeOnDeskWork"/>
      <w:bookmarkStart w:id="1235" w:name="_Toc370983419"/>
      <w:bookmarkEnd w:id="1231"/>
      <w:bookmarkEnd w:id="1232"/>
      <w:r w:rsidRPr="00C83DF5">
        <w:rPr>
          <w:rFonts w:ascii="Tahoma" w:hAnsi="Tahoma" w:cs="Tahoma"/>
          <w:color w:val="E25B00"/>
          <w:sz w:val="22"/>
          <w:szCs w:val="22"/>
          <w:vertAlign w:val="superscript"/>
          <w:lang w:val="de-DE"/>
        </w:rPr>
        <w:t>51</w:t>
      </w:r>
      <w:r w:rsidRPr="00C83DF5">
        <w:rPr>
          <w:rFonts w:ascii="Tahoma" w:hAnsi="Tahoma" w:cs="Tahoma"/>
          <w:sz w:val="22"/>
          <w:szCs w:val="22"/>
          <w:lang w:val="de-DE"/>
        </w:rPr>
        <w:t xml:space="preserve"> </w:t>
      </w:r>
      <w:r w:rsidRPr="00C83DF5">
        <w:rPr>
          <w:rFonts w:ascii="Tahoma" w:hAnsi="Tahoma" w:cs="Tahoma"/>
          <w:color w:val="F66400"/>
          <w:sz w:val="22"/>
          <w:szCs w:val="22"/>
          <w:lang w:val="de-DE"/>
        </w:rPr>
        <w:t>Exchange Hosted Encryption (Nutzer-AL)</w:t>
      </w:r>
      <w:bookmarkEnd w:id="1233"/>
      <w:bookmarkEnd w:id="1235"/>
    </w:p>
    <w:p w:rsidR="00827D38" w:rsidRPr="005C5A5B" w:rsidRDefault="00827D38" w:rsidP="00827D38">
      <w:pPr>
        <w:ind w:left="900"/>
        <w:rPr>
          <w:sz w:val="16"/>
          <w:szCs w:val="16"/>
          <w:lang w:val="de-DE"/>
        </w:rPr>
      </w:pPr>
    </w:p>
    <w:p w:rsidR="00827D38" w:rsidRPr="00C83DF5" w:rsidRDefault="00827D38" w:rsidP="00E62BC4">
      <w:pPr>
        <w:ind w:left="720"/>
        <w:rPr>
          <w:lang w:val="de-DE"/>
        </w:rPr>
      </w:pPr>
      <w:r w:rsidRPr="00C83DF5">
        <w:rPr>
          <w:lang w:val="de-DE"/>
        </w:rPr>
        <w:t>Kunden verwenden für weitere Bestellungen denselben aktiven Select-Vertrag, Konzernvertrag oder Open Value-Vertrag wie bei der Anfangsbestellung.</w:t>
      </w:r>
    </w:p>
    <w:p w:rsidR="00827D38" w:rsidRPr="005C5A5B" w:rsidRDefault="00827D38" w:rsidP="00E62BC4">
      <w:pPr>
        <w:ind w:left="720"/>
        <w:rPr>
          <w:sz w:val="16"/>
          <w:szCs w:val="16"/>
          <w:lang w:val="de-DE"/>
        </w:rPr>
      </w:pPr>
    </w:p>
    <w:p w:rsidR="00023FE7" w:rsidRPr="00C83DF5" w:rsidRDefault="00827D38" w:rsidP="00E62BC4">
      <w:pPr>
        <w:ind w:left="720"/>
        <w:rPr>
          <w:lang w:val="de-DE"/>
        </w:rPr>
      </w:pPr>
      <w:r w:rsidRPr="00C83DF5">
        <w:rPr>
          <w:lang w:val="de-DE"/>
        </w:rPr>
        <w:t xml:space="preserve">Preise und Zahlungsbestimmungen für Onlinedienste finden Sie in </w:t>
      </w:r>
      <w:hyperlink w:anchor="_Section_10_–" w:history="1">
        <w:r w:rsidRPr="00C83DF5">
          <w:rPr>
            <w:rStyle w:val="Hyperlink"/>
            <w:lang w:val="de-DE"/>
          </w:rPr>
          <w:t>Abschnitt 10</w:t>
        </w:r>
      </w:hyperlink>
      <w:r w:rsidRPr="00C83DF5">
        <w:rPr>
          <w:lang w:val="de-DE"/>
        </w:rPr>
        <w:t>.</w:t>
      </w:r>
    </w:p>
    <w:p w:rsidR="00023FE7" w:rsidRPr="00C83DF5" w:rsidRDefault="00A560B6">
      <w:pPr>
        <w:pStyle w:val="Heading3"/>
        <w:rPr>
          <w:lang w:val="de-DE"/>
        </w:rPr>
      </w:pPr>
      <w:bookmarkStart w:id="1236" w:name="_50_Exchange_Online"/>
      <w:bookmarkStart w:id="1237" w:name="_53_Exchange_Online"/>
      <w:bookmarkStart w:id="1238" w:name="_52_Exchange_Online-Kiosk"/>
      <w:bookmarkStart w:id="1239" w:name="_Toc336338308"/>
      <w:bookmarkStart w:id="1240" w:name="Srv_40ExchangeOnDeskWork"/>
      <w:bookmarkStart w:id="1241" w:name="Srv_45ExchangeOnDeskWork"/>
      <w:bookmarkStart w:id="1242" w:name="_Toc370983420"/>
      <w:bookmarkEnd w:id="1236"/>
      <w:bookmarkEnd w:id="1237"/>
      <w:bookmarkEnd w:id="1238"/>
      <w:r w:rsidRPr="00C83DF5">
        <w:rPr>
          <w:rFonts w:ascii="Tahoma" w:hAnsi="Tahoma"/>
          <w:caps/>
          <w:color w:val="F66400"/>
          <w:sz w:val="22"/>
          <w:vertAlign w:val="superscript"/>
          <w:lang w:val="de-DE"/>
        </w:rPr>
        <w:lastRenderedPageBreak/>
        <w:t>52</w:t>
      </w:r>
      <w:r w:rsidRPr="00C83DF5">
        <w:rPr>
          <w:rFonts w:ascii="Tahoma" w:hAnsi="Tahoma"/>
          <w:color w:val="F66400"/>
          <w:sz w:val="22"/>
          <w:lang w:val="de-DE"/>
        </w:rPr>
        <w:t xml:space="preserve"> Exchange Online-Kiosk (Nutzer-AL)</w:t>
      </w:r>
      <w:bookmarkEnd w:id="1239"/>
      <w:bookmarkEnd w:id="1242"/>
    </w:p>
    <w:bookmarkEnd w:id="1234"/>
    <w:bookmarkEnd w:id="1240"/>
    <w:bookmarkEnd w:id="1241"/>
    <w:p w:rsidR="00023FE7" w:rsidRPr="007025E3" w:rsidRDefault="00023FE7">
      <w:pPr>
        <w:pStyle w:val="EndnoteText"/>
        <w:rPr>
          <w:lang w:val="de-DE"/>
        </w:rPr>
      </w:pPr>
    </w:p>
    <w:p w:rsidR="00040ADC" w:rsidRPr="00C83DF5" w:rsidRDefault="00040ADC" w:rsidP="00E62BC4">
      <w:pPr>
        <w:ind w:left="720"/>
        <w:rPr>
          <w:lang w:val="de-DE"/>
        </w:rPr>
      </w:pPr>
      <w:r w:rsidRPr="00C83DF5">
        <w:rPr>
          <w:rFonts w:cs="Tahoma"/>
          <w:color w:val="000000"/>
          <w:szCs w:val="18"/>
          <w:lang w:val="de-DE"/>
        </w:rPr>
        <w:t>Ungeachtet gegenteiliger Bestimmungen in den Lizenzverträgen von Kunden umfassen qualifizierte Nutzer keine Nutzer mit Lizenzen für Exchange Online Kiosk.</w:t>
      </w:r>
    </w:p>
    <w:p w:rsidR="00040ADC" w:rsidRPr="007025E3" w:rsidRDefault="00040ADC" w:rsidP="00E62BC4">
      <w:pPr>
        <w:ind w:left="720"/>
        <w:rPr>
          <w:rFonts w:cs="Tahoma"/>
          <w:color w:val="000000"/>
          <w:szCs w:val="18"/>
          <w:lang w:val="de-DE"/>
        </w:rPr>
      </w:pPr>
    </w:p>
    <w:p w:rsidR="00040ADC" w:rsidRPr="00C83DF5" w:rsidRDefault="00040ADC" w:rsidP="00E62BC4">
      <w:pPr>
        <w:ind w:left="720"/>
        <w:rPr>
          <w:lang w:val="de-DE"/>
        </w:rPr>
      </w:pPr>
      <w:r w:rsidRPr="00C83DF5">
        <w:rPr>
          <w:rFonts w:cs="Tahoma"/>
          <w:color w:val="000000"/>
          <w:szCs w:val="18"/>
          <w:lang w:val="de-DE"/>
        </w:rPr>
        <w:t>Exchange Online Kiosk hieß zuvor Exchange Online Deskless Worker.</w:t>
      </w:r>
    </w:p>
    <w:p w:rsidR="00352135" w:rsidRPr="007025E3" w:rsidRDefault="00352135" w:rsidP="00E62BC4">
      <w:pPr>
        <w:ind w:left="720"/>
        <w:rPr>
          <w:rFonts w:cs="Tahoma"/>
          <w:color w:val="000000"/>
          <w:szCs w:val="18"/>
          <w:lang w:val="de-DE"/>
        </w:rPr>
      </w:pPr>
    </w:p>
    <w:p w:rsidR="00702931" w:rsidRPr="00C83DF5" w:rsidRDefault="00702931" w:rsidP="00AF3B19">
      <w:pPr>
        <w:spacing w:after="60"/>
        <w:ind w:left="720"/>
      </w:pPr>
      <w:r w:rsidRPr="00C83DF5">
        <w:rPr>
          <w:rFonts w:eastAsia="Calibri" w:cs="Tahoma"/>
          <w:b/>
          <w:color w:val="000000"/>
          <w:szCs w:val="18"/>
        </w:rPr>
        <w:t>Government Community Cloud (nur USA)</w:t>
      </w:r>
    </w:p>
    <w:p w:rsidR="00702931" w:rsidRPr="00C83DF5" w:rsidRDefault="00702931" w:rsidP="00FA1CB5">
      <w:pPr>
        <w:ind w:left="720"/>
        <w:rPr>
          <w:lang w:val="de-DE"/>
        </w:rPr>
      </w:pPr>
      <w:r w:rsidRPr="00C83DF5">
        <w:rPr>
          <w:rFonts w:eastAsia="Calibri" w:cs="Tahoma"/>
          <w:color w:val="000000"/>
          <w:szCs w:val="18"/>
        </w:rPr>
        <w:t>Einige Onlinedienste in der Office 365-Produktfamilie (darunter Exchange Online Kiosk) werden als Government Community Cloud-Dienste und Non-Government Community Cloud-Dienste angeboten.</w:t>
      </w:r>
      <w:r w:rsidR="00E71F46" w:rsidRPr="00C83DF5">
        <w:rPr>
          <w:rFonts w:eastAsia="Calibri" w:cs="Tahoma"/>
          <w:color w:val="000000"/>
          <w:szCs w:val="18"/>
        </w:rPr>
        <w:t xml:space="preserve"> </w:t>
      </w:r>
      <w:r w:rsidRPr="00C83DF5">
        <w:rPr>
          <w:rFonts w:eastAsia="Calibri" w:cs="Tahoma"/>
          <w:color w:val="000000"/>
          <w:szCs w:val="18"/>
          <w:lang w:val="de-DE"/>
        </w:rPr>
        <w:t>Die</w:t>
      </w:r>
      <w:r w:rsidR="00FA1CB5">
        <w:rPr>
          <w:rFonts w:eastAsia="Calibri" w:cs="Tahoma"/>
          <w:color w:val="000000"/>
          <w:szCs w:val="18"/>
          <w:lang w:val="de-DE"/>
        </w:rPr>
        <w:t> </w:t>
      </w:r>
      <w:r w:rsidRPr="00C83DF5">
        <w:rPr>
          <w:rFonts w:eastAsia="Calibri" w:cs="Tahoma"/>
          <w:color w:val="000000"/>
          <w:szCs w:val="18"/>
          <w:lang w:val="de-DE"/>
        </w:rPr>
        <w:t>Bereitstellung an Kunden kann in der einen oder anderen Form erfolgen, jedoch nicht als Kombination aus beidem.</w:t>
      </w:r>
      <w:r w:rsidR="00E71F46" w:rsidRPr="00C83DF5">
        <w:rPr>
          <w:rFonts w:eastAsia="Calibri" w:cs="Tahoma"/>
          <w:color w:val="000000"/>
          <w:szCs w:val="18"/>
          <w:lang w:val="de-DE"/>
        </w:rPr>
        <w:t xml:space="preserve"> </w:t>
      </w:r>
      <w:r w:rsidRPr="00C83DF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71F46" w:rsidRPr="00C83DF5">
        <w:rPr>
          <w:rFonts w:eastAsia="Calibri" w:cs="Tahoma"/>
          <w:color w:val="000000"/>
          <w:szCs w:val="18"/>
          <w:lang w:val="de-DE"/>
        </w:rPr>
        <w:t xml:space="preserve"> </w:t>
      </w:r>
      <w:r w:rsidRPr="00C83DF5">
        <w:rPr>
          <w:rFonts w:eastAsia="Calibri" w:cs="Tahoma"/>
          <w:color w:val="000000"/>
          <w:szCs w:val="18"/>
          <w:lang w:val="de-DE"/>
        </w:rPr>
        <w:t>Diese</w:t>
      </w:r>
      <w:r w:rsidR="00FA1CB5">
        <w:rPr>
          <w:rFonts w:eastAsia="Calibri" w:cs="Tahoma"/>
          <w:color w:val="000000"/>
          <w:szCs w:val="18"/>
          <w:lang w:val="de-DE"/>
        </w:rPr>
        <w:t> </w:t>
      </w:r>
      <w:r w:rsidRPr="00C83DF5">
        <w:rPr>
          <w:rFonts w:eastAsia="Calibri" w:cs="Tahoma"/>
          <w:color w:val="000000"/>
          <w:szCs w:val="18"/>
          <w:lang w:val="de-DE"/>
        </w:rPr>
        <w:t>Beschränkung gilt für alle Onlinedienste, die zur Office 365-Produktfamilie gehören, darunter Exchange Online, SharePoint Online und Lync Online.</w:t>
      </w:r>
      <w:r w:rsidR="00E71F46" w:rsidRPr="00C83DF5">
        <w:rPr>
          <w:rFonts w:eastAsia="Calibri" w:cs="Tahoma"/>
          <w:color w:val="000000"/>
          <w:szCs w:val="18"/>
          <w:lang w:val="de-DE"/>
        </w:rPr>
        <w:t xml:space="preserve"> </w:t>
      </w:r>
    </w:p>
    <w:p w:rsidR="00702931" w:rsidRPr="00EC415B" w:rsidRDefault="00702931" w:rsidP="00E62BC4">
      <w:pPr>
        <w:ind w:left="720"/>
        <w:rPr>
          <w:rFonts w:eastAsia="Calibri" w:cs="Tahoma"/>
          <w:color w:val="000000"/>
          <w:szCs w:val="18"/>
          <w:lang w:val="de-DE"/>
        </w:rPr>
      </w:pPr>
    </w:p>
    <w:p w:rsidR="00702931" w:rsidRPr="00C83DF5" w:rsidRDefault="00702931" w:rsidP="00FA1CB5">
      <w:pPr>
        <w:ind w:left="720"/>
        <w:rPr>
          <w:lang w:val="de-DE"/>
        </w:rPr>
      </w:pPr>
      <w:r w:rsidRPr="00C83DF5">
        <w:rPr>
          <w:rFonts w:eastAsia="Calibri" w:cs="Tahoma"/>
          <w:color w:val="000000"/>
          <w:szCs w:val="18"/>
          <w:lang w:val="de-DE"/>
        </w:rPr>
        <w:t>Wenn ein Onlinedienst in der Government Community Cloud bereitgestellt wird, bleibt er für die Dauer der</w:t>
      </w:r>
      <w:r w:rsidR="00FA1CB5">
        <w:rPr>
          <w:rFonts w:eastAsia="Calibri" w:cs="Tahoma"/>
          <w:color w:val="000000"/>
          <w:szCs w:val="18"/>
          <w:lang w:val="de-DE"/>
        </w:rPr>
        <w:t> </w:t>
      </w:r>
      <w:r w:rsidRPr="00C83DF5">
        <w:rPr>
          <w:rFonts w:eastAsia="Calibri" w:cs="Tahoma"/>
          <w:color w:val="000000"/>
          <w:szCs w:val="18"/>
          <w:lang w:val="de-DE"/>
        </w:rPr>
        <w:t>Abonnementlaufzeit dort.</w:t>
      </w:r>
      <w:r w:rsidR="00E71F46" w:rsidRPr="00C83DF5">
        <w:rPr>
          <w:rFonts w:eastAsia="Calibri" w:cs="Tahoma"/>
          <w:color w:val="000000"/>
          <w:szCs w:val="18"/>
          <w:lang w:val="de-DE"/>
        </w:rPr>
        <w:t xml:space="preserve"> </w:t>
      </w:r>
      <w:r w:rsidRPr="00C83DF5">
        <w:rPr>
          <w:rFonts w:eastAsia="Calibri" w:cs="Tahoma"/>
          <w:color w:val="000000"/>
          <w:szCs w:val="18"/>
          <w:lang w:val="de-DE"/>
        </w:rPr>
        <w:t>Kunden, bei denen es sich um US-amerikanische Verwaltungseinrichtungen auf nationaler, einzelstaatlicher, kommunaler oder Stammesebene handelt, müssen Vertragspartei eines</w:t>
      </w:r>
      <w:r w:rsidR="00FA1CB5">
        <w:rPr>
          <w:rFonts w:eastAsia="Calibri" w:cs="Tahoma"/>
          <w:color w:val="000000"/>
          <w:szCs w:val="18"/>
          <w:lang w:val="de-DE"/>
        </w:rPr>
        <w:t> </w:t>
      </w:r>
      <w:r w:rsidRPr="00C83DF5">
        <w:rPr>
          <w:rFonts w:eastAsia="Calibri" w:cs="Tahoma"/>
          <w:color w:val="000000"/>
          <w:szCs w:val="18"/>
          <w:lang w:val="de-DE"/>
        </w:rPr>
        <w:t>Konzernbeitritts oder Konzern-Abonnement-Beitritts für US-Behörden sein, um zum Erwerb von</w:t>
      </w:r>
      <w:r w:rsidR="00FA1CB5">
        <w:rPr>
          <w:rFonts w:eastAsia="Calibri" w:cs="Tahoma"/>
          <w:color w:val="000000"/>
          <w:szCs w:val="18"/>
          <w:lang w:val="de-DE"/>
        </w:rPr>
        <w:t> </w:t>
      </w:r>
      <w:r w:rsidRPr="00C83DF5">
        <w:rPr>
          <w:rFonts w:eastAsia="Calibri" w:cs="Tahoma"/>
          <w:color w:val="000000"/>
          <w:szCs w:val="18"/>
          <w:lang w:val="de-DE"/>
        </w:rPr>
        <w:t>Onlinediensten, die als Government Community Cloud bezeichnet werden, berechtigt zu sein.</w:t>
      </w:r>
      <w:r w:rsidR="00E71F46" w:rsidRPr="00C83DF5">
        <w:rPr>
          <w:rFonts w:eastAsia="Calibri" w:cs="Tahoma"/>
          <w:color w:val="000000"/>
          <w:szCs w:val="18"/>
          <w:lang w:val="de-DE"/>
        </w:rPr>
        <w:t xml:space="preserve"> </w:t>
      </w:r>
      <w:r w:rsidRPr="00C83DF5">
        <w:rPr>
          <w:rFonts w:eastAsia="Calibri" w:cs="Tahoma"/>
          <w:color w:val="000000"/>
          <w:szCs w:val="18"/>
          <w:lang w:val="de-DE"/>
        </w:rPr>
        <w:t>Die</w:t>
      </w:r>
      <w:r w:rsidR="00FA1CB5">
        <w:rPr>
          <w:rFonts w:eastAsia="Calibri" w:cs="Tahoma"/>
          <w:color w:val="000000"/>
          <w:szCs w:val="18"/>
          <w:lang w:val="de-DE"/>
        </w:rPr>
        <w:t> </w:t>
      </w:r>
      <w:r w:rsidRPr="00C83DF5">
        <w:rPr>
          <w:rFonts w:eastAsia="Calibri" w:cs="Tahoma"/>
          <w:color w:val="000000"/>
          <w:szCs w:val="18"/>
          <w:lang w:val="de-DE"/>
        </w:rPr>
        <w:t>Nutzungsrechte für Government Community Cloud-Dienste entsprechen den Nutzungsrechten ihrer</w:t>
      </w:r>
      <w:r w:rsidR="00FA1CB5">
        <w:rPr>
          <w:rFonts w:eastAsia="Calibri" w:cs="Tahoma"/>
          <w:color w:val="000000"/>
          <w:szCs w:val="18"/>
          <w:lang w:val="de-DE"/>
        </w:rPr>
        <w:t> </w:t>
      </w:r>
      <w:r w:rsidRPr="00C83DF5">
        <w:rPr>
          <w:rFonts w:eastAsia="Calibri" w:cs="Tahoma"/>
          <w:color w:val="000000"/>
          <w:szCs w:val="18"/>
          <w:lang w:val="de-DE"/>
        </w:rPr>
        <w:t>mehrinstanzenfähigen Standardäquivalente.</w:t>
      </w:r>
      <w:r w:rsidR="00E71F46" w:rsidRPr="00C83DF5">
        <w:rPr>
          <w:rFonts w:eastAsia="Calibri" w:cs="Tahoma"/>
          <w:color w:val="000000"/>
          <w:szCs w:val="18"/>
          <w:lang w:val="de-DE"/>
        </w:rPr>
        <w:t xml:space="preserve"> </w:t>
      </w:r>
    </w:p>
    <w:p w:rsidR="00023FE7" w:rsidRPr="00FA1CB5" w:rsidRDefault="00023FE7" w:rsidP="005C5A5B">
      <w:pPr>
        <w:ind w:left="720"/>
        <w:rPr>
          <w:rFonts w:eastAsia="Calibri" w:cs="Tahoma"/>
          <w:color w:val="000000"/>
          <w:szCs w:val="18"/>
          <w:lang w:val="de-DE"/>
        </w:rPr>
      </w:pPr>
      <w:bookmarkStart w:id="1243" w:name="Srv_41ExchangeSvr07EntCAL"/>
    </w:p>
    <w:p w:rsidR="00C066F9" w:rsidRPr="00C83DF5" w:rsidRDefault="00C066F9" w:rsidP="00C066F9">
      <w:pPr>
        <w:ind w:left="720"/>
        <w:rPr>
          <w:lang w:val="de-DE"/>
        </w:rPr>
      </w:pPr>
    </w:p>
    <w:p w:rsidR="00371299" w:rsidRPr="00C83DF5" w:rsidRDefault="00A560B6" w:rsidP="00B17EFB">
      <w:pPr>
        <w:pStyle w:val="Heading3"/>
        <w:rPr>
          <w:lang w:val="de-DE"/>
        </w:rPr>
      </w:pPr>
      <w:bookmarkStart w:id="1244" w:name="_48_Exchange_Online"/>
      <w:bookmarkStart w:id="1245" w:name="_54_Exchange_Online"/>
      <w:bookmarkStart w:id="1246" w:name="_55Exchange_Online_Plan"/>
      <w:bookmarkStart w:id="1247" w:name="_Toc336338309"/>
      <w:bookmarkStart w:id="1248" w:name="Srv_46ExhangeOnlinePlan1"/>
      <w:bookmarkStart w:id="1249" w:name="Srv_42ExchangeSvr2010EntCAL"/>
      <w:bookmarkStart w:id="1250" w:name="Srv_47ExchangeSvr2010EntCAL"/>
      <w:bookmarkStart w:id="1251" w:name="_Toc370983421"/>
      <w:bookmarkEnd w:id="1244"/>
      <w:bookmarkEnd w:id="1245"/>
      <w:bookmarkEnd w:id="1246"/>
      <w:r w:rsidRPr="00C83DF5">
        <w:rPr>
          <w:rFonts w:ascii="Tahoma" w:hAnsi="Tahoma" w:cs="Tahoma"/>
          <w:caps/>
          <w:color w:val="F66400"/>
          <w:sz w:val="22"/>
          <w:szCs w:val="22"/>
          <w:vertAlign w:val="superscript"/>
          <w:lang w:val="de-DE"/>
        </w:rPr>
        <w:t>53</w:t>
      </w:r>
      <w:r w:rsidRPr="005C5A5B">
        <w:rPr>
          <w:rFonts w:ascii="Tahoma" w:hAnsi="Tahoma" w:cs="Tahoma"/>
          <w:caps/>
          <w:color w:val="F66400"/>
          <w:sz w:val="22"/>
          <w:szCs w:val="22"/>
          <w:lang w:val="de-DE"/>
        </w:rPr>
        <w:t xml:space="preserve"> </w:t>
      </w:r>
      <w:r w:rsidRPr="00C83DF5">
        <w:rPr>
          <w:rFonts w:ascii="Tahoma" w:hAnsi="Tahoma" w:cs="Tahoma"/>
          <w:color w:val="F66400"/>
          <w:sz w:val="22"/>
          <w:szCs w:val="22"/>
          <w:lang w:val="de-DE"/>
        </w:rPr>
        <w:t>Exchange Online Plan 1</w:t>
      </w:r>
      <w:bookmarkEnd w:id="1247"/>
      <w:bookmarkEnd w:id="1251"/>
    </w:p>
    <w:bookmarkEnd w:id="1248"/>
    <w:p w:rsidR="00371299" w:rsidRPr="007025E3" w:rsidRDefault="00371299" w:rsidP="00EC415B">
      <w:pPr>
        <w:ind w:left="720"/>
        <w:rPr>
          <w:rFonts w:eastAsia="Calibri" w:cs="Tahoma"/>
          <w:color w:val="000000"/>
          <w:szCs w:val="18"/>
          <w:lang w:val="de-DE"/>
        </w:rPr>
      </w:pPr>
    </w:p>
    <w:p w:rsidR="00371299" w:rsidRPr="00C83DF5" w:rsidRDefault="00371299" w:rsidP="00371299">
      <w:pPr>
        <w:ind w:left="720"/>
        <w:contextualSpacing/>
        <w:rPr>
          <w:lang w:val="de-DE"/>
        </w:rPr>
      </w:pPr>
      <w:r w:rsidRPr="00C83DF5">
        <w:rPr>
          <w:rFonts w:cs="Tahoma"/>
          <w:szCs w:val="20"/>
          <w:lang w:val="de-DE"/>
        </w:rPr>
        <w:t>Exchange Online Plan 1 hieß zuvor Exchange Online Standard.</w:t>
      </w:r>
    </w:p>
    <w:p w:rsidR="00A61080" w:rsidRPr="00C83DF5" w:rsidRDefault="00A61080" w:rsidP="00C066F9">
      <w:pPr>
        <w:ind w:left="720"/>
        <w:contextualSpacing/>
        <w:rPr>
          <w:lang w:val="de-DE"/>
        </w:rPr>
      </w:pPr>
    </w:p>
    <w:p w:rsidR="00A61080" w:rsidRPr="00C83DF5" w:rsidRDefault="00A61080" w:rsidP="00A61080">
      <w:pPr>
        <w:ind w:left="720"/>
        <w:rPr>
          <w:lang w:val="de-DE"/>
        </w:rPr>
      </w:pPr>
      <w:r w:rsidRPr="00C83DF5">
        <w:rPr>
          <w:rFonts w:ascii="Arial" w:eastAsia="Calibri" w:hAnsi="Arial" w:cs="Arial"/>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rsidR="00B23BE6" w:rsidRPr="00C83DF5" w:rsidRDefault="00B23BE6" w:rsidP="00A61080">
      <w:pPr>
        <w:ind w:left="720"/>
        <w:rPr>
          <w:lang w:val="de-DE"/>
        </w:rPr>
      </w:pPr>
    </w:p>
    <w:p w:rsidR="00702931" w:rsidRPr="00C83DF5" w:rsidRDefault="00702931" w:rsidP="0067725A">
      <w:pPr>
        <w:spacing w:after="60"/>
        <w:ind w:left="720"/>
      </w:pPr>
      <w:r w:rsidRPr="00C83DF5">
        <w:rPr>
          <w:rFonts w:eastAsia="Calibri" w:cs="Tahoma"/>
          <w:b/>
          <w:color w:val="000000"/>
          <w:szCs w:val="18"/>
        </w:rPr>
        <w:t>Government Community Cloud (nur USA)</w:t>
      </w:r>
    </w:p>
    <w:p w:rsidR="00702931" w:rsidRPr="00C83DF5" w:rsidRDefault="00702931" w:rsidP="00EC415B">
      <w:pPr>
        <w:ind w:left="720"/>
        <w:rPr>
          <w:lang w:val="de-DE"/>
        </w:rPr>
      </w:pPr>
      <w:r w:rsidRPr="00C83DF5">
        <w:rPr>
          <w:rFonts w:eastAsia="Calibri" w:cs="Tahoma"/>
          <w:color w:val="000000"/>
          <w:szCs w:val="18"/>
        </w:rPr>
        <w:t>Einige Onlinedienste in der Office 365-Produktfamilie (darunter Exchange Online Plan 1) werden als Government Community Cloud-Dienste und Non-Government Community Cloud-Dienste angeboten.</w:t>
      </w:r>
      <w:r w:rsidR="00E71F46" w:rsidRPr="00C83DF5">
        <w:rPr>
          <w:rFonts w:eastAsia="Calibri" w:cs="Tahoma"/>
          <w:color w:val="000000"/>
          <w:szCs w:val="18"/>
        </w:rPr>
        <w:t xml:space="preserve"> </w:t>
      </w:r>
      <w:r w:rsidRPr="00C83DF5">
        <w:rPr>
          <w:rFonts w:eastAsia="Calibri" w:cs="Tahoma"/>
          <w:color w:val="000000"/>
          <w:szCs w:val="18"/>
          <w:lang w:val="de-DE"/>
        </w:rPr>
        <w:t>Die</w:t>
      </w:r>
      <w:r w:rsidR="00EC415B">
        <w:rPr>
          <w:rFonts w:eastAsia="Calibri" w:cs="Tahoma"/>
          <w:color w:val="000000"/>
          <w:szCs w:val="18"/>
          <w:lang w:val="de-DE"/>
        </w:rPr>
        <w:t> </w:t>
      </w:r>
      <w:r w:rsidRPr="00C83DF5">
        <w:rPr>
          <w:rFonts w:eastAsia="Calibri" w:cs="Tahoma"/>
          <w:color w:val="000000"/>
          <w:szCs w:val="18"/>
          <w:lang w:val="de-DE"/>
        </w:rPr>
        <w:t>Bereitstellung an Kunden kann in der einen oder anderen Form erfolgen, jedoch nicht als Kombination aus beidem.</w:t>
      </w:r>
      <w:r w:rsidR="00E71F46" w:rsidRPr="00C83DF5">
        <w:rPr>
          <w:rFonts w:eastAsia="Calibri" w:cs="Tahoma"/>
          <w:color w:val="000000"/>
          <w:szCs w:val="18"/>
          <w:lang w:val="de-DE"/>
        </w:rPr>
        <w:t xml:space="preserve"> </w:t>
      </w:r>
      <w:r w:rsidRPr="00C83DF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71F46" w:rsidRPr="00C83DF5">
        <w:rPr>
          <w:rFonts w:eastAsia="Calibri" w:cs="Tahoma"/>
          <w:color w:val="000000"/>
          <w:szCs w:val="18"/>
          <w:lang w:val="de-DE"/>
        </w:rPr>
        <w:t xml:space="preserve"> </w:t>
      </w:r>
      <w:r w:rsidRPr="00C83DF5">
        <w:rPr>
          <w:rFonts w:eastAsia="Calibri" w:cs="Tahoma"/>
          <w:color w:val="000000"/>
          <w:szCs w:val="18"/>
          <w:lang w:val="de-DE"/>
        </w:rPr>
        <w:t>Diese</w:t>
      </w:r>
      <w:r w:rsidR="00EC415B">
        <w:rPr>
          <w:rFonts w:eastAsia="Calibri" w:cs="Tahoma"/>
          <w:color w:val="000000"/>
          <w:szCs w:val="18"/>
          <w:lang w:val="de-DE"/>
        </w:rPr>
        <w:t> </w:t>
      </w:r>
      <w:r w:rsidRPr="00C83DF5">
        <w:rPr>
          <w:rFonts w:eastAsia="Calibri" w:cs="Tahoma"/>
          <w:color w:val="000000"/>
          <w:szCs w:val="18"/>
          <w:lang w:val="de-DE"/>
        </w:rPr>
        <w:t>Beschränkung gilt für alle Onlinedienste, die zur Office 365-Produktfamilie gehören, darunter Exchange Online, SharePoint Online und Lync Online.</w:t>
      </w:r>
      <w:r w:rsidR="00E71F46" w:rsidRPr="00C83DF5">
        <w:rPr>
          <w:rFonts w:eastAsia="Calibri" w:cs="Tahoma"/>
          <w:color w:val="000000"/>
          <w:szCs w:val="18"/>
          <w:lang w:val="de-DE"/>
        </w:rPr>
        <w:t xml:space="preserve"> </w:t>
      </w:r>
    </w:p>
    <w:p w:rsidR="00702931" w:rsidRPr="00C83DF5" w:rsidRDefault="00702931" w:rsidP="00702931">
      <w:pPr>
        <w:ind w:left="720"/>
        <w:rPr>
          <w:lang w:val="de-DE"/>
        </w:rPr>
      </w:pPr>
    </w:p>
    <w:p w:rsidR="00702931" w:rsidRPr="00C83DF5" w:rsidRDefault="00702931" w:rsidP="00EC415B">
      <w:pPr>
        <w:ind w:left="720"/>
        <w:rPr>
          <w:lang w:val="de-DE"/>
        </w:rPr>
      </w:pPr>
      <w:r w:rsidRPr="00C83DF5">
        <w:rPr>
          <w:rFonts w:eastAsia="Calibri" w:cs="Tahoma"/>
          <w:color w:val="000000"/>
          <w:szCs w:val="18"/>
          <w:lang w:val="de-DE"/>
        </w:rPr>
        <w:t>Wenn ein Onlinedienst in der Government Community Cloud bereitgestellt wird, bleibt er für die Dauer der</w:t>
      </w:r>
      <w:r w:rsidR="00EC415B">
        <w:rPr>
          <w:rFonts w:eastAsia="Calibri" w:cs="Tahoma"/>
          <w:color w:val="000000"/>
          <w:szCs w:val="18"/>
          <w:lang w:val="de-DE"/>
        </w:rPr>
        <w:t> </w:t>
      </w:r>
      <w:r w:rsidRPr="00C83DF5">
        <w:rPr>
          <w:rFonts w:eastAsia="Calibri" w:cs="Tahoma"/>
          <w:color w:val="000000"/>
          <w:szCs w:val="18"/>
          <w:lang w:val="de-DE"/>
        </w:rPr>
        <w:t>Abonnementlaufzeit dort.</w:t>
      </w:r>
      <w:r w:rsidR="00E71F46" w:rsidRPr="00C83DF5">
        <w:rPr>
          <w:rFonts w:eastAsia="Calibri" w:cs="Tahoma"/>
          <w:color w:val="000000"/>
          <w:szCs w:val="18"/>
          <w:lang w:val="de-DE"/>
        </w:rPr>
        <w:t xml:space="preserve"> </w:t>
      </w:r>
      <w:r w:rsidRPr="00C83DF5">
        <w:rPr>
          <w:rFonts w:eastAsia="Calibri" w:cs="Tahoma"/>
          <w:color w:val="000000"/>
          <w:szCs w:val="18"/>
          <w:lang w:val="de-DE"/>
        </w:rPr>
        <w:t>Kunden, bei denen es sich um US-amerikanische Verwaltungseinrichtungen auf nationaler, einzelstaatlicher, kommunaler oder Stammesebene handelt, müssen Vertragspartei eines</w:t>
      </w:r>
      <w:r w:rsidR="00EC415B">
        <w:rPr>
          <w:rFonts w:eastAsia="Calibri" w:cs="Tahoma"/>
          <w:color w:val="000000"/>
          <w:szCs w:val="18"/>
          <w:lang w:val="de-DE"/>
        </w:rPr>
        <w:t> </w:t>
      </w:r>
      <w:r w:rsidRPr="00C83DF5">
        <w:rPr>
          <w:rFonts w:eastAsia="Calibri" w:cs="Tahoma"/>
          <w:color w:val="000000"/>
          <w:szCs w:val="18"/>
          <w:lang w:val="de-DE"/>
        </w:rPr>
        <w:t>Konzernbeitritts oder Konzern-Abonnement-Beitritts für US-Behörden sein, um zum Erwerb von</w:t>
      </w:r>
      <w:r w:rsidR="00EC415B">
        <w:rPr>
          <w:rFonts w:eastAsia="Calibri" w:cs="Tahoma"/>
          <w:color w:val="000000"/>
          <w:szCs w:val="18"/>
          <w:lang w:val="de-DE"/>
        </w:rPr>
        <w:t> </w:t>
      </w:r>
      <w:r w:rsidRPr="00C83DF5">
        <w:rPr>
          <w:rFonts w:eastAsia="Calibri" w:cs="Tahoma"/>
          <w:color w:val="000000"/>
          <w:szCs w:val="18"/>
          <w:lang w:val="de-DE"/>
        </w:rPr>
        <w:t>Onlinediensten, die als Government Community Cloud bezeichnet werden, berechtigt zu sein.</w:t>
      </w:r>
      <w:r w:rsidR="00E71F46" w:rsidRPr="00C83DF5">
        <w:rPr>
          <w:rFonts w:eastAsia="Calibri" w:cs="Tahoma"/>
          <w:color w:val="000000"/>
          <w:szCs w:val="18"/>
          <w:lang w:val="de-DE"/>
        </w:rPr>
        <w:t xml:space="preserve"> </w:t>
      </w:r>
      <w:r w:rsidRPr="00C83DF5">
        <w:rPr>
          <w:rFonts w:eastAsia="Calibri" w:cs="Tahoma"/>
          <w:color w:val="000000"/>
          <w:szCs w:val="18"/>
          <w:lang w:val="de-DE"/>
        </w:rPr>
        <w:t>Die</w:t>
      </w:r>
      <w:r w:rsidR="00EC415B">
        <w:rPr>
          <w:rFonts w:eastAsia="Calibri" w:cs="Tahoma"/>
          <w:color w:val="000000"/>
          <w:szCs w:val="18"/>
          <w:lang w:val="de-DE"/>
        </w:rPr>
        <w:t> </w:t>
      </w:r>
      <w:r w:rsidRPr="00C83DF5">
        <w:rPr>
          <w:rFonts w:eastAsia="Calibri" w:cs="Tahoma"/>
          <w:color w:val="000000"/>
          <w:szCs w:val="18"/>
          <w:lang w:val="de-DE"/>
        </w:rPr>
        <w:t>Nutzungsrechte für Government Community Cloud-Dienste entsprechen den Nutzungsrechten ihrer</w:t>
      </w:r>
      <w:r w:rsidR="00EC415B">
        <w:rPr>
          <w:rFonts w:eastAsia="Calibri" w:cs="Tahoma"/>
          <w:color w:val="000000"/>
          <w:szCs w:val="18"/>
          <w:lang w:val="de-DE"/>
        </w:rPr>
        <w:t> </w:t>
      </w:r>
      <w:r w:rsidRPr="00C83DF5">
        <w:rPr>
          <w:rFonts w:eastAsia="Calibri" w:cs="Tahoma"/>
          <w:color w:val="000000"/>
          <w:szCs w:val="18"/>
          <w:lang w:val="de-DE"/>
        </w:rPr>
        <w:t>mehrinstanzenfähigen Standardäquivalente.</w:t>
      </w:r>
      <w:r w:rsidR="00E71F46" w:rsidRPr="00C83DF5">
        <w:rPr>
          <w:rFonts w:eastAsia="Calibri" w:cs="Tahoma"/>
          <w:color w:val="000000"/>
          <w:szCs w:val="18"/>
          <w:lang w:val="de-DE"/>
        </w:rPr>
        <w:t xml:space="preserve"> </w:t>
      </w:r>
    </w:p>
    <w:p w:rsidR="00B23BE6" w:rsidRDefault="00B23BE6" w:rsidP="00B31F32">
      <w:pPr>
        <w:ind w:left="720"/>
        <w:rPr>
          <w:lang w:val="de-DE"/>
        </w:rPr>
      </w:pPr>
    </w:p>
    <w:p w:rsidR="002841A7" w:rsidRDefault="002841A7" w:rsidP="00B31F32">
      <w:pPr>
        <w:ind w:left="720"/>
        <w:rPr>
          <w:lang w:val="de-DE"/>
        </w:rPr>
      </w:pPr>
    </w:p>
    <w:p w:rsidR="002841A7" w:rsidRDefault="002841A7" w:rsidP="00B31F32">
      <w:pPr>
        <w:ind w:left="720"/>
        <w:rPr>
          <w:lang w:val="de-DE"/>
        </w:rPr>
      </w:pPr>
    </w:p>
    <w:p w:rsidR="002841A7" w:rsidRDefault="002841A7" w:rsidP="00B31F32">
      <w:pPr>
        <w:ind w:left="720"/>
        <w:rPr>
          <w:lang w:val="de-DE"/>
        </w:rPr>
      </w:pPr>
    </w:p>
    <w:p w:rsidR="002841A7" w:rsidRDefault="002841A7" w:rsidP="00B31F32">
      <w:pPr>
        <w:ind w:left="720"/>
        <w:rPr>
          <w:lang w:val="de-DE"/>
        </w:rPr>
      </w:pPr>
    </w:p>
    <w:p w:rsidR="002841A7" w:rsidRPr="00C83DF5" w:rsidRDefault="002841A7" w:rsidP="00B31F32">
      <w:pPr>
        <w:ind w:left="720"/>
        <w:rPr>
          <w:lang w:val="de-DE"/>
        </w:rPr>
      </w:pPr>
    </w:p>
    <w:p w:rsidR="00D70D2C" w:rsidRPr="00C83DF5" w:rsidRDefault="00D70D2C" w:rsidP="00B31F32">
      <w:pPr>
        <w:ind w:left="720"/>
        <w:rPr>
          <w:lang w:val="de-DE"/>
        </w:rPr>
      </w:pPr>
    </w:p>
    <w:p w:rsidR="00D70D2C" w:rsidRPr="00C83DF5" w:rsidRDefault="00A560B6" w:rsidP="001760D6">
      <w:pPr>
        <w:pStyle w:val="Heading2"/>
        <w:keepNext/>
        <w:ind w:left="0"/>
        <w:rPr>
          <w:lang w:val="de-DE"/>
        </w:rPr>
      </w:pPr>
      <w:bookmarkStart w:id="1252" w:name="_49_Exchange_Online"/>
      <w:bookmarkStart w:id="1253" w:name="_55_Exchange_Online"/>
      <w:bookmarkStart w:id="1254" w:name="Srv_50ExchangeOnlinePlan2"/>
      <w:bookmarkStart w:id="1255" w:name="_Toc370983422"/>
      <w:bookmarkEnd w:id="1252"/>
      <w:bookmarkEnd w:id="1253"/>
      <w:r w:rsidRPr="00C83DF5">
        <w:rPr>
          <w:rFonts w:ascii="Tahoma" w:hAnsi="Tahoma" w:cs="Tahoma"/>
          <w:caps/>
          <w:color w:val="F66400"/>
          <w:sz w:val="22"/>
          <w:szCs w:val="20"/>
          <w:vertAlign w:val="superscript"/>
          <w:lang w:val="de-DE"/>
        </w:rPr>
        <w:lastRenderedPageBreak/>
        <w:t>54</w:t>
      </w:r>
      <w:r w:rsidRPr="00C83DF5">
        <w:rPr>
          <w:rFonts w:ascii="Tahoma" w:hAnsi="Tahoma" w:cs="Tahoma"/>
          <w:color w:val="F66400"/>
          <w:sz w:val="22"/>
          <w:szCs w:val="20"/>
          <w:lang w:val="de-DE"/>
        </w:rPr>
        <w:t xml:space="preserve"> Exchange Online Plan 2</w:t>
      </w:r>
      <w:bookmarkEnd w:id="1255"/>
    </w:p>
    <w:bookmarkEnd w:id="1254"/>
    <w:p w:rsidR="00D70D2C" w:rsidRPr="00C83DF5" w:rsidRDefault="00D70D2C" w:rsidP="001760D6">
      <w:pPr>
        <w:keepNext/>
        <w:outlineLvl w:val="2"/>
        <w:rPr>
          <w:lang w:val="de-DE"/>
        </w:rPr>
      </w:pPr>
    </w:p>
    <w:p w:rsidR="00D70D2C" w:rsidRPr="00C83DF5" w:rsidRDefault="00D70D2C" w:rsidP="001760D6">
      <w:pPr>
        <w:pStyle w:val="ListParagraph"/>
        <w:keepNext/>
        <w:rPr>
          <w:lang w:val="de-DE"/>
        </w:rPr>
      </w:pPr>
      <w:r w:rsidRPr="00C83DF5">
        <w:rPr>
          <w:rFonts w:ascii="Tahoma" w:hAnsi="Tahoma" w:cs="Tahoma"/>
          <w:color w:val="000000"/>
          <w:sz w:val="18"/>
          <w:szCs w:val="18"/>
          <w:lang w:val="de-DE"/>
        </w:rPr>
        <w:t>Exchange Online Plan 2 ist ein Folge-Onlinedienst für Exchange Hosted Archive.</w:t>
      </w:r>
    </w:p>
    <w:p w:rsidR="00D70D2C" w:rsidRPr="00C83DF5" w:rsidRDefault="00D70D2C" w:rsidP="00D70D2C">
      <w:pPr>
        <w:pStyle w:val="ListParagraph"/>
        <w:rPr>
          <w:lang w:val="de-DE"/>
        </w:rPr>
      </w:pPr>
    </w:p>
    <w:p w:rsidR="00D70D2C" w:rsidRPr="00C83DF5" w:rsidRDefault="00D70D2C" w:rsidP="00D70D2C">
      <w:pPr>
        <w:ind w:left="720"/>
        <w:rPr>
          <w:lang w:val="de-DE"/>
        </w:rPr>
      </w:pPr>
      <w:r w:rsidRPr="00C83DF5">
        <w:rPr>
          <w:rFonts w:cs="Tahoma"/>
          <w:color w:val="000000"/>
          <w:szCs w:val="18"/>
          <w:lang w:val="de-DE"/>
        </w:rPr>
        <w:t>Wenn Sie von Exchange Hosted Archive auf Exchange Online Plan 2 verlängern und noch nicht auf Exchange Online Plan 2 migriert haben,</w:t>
      </w:r>
      <w:r w:rsidRPr="00C83DF5">
        <w:rPr>
          <w:color w:val="000000"/>
          <w:lang w:val="de-DE"/>
        </w:rPr>
        <w:t xml:space="preserve">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p>
    <w:p w:rsidR="00702931" w:rsidRPr="00C83DF5" w:rsidRDefault="00702931" w:rsidP="00D70D2C">
      <w:pPr>
        <w:ind w:left="720"/>
        <w:rPr>
          <w:lang w:val="de-DE"/>
        </w:rPr>
      </w:pPr>
    </w:p>
    <w:p w:rsidR="00702931" w:rsidRPr="00C83DF5" w:rsidRDefault="00702931" w:rsidP="0067725A">
      <w:pPr>
        <w:spacing w:after="60"/>
        <w:ind w:left="720"/>
      </w:pPr>
      <w:r w:rsidRPr="00C83DF5">
        <w:rPr>
          <w:rFonts w:eastAsia="Calibri" w:cs="Tahoma"/>
          <w:b/>
          <w:color w:val="000000"/>
          <w:szCs w:val="18"/>
        </w:rPr>
        <w:t>Government Community Cloud (nur USA)</w:t>
      </w:r>
    </w:p>
    <w:p w:rsidR="00702931" w:rsidRPr="00C83DF5" w:rsidRDefault="00702931" w:rsidP="002841A7">
      <w:pPr>
        <w:ind w:left="720"/>
        <w:rPr>
          <w:lang w:val="de-DE"/>
        </w:rPr>
      </w:pPr>
      <w:r w:rsidRPr="00C83DF5">
        <w:rPr>
          <w:rFonts w:eastAsia="Calibri" w:cs="Tahoma"/>
          <w:color w:val="000000"/>
          <w:szCs w:val="18"/>
        </w:rPr>
        <w:t>Einige Onlinedienste in der Office 365-Produktfamilie (darunter Exchange Online Plan 2) werden als Government Community Cloud-Dienste und Non-Government Community Cloud-Dienste angeboten.</w:t>
      </w:r>
      <w:r w:rsidR="00E71F46" w:rsidRPr="00C83DF5">
        <w:rPr>
          <w:rFonts w:eastAsia="Calibri" w:cs="Tahoma"/>
          <w:color w:val="000000"/>
          <w:szCs w:val="18"/>
        </w:rPr>
        <w:t xml:space="preserve"> </w:t>
      </w:r>
      <w:r w:rsidRPr="00C83DF5">
        <w:rPr>
          <w:rFonts w:eastAsia="Calibri" w:cs="Tahoma"/>
          <w:color w:val="000000"/>
          <w:szCs w:val="18"/>
          <w:lang w:val="de-DE"/>
        </w:rPr>
        <w:t>Die</w:t>
      </w:r>
      <w:r w:rsidR="002841A7">
        <w:rPr>
          <w:rFonts w:eastAsia="Calibri" w:cs="Tahoma"/>
          <w:color w:val="000000"/>
          <w:szCs w:val="18"/>
          <w:lang w:val="de-DE"/>
        </w:rPr>
        <w:t> </w:t>
      </w:r>
      <w:r w:rsidRPr="00C83DF5">
        <w:rPr>
          <w:rFonts w:eastAsia="Calibri" w:cs="Tahoma"/>
          <w:color w:val="000000"/>
          <w:szCs w:val="18"/>
          <w:lang w:val="de-DE"/>
        </w:rPr>
        <w:t>Bereitstellung an Kunden kann in der einen oder anderen Form erfolgen, jedoch nicht als Kombination aus beidem.</w:t>
      </w:r>
      <w:r w:rsidR="00E71F46" w:rsidRPr="00C83DF5">
        <w:rPr>
          <w:rFonts w:eastAsia="Calibri" w:cs="Tahoma"/>
          <w:color w:val="000000"/>
          <w:szCs w:val="18"/>
          <w:lang w:val="de-DE"/>
        </w:rPr>
        <w:t xml:space="preserve"> </w:t>
      </w:r>
      <w:r w:rsidRPr="00C83DF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71F46" w:rsidRPr="00C83DF5">
        <w:rPr>
          <w:rFonts w:eastAsia="Calibri" w:cs="Tahoma"/>
          <w:color w:val="000000"/>
          <w:szCs w:val="18"/>
          <w:lang w:val="de-DE"/>
        </w:rPr>
        <w:t xml:space="preserve"> </w:t>
      </w:r>
      <w:r w:rsidRPr="00C83DF5">
        <w:rPr>
          <w:rFonts w:eastAsia="Calibri" w:cs="Tahoma"/>
          <w:color w:val="000000"/>
          <w:szCs w:val="18"/>
          <w:lang w:val="de-DE"/>
        </w:rPr>
        <w:t>Diese</w:t>
      </w:r>
      <w:r w:rsidR="002841A7">
        <w:rPr>
          <w:rFonts w:eastAsia="Calibri" w:cs="Tahoma"/>
          <w:color w:val="000000"/>
          <w:szCs w:val="18"/>
          <w:lang w:val="de-DE"/>
        </w:rPr>
        <w:t> </w:t>
      </w:r>
      <w:r w:rsidRPr="00C83DF5">
        <w:rPr>
          <w:rFonts w:eastAsia="Calibri" w:cs="Tahoma"/>
          <w:color w:val="000000"/>
          <w:szCs w:val="18"/>
          <w:lang w:val="de-DE"/>
        </w:rPr>
        <w:t>Beschränkung gilt für alle Onlinedienste, die zur Office 365-Produktfamilie gehören, darunter Exchange Online, SharePoint Online und Lync Online.</w:t>
      </w:r>
      <w:r w:rsidR="00E71F46" w:rsidRPr="00C83DF5">
        <w:rPr>
          <w:rFonts w:eastAsia="Calibri" w:cs="Tahoma"/>
          <w:color w:val="000000"/>
          <w:szCs w:val="18"/>
          <w:lang w:val="de-DE"/>
        </w:rPr>
        <w:t xml:space="preserve"> </w:t>
      </w:r>
    </w:p>
    <w:p w:rsidR="00702931" w:rsidRPr="00C83DF5" w:rsidRDefault="00702931" w:rsidP="00702931">
      <w:pPr>
        <w:ind w:left="720"/>
        <w:rPr>
          <w:lang w:val="de-DE"/>
        </w:rPr>
      </w:pPr>
    </w:p>
    <w:p w:rsidR="00B2460D" w:rsidRPr="00C83DF5" w:rsidRDefault="00702931" w:rsidP="009F5960">
      <w:pPr>
        <w:ind w:left="720"/>
        <w:rPr>
          <w:lang w:val="de-DE"/>
        </w:rPr>
      </w:pPr>
      <w:r w:rsidRPr="00C83DF5">
        <w:rPr>
          <w:rFonts w:eastAsia="Calibri" w:cs="Tahoma"/>
          <w:color w:val="000000"/>
          <w:szCs w:val="18"/>
          <w:lang w:val="de-DE"/>
        </w:rPr>
        <w:t>Wenn ein Onlinedienst in der Government Community Cloud bereitgestellt wird, bleibt er für die Dauer der</w:t>
      </w:r>
      <w:r w:rsidR="009F5960">
        <w:rPr>
          <w:rFonts w:eastAsia="Calibri" w:cs="Tahoma"/>
          <w:color w:val="000000"/>
          <w:szCs w:val="18"/>
          <w:lang w:val="de-DE"/>
        </w:rPr>
        <w:t> </w:t>
      </w:r>
      <w:r w:rsidRPr="00C83DF5">
        <w:rPr>
          <w:rFonts w:eastAsia="Calibri" w:cs="Tahoma"/>
          <w:color w:val="000000"/>
          <w:szCs w:val="18"/>
          <w:lang w:val="de-DE"/>
        </w:rPr>
        <w:t>Abonnementlaufzeit dort.</w:t>
      </w:r>
      <w:r w:rsidR="00E71F46" w:rsidRPr="00C83DF5">
        <w:rPr>
          <w:rFonts w:eastAsia="Calibri" w:cs="Tahoma"/>
          <w:color w:val="000000"/>
          <w:szCs w:val="18"/>
          <w:lang w:val="de-DE"/>
        </w:rPr>
        <w:t xml:space="preserve"> </w:t>
      </w:r>
      <w:r w:rsidRPr="00C83DF5">
        <w:rPr>
          <w:rFonts w:eastAsia="Calibri" w:cs="Tahoma"/>
          <w:color w:val="000000"/>
          <w:szCs w:val="18"/>
          <w:lang w:val="de-DE"/>
        </w:rPr>
        <w:t>Kunden, bei denen es sich um US-amerikanische Verwaltungseinrichtungen auf nationaler, einzelstaatlicher, kommunaler oder Stammesebene handelt, müssen Vertragspartei eines</w:t>
      </w:r>
      <w:r w:rsidR="009F5960">
        <w:rPr>
          <w:rFonts w:eastAsia="Calibri" w:cs="Tahoma"/>
          <w:color w:val="000000"/>
          <w:szCs w:val="18"/>
          <w:lang w:val="de-DE"/>
        </w:rPr>
        <w:t> </w:t>
      </w:r>
      <w:r w:rsidRPr="00C83DF5">
        <w:rPr>
          <w:rFonts w:eastAsia="Calibri" w:cs="Tahoma"/>
          <w:color w:val="000000"/>
          <w:szCs w:val="18"/>
          <w:lang w:val="de-DE"/>
        </w:rPr>
        <w:t>Konzernbeitritts oder Konzern-Abonnement-Beitritts für US-Behörden sein, um zum Erwerb von</w:t>
      </w:r>
      <w:r w:rsidR="009F5960">
        <w:rPr>
          <w:rFonts w:eastAsia="Calibri" w:cs="Tahoma"/>
          <w:color w:val="000000"/>
          <w:szCs w:val="18"/>
          <w:lang w:val="de-DE"/>
        </w:rPr>
        <w:t> </w:t>
      </w:r>
      <w:r w:rsidRPr="00C83DF5">
        <w:rPr>
          <w:rFonts w:eastAsia="Calibri" w:cs="Tahoma"/>
          <w:color w:val="000000"/>
          <w:szCs w:val="18"/>
          <w:lang w:val="de-DE"/>
        </w:rPr>
        <w:t>Onlinediensten, die als Government Community Cloud bezeichnet werden, berechtigt zu sein.</w:t>
      </w:r>
      <w:r w:rsidR="00E71F46" w:rsidRPr="00C83DF5">
        <w:rPr>
          <w:rFonts w:eastAsia="Calibri" w:cs="Tahoma"/>
          <w:color w:val="000000"/>
          <w:szCs w:val="18"/>
          <w:lang w:val="de-DE"/>
        </w:rPr>
        <w:t xml:space="preserve"> </w:t>
      </w:r>
      <w:r w:rsidRPr="00C83DF5">
        <w:rPr>
          <w:rFonts w:eastAsia="Calibri" w:cs="Tahoma"/>
          <w:color w:val="000000"/>
          <w:szCs w:val="18"/>
          <w:lang w:val="de-DE"/>
        </w:rPr>
        <w:t>Die</w:t>
      </w:r>
      <w:r w:rsidR="009F5960">
        <w:rPr>
          <w:rFonts w:eastAsia="Calibri" w:cs="Tahoma"/>
          <w:color w:val="000000"/>
          <w:szCs w:val="18"/>
          <w:lang w:val="de-DE"/>
        </w:rPr>
        <w:t> </w:t>
      </w:r>
      <w:r w:rsidRPr="00C83DF5">
        <w:rPr>
          <w:rFonts w:eastAsia="Calibri" w:cs="Tahoma"/>
          <w:color w:val="000000"/>
          <w:szCs w:val="18"/>
          <w:lang w:val="de-DE"/>
        </w:rPr>
        <w:t>Nutzungsrechte für Government Community Cloud-Dienste entsprechen den Nutzungsrechten ihrer</w:t>
      </w:r>
      <w:r w:rsidR="009F5960">
        <w:rPr>
          <w:rFonts w:eastAsia="Calibri" w:cs="Tahoma"/>
          <w:color w:val="000000"/>
          <w:szCs w:val="18"/>
          <w:lang w:val="de-DE"/>
        </w:rPr>
        <w:t> </w:t>
      </w:r>
      <w:r w:rsidRPr="00C83DF5">
        <w:rPr>
          <w:rFonts w:eastAsia="Calibri" w:cs="Tahoma"/>
          <w:color w:val="000000"/>
          <w:szCs w:val="18"/>
          <w:lang w:val="de-DE"/>
        </w:rPr>
        <w:t>mehrinstanzenfähigen Standardäquivalente.</w:t>
      </w:r>
      <w:r w:rsidR="00E71F46" w:rsidRPr="00C83DF5">
        <w:rPr>
          <w:rFonts w:eastAsia="Calibri" w:cs="Tahoma"/>
          <w:color w:val="000000"/>
          <w:szCs w:val="18"/>
          <w:lang w:val="de-DE"/>
        </w:rPr>
        <w:t xml:space="preserve"> </w:t>
      </w:r>
      <w:bookmarkStart w:id="1256" w:name="_51_Exchange_Server"/>
      <w:bookmarkEnd w:id="1243"/>
      <w:bookmarkEnd w:id="1249"/>
      <w:bookmarkEnd w:id="1250"/>
      <w:bookmarkEnd w:id="1256"/>
    </w:p>
    <w:p w:rsidR="00023FE7" w:rsidRPr="00C83DF5" w:rsidRDefault="00023FE7" w:rsidP="00C066F9">
      <w:pPr>
        <w:pStyle w:val="EndnoteText"/>
        <w:ind w:left="1620" w:hanging="900"/>
        <w:rPr>
          <w:lang w:val="de-DE"/>
        </w:rPr>
      </w:pPr>
      <w:bookmarkStart w:id="1257" w:name="Srv_43ExchangeSvr2010"/>
    </w:p>
    <w:p w:rsidR="00C066F9" w:rsidRPr="00C83DF5" w:rsidRDefault="00C066F9" w:rsidP="00C066F9">
      <w:pPr>
        <w:pStyle w:val="EndnoteText"/>
        <w:ind w:left="1620" w:hanging="900"/>
        <w:rPr>
          <w:lang w:val="de-DE"/>
        </w:rPr>
      </w:pPr>
    </w:p>
    <w:p w:rsidR="00453CAC" w:rsidRPr="00C83DF5" w:rsidRDefault="00A560B6" w:rsidP="009D3013">
      <w:pPr>
        <w:pStyle w:val="Heading2"/>
        <w:ind w:left="0"/>
        <w:rPr>
          <w:lang w:val="de-DE"/>
        </w:rPr>
      </w:pPr>
      <w:bookmarkStart w:id="1258" w:name="_49_Exchange_Server"/>
      <w:bookmarkStart w:id="1259" w:name="_51_50_Exchange"/>
      <w:bookmarkStart w:id="1260" w:name="_56_Exchange_Online"/>
      <w:bookmarkStart w:id="1261" w:name="_Toc336338311"/>
      <w:bookmarkStart w:id="1262" w:name="Srv_50ExchangeServer2010StdCAL"/>
      <w:bookmarkStart w:id="1263" w:name="_Toc370983423"/>
      <w:bookmarkEnd w:id="1257"/>
      <w:bookmarkEnd w:id="1258"/>
      <w:bookmarkEnd w:id="1259"/>
      <w:bookmarkEnd w:id="1260"/>
      <w:r w:rsidRPr="00C83DF5">
        <w:rPr>
          <w:rFonts w:ascii="Tahoma" w:hAnsi="Tahoma" w:cs="Tahoma"/>
          <w:caps/>
          <w:color w:val="FA6500"/>
          <w:sz w:val="22"/>
          <w:vertAlign w:val="superscript"/>
          <w:lang w:val="de-DE"/>
        </w:rPr>
        <w:t>55</w:t>
      </w:r>
      <w:r w:rsidRPr="00384F13">
        <w:rPr>
          <w:rFonts w:ascii="Tahoma" w:hAnsi="Tahoma" w:cs="Tahoma"/>
          <w:caps/>
          <w:color w:val="FA6500"/>
          <w:sz w:val="22"/>
          <w:lang w:val="de-DE"/>
        </w:rPr>
        <w:t xml:space="preserve"> </w:t>
      </w:r>
      <w:r w:rsidRPr="00C83DF5">
        <w:rPr>
          <w:rFonts w:ascii="Tahoma" w:hAnsi="Tahoma" w:cs="Tahoma"/>
          <w:color w:val="F66400"/>
          <w:sz w:val="22"/>
          <w:szCs w:val="20"/>
          <w:lang w:val="de-DE"/>
        </w:rPr>
        <w:t>Exchange Online Protection (Nutzer-AL)</w:t>
      </w:r>
      <w:bookmarkEnd w:id="1263"/>
    </w:p>
    <w:p w:rsidR="00453CAC" w:rsidRPr="00C83DF5" w:rsidRDefault="00453CAC" w:rsidP="00453CAC">
      <w:pPr>
        <w:ind w:left="720"/>
        <w:rPr>
          <w:lang w:val="de-DE"/>
        </w:rPr>
      </w:pPr>
    </w:p>
    <w:p w:rsidR="007D4770" w:rsidRPr="00384F13" w:rsidRDefault="007D4770" w:rsidP="00453CAC">
      <w:pPr>
        <w:ind w:left="720"/>
        <w:rPr>
          <w:lang w:val="de-DE"/>
        </w:rPr>
      </w:pPr>
      <w:r w:rsidRPr="00384F13">
        <w:rPr>
          <w:rFonts w:cs="Tahoma"/>
          <w:szCs w:val="18"/>
          <w:lang w:val="de-DE"/>
        </w:rPr>
        <w:t>Da dieser Onlinedienst nach Domäne bereitgestellt wird, benötigen alle Nutzer in einer Domäne Nutzer-ALs.</w:t>
      </w:r>
      <w:r w:rsidR="00E71F46" w:rsidRPr="00384F13">
        <w:rPr>
          <w:rFonts w:cs="Tahoma"/>
          <w:szCs w:val="18"/>
          <w:lang w:val="de-DE"/>
        </w:rPr>
        <w:t xml:space="preserve"> </w:t>
      </w:r>
      <w:r w:rsidRPr="00384F13">
        <w:rPr>
          <w:rFonts w:cs="Tahoma"/>
          <w:szCs w:val="18"/>
          <w:lang w:val="de-DE"/>
        </w:rPr>
        <w:t>Kunden, die den Dienst für eine Untergruppe ihrer Nutzerbasis anbieten möchten, können für eine gezieltere Bereitstellung Unterdomänen erstellen.</w:t>
      </w:r>
      <w:r w:rsidR="00E71F46" w:rsidRPr="00384F13">
        <w:rPr>
          <w:rFonts w:cs="Tahoma"/>
          <w:szCs w:val="18"/>
          <w:lang w:val="de-DE"/>
        </w:rPr>
        <w:t xml:space="preserve"> </w:t>
      </w:r>
      <w:r w:rsidRPr="00384F13">
        <w:rPr>
          <w:rFonts w:cs="Tahoma"/>
          <w:szCs w:val="18"/>
          <w:lang w:val="de-DE"/>
        </w:rPr>
        <w:t>Nur die Nutzer innerhalb dieser Unterdomäne benötigen Nutzer-ALs.</w:t>
      </w:r>
    </w:p>
    <w:p w:rsidR="005D484B" w:rsidRPr="00C83DF5" w:rsidRDefault="005D484B" w:rsidP="00453CAC">
      <w:pPr>
        <w:ind w:left="720"/>
        <w:rPr>
          <w:lang w:val="de-DE"/>
        </w:rPr>
      </w:pPr>
    </w:p>
    <w:p w:rsidR="005D484B" w:rsidRPr="00C83DF5" w:rsidRDefault="005D484B" w:rsidP="005D484B">
      <w:pPr>
        <w:ind w:left="720"/>
        <w:rPr>
          <w:lang w:val="de-DE"/>
        </w:rPr>
      </w:pPr>
      <w:r w:rsidRPr="00C83DF5">
        <w:rPr>
          <w:rFonts w:cs="Tahoma"/>
          <w:szCs w:val="18"/>
          <w:lang w:val="de-DE"/>
        </w:rPr>
        <w:t>Akademische Einrichtungen mit Beitritt für Bildungslösungen oder Open Value-Abonnement-Vertrag für Bildungslösungen, die für Enterprise CAL Suite oder Exchange Enterprise CAL mit Diensten lizenziert sind und aktive Software Assurance haben, sind vollständig für Exchange Online Protection lizenziert, unabhängig von der Anzahl der Lizenzen für Enterprise CAL Suite oder Exchange Enterprise CAL mit Diensten.</w:t>
      </w:r>
      <w:r w:rsidR="00E71F46" w:rsidRPr="00C83DF5">
        <w:rPr>
          <w:rFonts w:cs="Tahoma"/>
          <w:szCs w:val="18"/>
          <w:lang w:val="de-DE"/>
        </w:rPr>
        <w:t xml:space="preserve"> </w:t>
      </w:r>
      <w:r w:rsidRPr="00C83DF5">
        <w:rPr>
          <w:rFonts w:cs="Tahoma"/>
          <w:szCs w:val="18"/>
          <w:lang w:val="de-DE"/>
        </w:rPr>
        <w:t>Anweisungen zur Bereitstellung finden Sie in den Produkthinweisen für Enterprise CAL Suite bzw. Exchange Enterprise CAL mit Diensten.</w:t>
      </w:r>
    </w:p>
    <w:p w:rsidR="00453CAC" w:rsidRPr="007025E3" w:rsidRDefault="00453CAC" w:rsidP="00384F13">
      <w:pPr>
        <w:ind w:left="720"/>
        <w:rPr>
          <w:rFonts w:eastAsia="Calibri" w:cs="Tahoma"/>
          <w:color w:val="000000"/>
          <w:szCs w:val="18"/>
          <w:lang w:val="de-DE"/>
        </w:rPr>
      </w:pPr>
    </w:p>
    <w:p w:rsidR="0004051B" w:rsidRPr="007025E3" w:rsidRDefault="0004051B" w:rsidP="00384F13">
      <w:pPr>
        <w:ind w:left="720"/>
        <w:rPr>
          <w:rFonts w:eastAsia="Calibri" w:cs="Tahoma"/>
          <w:color w:val="000000"/>
          <w:szCs w:val="18"/>
          <w:lang w:val="de-DE"/>
        </w:rPr>
      </w:pPr>
    </w:p>
    <w:p w:rsidR="009D3013" w:rsidRPr="00C83DF5" w:rsidRDefault="00A560B6" w:rsidP="009D3013">
      <w:pPr>
        <w:pStyle w:val="Heading2"/>
        <w:ind w:left="0"/>
        <w:rPr>
          <w:lang w:val="de-DE"/>
        </w:rPr>
      </w:pPr>
      <w:bookmarkStart w:id="1264" w:name="_52_51_Exchange"/>
      <w:bookmarkStart w:id="1265" w:name="_57_Exchange_Server"/>
      <w:bookmarkStart w:id="1266" w:name="_56_Exchange_Server"/>
      <w:bookmarkStart w:id="1267" w:name="_Toc370983424"/>
      <w:bookmarkEnd w:id="1264"/>
      <w:bookmarkEnd w:id="1265"/>
      <w:bookmarkEnd w:id="1266"/>
      <w:r w:rsidRPr="00C83DF5">
        <w:rPr>
          <w:rFonts w:ascii="Tahoma" w:hAnsi="Tahoma" w:cs="Tahoma"/>
          <w:caps/>
          <w:color w:val="FA6500"/>
          <w:sz w:val="22"/>
          <w:vertAlign w:val="superscript"/>
          <w:lang w:val="de-DE"/>
        </w:rPr>
        <w:t>56</w:t>
      </w:r>
      <w:r w:rsidRPr="00384F13">
        <w:rPr>
          <w:rFonts w:ascii="Tahoma" w:hAnsi="Tahoma" w:cs="Tahoma"/>
          <w:caps/>
          <w:color w:val="FA6500"/>
          <w:sz w:val="22"/>
          <w:lang w:val="de-DE"/>
        </w:rPr>
        <w:t xml:space="preserve"> </w:t>
      </w:r>
      <w:r w:rsidRPr="00C83DF5">
        <w:rPr>
          <w:rFonts w:ascii="Tahoma" w:hAnsi="Tahoma" w:cs="Tahoma"/>
          <w:color w:val="FA6500"/>
          <w:sz w:val="22"/>
          <w:lang w:val="de-DE"/>
        </w:rPr>
        <w:t xml:space="preserve">Exchange Server 2013 Enterprise und </w:t>
      </w:r>
      <w:bookmarkEnd w:id="1261"/>
      <w:r w:rsidRPr="00C83DF5">
        <w:rPr>
          <w:rFonts w:ascii="Tahoma" w:hAnsi="Tahoma" w:cs="Tahoma"/>
          <w:color w:val="FA6500"/>
          <w:sz w:val="22"/>
          <w:lang w:val="de-DE"/>
        </w:rPr>
        <w:t>Standard Edition</w:t>
      </w:r>
      <w:bookmarkEnd w:id="1267"/>
    </w:p>
    <w:p w:rsidR="009D3013" w:rsidRPr="00C83DF5" w:rsidRDefault="009D3013" w:rsidP="009D3013">
      <w:pPr>
        <w:ind w:left="720"/>
        <w:rPr>
          <w:lang w:val="de-DE"/>
        </w:rPr>
      </w:pPr>
    </w:p>
    <w:p w:rsidR="009D3013" w:rsidRPr="00C83DF5" w:rsidRDefault="009D3013" w:rsidP="009D3013">
      <w:pPr>
        <w:ind w:left="720"/>
        <w:rPr>
          <w:lang w:val="de-DE"/>
        </w:rPr>
      </w:pPr>
      <w:r w:rsidRPr="00C83DF5">
        <w:rPr>
          <w:rFonts w:cs="Tahoma"/>
          <w:color w:val="000000"/>
          <w:szCs w:val="18"/>
          <w:lang w:val="de-DE"/>
        </w:rPr>
        <w:t>Exchange Server 2013 ist die neueste Version von Exchange Server.</w:t>
      </w:r>
    </w:p>
    <w:p w:rsidR="009D3013" w:rsidRPr="00C83DF5" w:rsidRDefault="009D3013" w:rsidP="0067725A">
      <w:pPr>
        <w:rPr>
          <w:lang w:val="de-DE"/>
        </w:rPr>
      </w:pPr>
    </w:p>
    <w:p w:rsidR="009D3013" w:rsidRPr="00C83DF5" w:rsidRDefault="009D3013" w:rsidP="0067725A">
      <w:pPr>
        <w:spacing w:after="60"/>
        <w:ind w:left="720"/>
        <w:rPr>
          <w:lang w:val="de-DE"/>
        </w:rPr>
      </w:pPr>
      <w:r w:rsidRPr="00C83DF5">
        <w:rPr>
          <w:rFonts w:cs="Tahoma"/>
          <w:b/>
          <w:color w:val="000000"/>
          <w:szCs w:val="18"/>
          <w:lang w:val="de-DE"/>
        </w:rPr>
        <w:t>Lizenzgewährung für Kunden mit Externer Connector für Exchange Server 2010</w:t>
      </w:r>
    </w:p>
    <w:p w:rsidR="009D3013" w:rsidRPr="00C83DF5" w:rsidRDefault="009D3013" w:rsidP="0067725A">
      <w:pPr>
        <w:ind w:left="720"/>
      </w:pPr>
      <w:r w:rsidRPr="00C83DF5">
        <w:rPr>
          <w:rFonts w:cs="Tahoma"/>
          <w:color w:val="000000"/>
          <w:szCs w:val="18"/>
          <w:lang w:val="de-DE"/>
        </w:rPr>
        <w:t xml:space="preserve">Die 2010-Version der </w:t>
      </w:r>
      <w:bookmarkStart w:id="1268" w:name="Srv_42ExchangeSvr07"/>
      <w:bookmarkStart w:id="1269" w:name="Srv_48ExchangeSvr2010"/>
      <w:r w:rsidRPr="00C83DF5">
        <w:rPr>
          <w:rFonts w:cs="Tahoma"/>
          <w:color w:val="000000"/>
          <w:szCs w:val="18"/>
          <w:lang w:val="de-DE"/>
        </w:rPr>
        <w:t>External Connector</w:t>
      </w:r>
      <w:bookmarkEnd w:id="1268"/>
      <w:bookmarkEnd w:id="1269"/>
      <w:r w:rsidRPr="00C83DF5">
        <w:rPr>
          <w:rFonts w:cs="Tahoma"/>
          <w:color w:val="000000"/>
          <w:szCs w:val="18"/>
          <w:lang w:val="de-DE"/>
        </w:rPr>
        <w:t>-Lizenz für Exchange Server 2010 ist die letzte Version dieser Lizenz.</w:t>
      </w:r>
      <w:r w:rsidR="00E71F46" w:rsidRPr="00C83DF5">
        <w:rPr>
          <w:rFonts w:cs="Tahoma"/>
          <w:color w:val="000000"/>
          <w:szCs w:val="18"/>
          <w:lang w:val="de-DE"/>
        </w:rPr>
        <w:t xml:space="preserve"> </w:t>
      </w:r>
      <w:r w:rsidRPr="00C83DF5">
        <w:rPr>
          <w:rFonts w:cs="Tahoma"/>
          <w:color w:val="000000"/>
          <w:szCs w:val="18"/>
          <w:lang w:val="de-DE"/>
        </w:rPr>
        <w:t xml:space="preserve">In Anbetracht dessen haben Kunden mit Externen Connector-Lizenzen für Exchange Server 2010 mit aktiver Software Assurance zum 1. </w:t>
      </w:r>
      <w:r w:rsidRPr="00C83DF5">
        <w:rPr>
          <w:rFonts w:cs="Tahoma"/>
          <w:color w:val="000000"/>
          <w:szCs w:val="18"/>
        </w:rPr>
        <w:t>Oktober 2012 Anspruch auf die folgende Lizenzgewährung.</w:t>
      </w:r>
    </w:p>
    <w:p w:rsidR="009D3013" w:rsidRPr="00C83DF5"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C83DF5" w:rsidTr="002C3AB1">
        <w:trPr>
          <w:trHeight w:val="332"/>
        </w:trPr>
        <w:tc>
          <w:tcPr>
            <w:tcW w:w="4500" w:type="dxa"/>
            <w:shd w:val="clear" w:color="auto" w:fill="FABF8F"/>
          </w:tcPr>
          <w:p w:rsidR="009D3013" w:rsidRPr="00C83DF5" w:rsidRDefault="009D3013" w:rsidP="002C3AB1">
            <w:pPr>
              <w:rPr>
                <w:rFonts w:cs="Tahoma"/>
                <w:b/>
                <w:color w:val="000000"/>
                <w:szCs w:val="18"/>
              </w:rPr>
            </w:pPr>
            <w:r w:rsidRPr="00C83DF5">
              <w:rPr>
                <w:rFonts w:cs="Tahoma"/>
                <w:b/>
                <w:color w:val="000000"/>
                <w:szCs w:val="18"/>
              </w:rPr>
              <w:t>Kriterien für qualifizierende Lizenzen</w:t>
            </w:r>
          </w:p>
        </w:tc>
        <w:tc>
          <w:tcPr>
            <w:tcW w:w="3600" w:type="dxa"/>
            <w:shd w:val="clear" w:color="auto" w:fill="FABF8F"/>
          </w:tcPr>
          <w:p w:rsidR="009D3013" w:rsidRPr="00C83DF5" w:rsidRDefault="009D3013" w:rsidP="002C3AB1">
            <w:pPr>
              <w:rPr>
                <w:rFonts w:cs="Tahoma"/>
                <w:b/>
                <w:color w:val="000000"/>
                <w:szCs w:val="18"/>
              </w:rPr>
            </w:pPr>
            <w:r w:rsidRPr="00C83DF5">
              <w:rPr>
                <w:rFonts w:cs="Tahoma"/>
                <w:b/>
                <w:color w:val="000000"/>
                <w:szCs w:val="18"/>
              </w:rPr>
              <w:t>Zusätzliche Lizenzen und Vergünstigungen</w:t>
            </w:r>
          </w:p>
        </w:tc>
      </w:tr>
      <w:tr w:rsidR="009D3013" w:rsidRPr="004D388E" w:rsidTr="002C3AB1">
        <w:trPr>
          <w:trHeight w:val="70"/>
        </w:trPr>
        <w:tc>
          <w:tcPr>
            <w:tcW w:w="4500" w:type="dxa"/>
            <w:shd w:val="clear" w:color="auto" w:fill="auto"/>
          </w:tcPr>
          <w:p w:rsidR="009D3013" w:rsidRPr="00C83DF5" w:rsidRDefault="009D3013" w:rsidP="003678D7">
            <w:pPr>
              <w:rPr>
                <w:rFonts w:cs="Tahoma"/>
                <w:color w:val="000000"/>
                <w:szCs w:val="18"/>
              </w:rPr>
            </w:pPr>
            <w:r w:rsidRPr="00C83DF5">
              <w:rPr>
                <w:rFonts w:cs="Tahoma"/>
                <w:color w:val="000000"/>
                <w:szCs w:val="18"/>
                <w:lang w:val="de-DE"/>
              </w:rPr>
              <w:t xml:space="preserve">Externer Connector für Exchange Server 2010 mit aktiver Software Assurance zum 1. </w:t>
            </w:r>
            <w:r w:rsidRPr="00C83DF5">
              <w:rPr>
                <w:rFonts w:cs="Tahoma"/>
                <w:color w:val="000000"/>
                <w:szCs w:val="18"/>
              </w:rPr>
              <w:t>Oktober 2012</w:t>
            </w:r>
          </w:p>
        </w:tc>
        <w:tc>
          <w:tcPr>
            <w:tcW w:w="3600" w:type="dxa"/>
            <w:shd w:val="clear" w:color="auto" w:fill="auto"/>
          </w:tcPr>
          <w:p w:rsidR="009D3013" w:rsidRPr="00C83DF5" w:rsidRDefault="009D3013" w:rsidP="002C3AB1">
            <w:pPr>
              <w:rPr>
                <w:rFonts w:cs="Tahoma"/>
                <w:color w:val="000000"/>
                <w:szCs w:val="18"/>
                <w:lang w:val="de-DE"/>
              </w:rPr>
            </w:pPr>
            <w:r w:rsidRPr="00C83DF5">
              <w:rPr>
                <w:rFonts w:cs="Tahoma"/>
                <w:color w:val="000000"/>
                <w:szCs w:val="18"/>
                <w:lang w:val="de-DE"/>
              </w:rPr>
              <w:t>Lizenz für Exchange Server 2013 Enterprise</w:t>
            </w:r>
          </w:p>
        </w:tc>
      </w:tr>
    </w:tbl>
    <w:p w:rsidR="009D3013" w:rsidRDefault="009D3013" w:rsidP="0067725A">
      <w:pPr>
        <w:rPr>
          <w:lang w:val="de-DE"/>
        </w:rPr>
      </w:pPr>
    </w:p>
    <w:p w:rsidR="00384F13" w:rsidRPr="00C83DF5" w:rsidRDefault="00384F13" w:rsidP="0067725A">
      <w:pPr>
        <w:rPr>
          <w:lang w:val="de-DE"/>
        </w:rPr>
      </w:pPr>
    </w:p>
    <w:p w:rsidR="009D3013" w:rsidRPr="00C83DF5" w:rsidRDefault="009D3013" w:rsidP="009D3013">
      <w:pPr>
        <w:ind w:left="720"/>
        <w:rPr>
          <w:lang w:val="de-DE"/>
        </w:rPr>
      </w:pPr>
      <w:r w:rsidRPr="00C83DF5">
        <w:rPr>
          <w:rFonts w:cs="Tahoma"/>
          <w:color w:val="000000"/>
          <w:szCs w:val="18"/>
          <w:lang w:val="de-DE"/>
        </w:rPr>
        <w:lastRenderedPageBreak/>
        <w:t>Die folgenden Bestimmungen gelten für die Lizenzgewährung oben:</w:t>
      </w:r>
    </w:p>
    <w:p w:rsidR="009D3013" w:rsidRPr="00CF0F2D" w:rsidRDefault="009D3013" w:rsidP="009D3013">
      <w:pPr>
        <w:ind w:left="720"/>
        <w:rPr>
          <w:sz w:val="14"/>
          <w:szCs w:val="14"/>
          <w:lang w:val="de-DE"/>
        </w:rPr>
      </w:pPr>
    </w:p>
    <w:p w:rsidR="009D3013" w:rsidRPr="00C83DF5" w:rsidRDefault="009D3013" w:rsidP="00384F13">
      <w:pPr>
        <w:numPr>
          <w:ilvl w:val="0"/>
          <w:numId w:val="101"/>
        </w:numPr>
        <w:spacing w:after="60"/>
        <w:ind w:left="1440"/>
        <w:rPr>
          <w:lang w:val="de-DE"/>
        </w:rPr>
      </w:pPr>
      <w:r w:rsidRPr="00C83DF5">
        <w:rPr>
          <w:rFonts w:cs="Tahoma"/>
          <w:bCs/>
          <w:color w:val="000000"/>
          <w:szCs w:val="18"/>
          <w:lang w:val="de-DE"/>
        </w:rPr>
        <w:t>Migrationspfad</w:t>
      </w:r>
      <w:r w:rsidRPr="00C83DF5">
        <w:rPr>
          <w:rFonts w:cs="Tahoma"/>
          <w:color w:val="000000"/>
          <w:szCs w:val="18"/>
          <w:lang w:val="de-DE"/>
        </w:rPr>
        <w:t>: Kunden mit aktiver Software Assurance für eine bestimmte Qualifizierende Lizenz</w:t>
      </w:r>
      <w:r w:rsidR="00384F13">
        <w:rPr>
          <w:rFonts w:cs="Tahoma"/>
          <w:color w:val="000000"/>
          <w:szCs w:val="18"/>
          <w:lang w:val="de-DE"/>
        </w:rPr>
        <w:t> </w:t>
      </w:r>
      <w:r w:rsidRPr="00C83DF5">
        <w:rPr>
          <w:rFonts w:cs="Tahoma"/>
          <w:color w:val="000000"/>
          <w:szCs w:val="18"/>
          <w:lang w:val="de-DE"/>
        </w:rPr>
        <w:t>zum 1. Oktober 2012 sind bei Freigabe von Exchange Server 2013 berechtigt, unter der Zusätzlichen Lizenz auf die Software Exchange Server 2013 upzugraden und sie anstelle der Software Exchange Server 2010 unter der jeweiligen qualifizierenden Externen Connector-Lizenz zu</w:t>
      </w:r>
      <w:r w:rsidR="00384F13">
        <w:rPr>
          <w:rFonts w:cs="Tahoma"/>
          <w:color w:val="000000"/>
          <w:szCs w:val="18"/>
          <w:lang w:val="de-DE"/>
        </w:rPr>
        <w:t> </w:t>
      </w:r>
      <w:r w:rsidRPr="00C83DF5">
        <w:rPr>
          <w:rFonts w:cs="Tahoma"/>
          <w:color w:val="000000"/>
          <w:szCs w:val="18"/>
          <w:lang w:val="de-DE"/>
        </w:rPr>
        <w:t>verwenden.</w:t>
      </w:r>
      <w:r w:rsidR="00E71F46" w:rsidRPr="00C83DF5">
        <w:rPr>
          <w:rFonts w:cs="Tahoma"/>
          <w:color w:val="000000"/>
          <w:szCs w:val="18"/>
          <w:lang w:val="de-DE"/>
        </w:rPr>
        <w:t xml:space="preserve"> </w:t>
      </w:r>
    </w:p>
    <w:p w:rsidR="009D3013" w:rsidRPr="00C83DF5" w:rsidRDefault="009D3013" w:rsidP="00384F13">
      <w:pPr>
        <w:numPr>
          <w:ilvl w:val="0"/>
          <w:numId w:val="101"/>
        </w:numPr>
        <w:spacing w:after="60"/>
        <w:ind w:left="1440"/>
        <w:rPr>
          <w:lang w:val="de-DE"/>
        </w:rPr>
      </w:pPr>
      <w:r w:rsidRPr="00C83DF5">
        <w:rPr>
          <w:rFonts w:cs="Tahoma"/>
          <w:color w:val="000000"/>
          <w:szCs w:val="18"/>
          <w:lang w:val="de-DE"/>
        </w:rPr>
        <w:t>Nutzungsrechte: Das Recht zur Nutzung der Software unter der Zusätzlichen Lizenz unter diesem Angebot gilt bis zum Ablauf des Rechts zur Nutzung der Software unter der Qualifizierenden Lizenz.</w:t>
      </w:r>
      <w:r w:rsidR="00384F13">
        <w:rPr>
          <w:rFonts w:cs="Tahoma"/>
          <w:color w:val="000000"/>
          <w:szCs w:val="18"/>
          <w:lang w:val="de-DE"/>
        </w:rPr>
        <w:t> </w:t>
      </w:r>
      <w:r w:rsidRPr="00C83DF5">
        <w:rPr>
          <w:rFonts w:cs="Tahoma"/>
          <w:color w:val="000000"/>
          <w:szCs w:val="18"/>
          <w:lang w:val="de-DE"/>
        </w:rPr>
        <w:t>Die Nutzung dieser Software unterliegt den Nutzungsrechten für die Software und den</w:t>
      </w:r>
      <w:r w:rsidR="00384F13">
        <w:rPr>
          <w:rFonts w:cs="Tahoma"/>
          <w:color w:val="000000"/>
          <w:szCs w:val="18"/>
          <w:lang w:val="de-DE"/>
        </w:rPr>
        <w:t> </w:t>
      </w:r>
      <w:r w:rsidRPr="00C83DF5">
        <w:rPr>
          <w:rFonts w:cs="Tahoma"/>
          <w:color w:val="000000"/>
          <w:szCs w:val="18"/>
          <w:lang w:val="de-DE"/>
        </w:rPr>
        <w:t>Bestimmungen des Volumenlizenzvertrages des Kunden.</w:t>
      </w:r>
      <w:r w:rsidR="00E71F46" w:rsidRPr="00C83DF5">
        <w:rPr>
          <w:rFonts w:cs="Tahoma"/>
          <w:color w:val="000000"/>
          <w:szCs w:val="18"/>
          <w:lang w:val="de-DE"/>
        </w:rPr>
        <w:t xml:space="preserve"> </w:t>
      </w:r>
      <w:r w:rsidRPr="00C83DF5">
        <w:rPr>
          <w:rFonts w:cs="Tahoma"/>
          <w:color w:val="000000"/>
          <w:szCs w:val="18"/>
          <w:lang w:val="de-DE"/>
        </w:rPr>
        <w:t>Dieser Hinweis auf die Produktbedingungen und der Nachweis des Kunden über die entsprechende Qualifizierende Lizenz</w:t>
      </w:r>
      <w:r w:rsidR="00384F13">
        <w:rPr>
          <w:rFonts w:cs="Tahoma"/>
          <w:color w:val="000000"/>
          <w:szCs w:val="18"/>
          <w:lang w:val="de-DE"/>
        </w:rPr>
        <w:t> </w:t>
      </w:r>
      <w:r w:rsidRPr="00C83DF5">
        <w:rPr>
          <w:rFonts w:cs="Tahoma"/>
          <w:color w:val="000000"/>
          <w:szCs w:val="18"/>
          <w:lang w:val="de-DE"/>
        </w:rPr>
        <w:t>und Software Assurance belegen zusammen das Recht zur Nutzung der Software unter der</w:t>
      </w:r>
      <w:r w:rsidR="00384F13">
        <w:rPr>
          <w:rFonts w:cs="Tahoma"/>
          <w:color w:val="000000"/>
          <w:szCs w:val="18"/>
          <w:lang w:val="de-DE"/>
        </w:rPr>
        <w:t> </w:t>
      </w:r>
      <w:r w:rsidRPr="00C83DF5">
        <w:rPr>
          <w:rFonts w:cs="Tahoma"/>
          <w:color w:val="000000"/>
          <w:szCs w:val="18"/>
          <w:lang w:val="de-DE"/>
        </w:rPr>
        <w:t>Zusätzlichen Lizenz unter diesem Angebot.</w:t>
      </w:r>
      <w:r w:rsidR="00E71F46" w:rsidRPr="00C83DF5">
        <w:rPr>
          <w:rFonts w:cs="Tahoma"/>
          <w:color w:val="000000"/>
          <w:szCs w:val="18"/>
          <w:lang w:val="de-DE"/>
        </w:rPr>
        <w:t xml:space="preserve"> </w:t>
      </w:r>
    </w:p>
    <w:p w:rsidR="009D3013" w:rsidRPr="00C83DF5" w:rsidRDefault="009D3013" w:rsidP="00384F13">
      <w:pPr>
        <w:numPr>
          <w:ilvl w:val="0"/>
          <w:numId w:val="8"/>
        </w:numPr>
        <w:spacing w:after="60"/>
        <w:ind w:left="1440"/>
        <w:rPr>
          <w:lang w:val="de-DE"/>
        </w:rPr>
      </w:pPr>
      <w:r w:rsidRPr="00C83DF5">
        <w:rPr>
          <w:rFonts w:cs="Tahoma"/>
          <w:color w:val="000000"/>
          <w:szCs w:val="18"/>
          <w:lang w:val="de-DE"/>
        </w:rPr>
        <w:t>Lizenz und Software Assurance: Die Zusätzliche Lizenz enthält Software Assurance.</w:t>
      </w:r>
      <w:r w:rsidR="00E71F46" w:rsidRPr="00C83DF5">
        <w:rPr>
          <w:rFonts w:cs="Tahoma"/>
          <w:color w:val="000000"/>
          <w:szCs w:val="18"/>
          <w:lang w:val="de-DE"/>
        </w:rPr>
        <w:t xml:space="preserve"> </w:t>
      </w:r>
      <w:r w:rsidRPr="00C83DF5">
        <w:rPr>
          <w:rFonts w:cs="Tahoma"/>
          <w:color w:val="000000"/>
          <w:szCs w:val="18"/>
          <w:lang w:val="de-DE"/>
        </w:rPr>
        <w:t>Software Assurance für die Zusätzliche Lizenz gilt bis zum Ablauf der Software Assurance für die Qualifizierende Lizenz.</w:t>
      </w:r>
      <w:r w:rsidR="00E71F46" w:rsidRPr="00C83DF5">
        <w:rPr>
          <w:rFonts w:cs="Tahoma"/>
          <w:color w:val="000000"/>
          <w:szCs w:val="18"/>
          <w:lang w:val="de-DE"/>
        </w:rPr>
        <w:t xml:space="preserve"> </w:t>
      </w:r>
      <w:r w:rsidRPr="00C83DF5">
        <w:rPr>
          <w:rFonts w:cs="Tahoma"/>
          <w:color w:val="000000"/>
          <w:szCs w:val="18"/>
          <w:lang w:val="de-DE"/>
        </w:rPr>
        <w:t>Nach Ablauf von Software Assurance für die Qualifizierende Lizenz kann der</w:t>
      </w:r>
      <w:r w:rsidR="00384F13">
        <w:rPr>
          <w:rFonts w:cs="Tahoma"/>
          <w:color w:val="000000"/>
          <w:szCs w:val="18"/>
          <w:lang w:val="de-DE"/>
        </w:rPr>
        <w:t> </w:t>
      </w:r>
      <w:r w:rsidRPr="00C83DF5">
        <w:rPr>
          <w:rFonts w:cs="Tahoma"/>
          <w:color w:val="000000"/>
          <w:szCs w:val="18"/>
          <w:lang w:val="de-DE"/>
        </w:rPr>
        <w:t>Kunde Software Assurance für die Zusätzliche Lizenz verlängern, ohne separat eine neue Lizenz</w:t>
      </w:r>
      <w:r w:rsidR="00384F13">
        <w:rPr>
          <w:rFonts w:cs="Tahoma"/>
          <w:color w:val="000000"/>
          <w:szCs w:val="18"/>
          <w:lang w:val="de-DE"/>
        </w:rPr>
        <w:t> </w:t>
      </w:r>
      <w:r w:rsidRPr="00C83DF5">
        <w:rPr>
          <w:rFonts w:cs="Tahoma"/>
          <w:color w:val="000000"/>
          <w:szCs w:val="18"/>
          <w:lang w:val="de-DE"/>
        </w:rPr>
        <w:t>erwerben zu müssen.</w:t>
      </w:r>
    </w:p>
    <w:p w:rsidR="009D3013" w:rsidRPr="00C83DF5" w:rsidRDefault="009D3013" w:rsidP="00346F4B">
      <w:pPr>
        <w:numPr>
          <w:ilvl w:val="0"/>
          <w:numId w:val="102"/>
        </w:numPr>
        <w:spacing w:after="60"/>
        <w:ind w:left="1440"/>
        <w:rPr>
          <w:lang w:val="de-DE"/>
        </w:rPr>
      </w:pPr>
      <w:r w:rsidRPr="00C83DF5">
        <w:rPr>
          <w:rFonts w:eastAsia="Calibri" w:cs="Tahoma"/>
          <w:color w:val="000000"/>
          <w:szCs w:val="18"/>
          <w:lang w:val="de-DE"/>
        </w:rPr>
        <w:t>True Ups</w:t>
      </w:r>
      <w:r w:rsidRPr="00DF7962">
        <w:rPr>
          <w:rFonts w:eastAsia="Calibri" w:cs="Tahoma"/>
          <w:bCs/>
          <w:color w:val="000000"/>
          <w:szCs w:val="18"/>
          <w:lang w:val="de-DE"/>
        </w:rPr>
        <w:t>:</w:t>
      </w:r>
      <w:r w:rsidR="00E71F46" w:rsidRPr="00C83DF5">
        <w:rPr>
          <w:rFonts w:eastAsia="Calibri" w:cs="Tahoma"/>
          <w:color w:val="000000"/>
          <w:szCs w:val="18"/>
          <w:lang w:val="de-DE"/>
        </w:rPr>
        <w:t xml:space="preserve"> </w:t>
      </w:r>
      <w:r w:rsidRPr="00C83DF5">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C83DF5">
        <w:rPr>
          <w:rFonts w:cs="Tahoma"/>
          <w:color w:val="000000"/>
          <w:szCs w:val="18"/>
          <w:lang w:val="de-DE"/>
        </w:rPr>
        <w:t>Prozess erworben wurden, ebenfalls als Qualifizierende Lizenzen.</w:t>
      </w:r>
    </w:p>
    <w:p w:rsidR="009D3013" w:rsidRPr="00C83DF5" w:rsidRDefault="009D3013" w:rsidP="00384F13">
      <w:pPr>
        <w:numPr>
          <w:ilvl w:val="0"/>
          <w:numId w:val="102"/>
        </w:numPr>
        <w:spacing w:after="60"/>
        <w:ind w:left="1440"/>
        <w:rPr>
          <w:lang w:val="de-DE"/>
        </w:rPr>
      </w:pPr>
      <w:r w:rsidRPr="00C83DF5">
        <w:rPr>
          <w:rFonts w:cs="Tahoma"/>
          <w:color w:val="000000"/>
          <w:szCs w:val="18"/>
          <w:lang w:val="de-DE"/>
        </w:rPr>
        <w:t>Abonnement-Verträge:</w:t>
      </w:r>
      <w:r w:rsidR="00E71F46" w:rsidRPr="00C83DF5">
        <w:rPr>
          <w:rFonts w:cs="Tahoma"/>
          <w:color w:val="000000"/>
          <w:szCs w:val="18"/>
          <w:lang w:val="de-DE"/>
        </w:rPr>
        <w:t xml:space="preserve"> </w:t>
      </w:r>
      <w:r w:rsidRPr="00C83DF5">
        <w:rPr>
          <w:rFonts w:cs="Tahoma"/>
          <w:color w:val="000000"/>
          <w:szCs w:val="18"/>
          <w:lang w:val="de-DE"/>
        </w:rPr>
        <w:t xml:space="preserve">Für Konzern-Abonnement-Verträge, </w:t>
      </w:r>
      <w:r w:rsidRPr="00C83DF5">
        <w:rPr>
          <w:rFonts w:cs="Tahoma"/>
          <w:szCs w:val="18"/>
          <w:lang w:val="de-DE"/>
        </w:rPr>
        <w:t>Open Value Subscription-Verträge, Campus- und School-Verträge, Beitritt für Bildungslösungen und Open Value Subscription – Bildungslösungen-Verträge werden vorübergehend unter denselben Bedingungen</w:t>
      </w:r>
      <w:r w:rsidRPr="00C83DF5">
        <w:rPr>
          <w:rFonts w:cs="Tahoma"/>
          <w:color w:val="000000"/>
          <w:szCs w:val="18"/>
          <w:lang w:val="de-DE"/>
        </w:rPr>
        <w:t xml:space="preserve"> bis zum Ende der</w:t>
      </w:r>
      <w:r w:rsidR="00384F13">
        <w:rPr>
          <w:rFonts w:cs="Tahoma"/>
          <w:color w:val="000000"/>
          <w:szCs w:val="18"/>
          <w:lang w:val="de-DE"/>
        </w:rPr>
        <w:t> </w:t>
      </w:r>
      <w:r w:rsidRPr="00C83DF5">
        <w:rPr>
          <w:rFonts w:cs="Tahoma"/>
          <w:color w:val="000000"/>
          <w:szCs w:val="18"/>
          <w:lang w:val="de-DE"/>
        </w:rPr>
        <w:t>aktuellen Beitrittslaufzeit (bzw. Vertragslaufzeit im Falle von Open Value) die gleichen Rechte gewährt.</w:t>
      </w:r>
      <w:r w:rsidR="00E71F46" w:rsidRPr="00C83DF5">
        <w:rPr>
          <w:rFonts w:cs="Tahoma"/>
          <w:color w:val="000000"/>
          <w:szCs w:val="18"/>
          <w:lang w:val="de-DE"/>
        </w:rPr>
        <w:t xml:space="preserve"> </w:t>
      </w:r>
      <w:r w:rsidRPr="00C83DF5">
        <w:rPr>
          <w:rFonts w:cs="Tahoma"/>
          <w:color w:val="000000"/>
          <w:szCs w:val="18"/>
          <w:lang w:val="de-DE"/>
        </w:rPr>
        <w:t>Der Kunde muss das Abonnement ununterbrochen aufrechterhalten.</w:t>
      </w:r>
      <w:r w:rsidR="00E71F46" w:rsidRPr="00C83DF5">
        <w:rPr>
          <w:rFonts w:cs="Tahoma"/>
          <w:color w:val="000000"/>
          <w:szCs w:val="18"/>
          <w:lang w:val="de-DE"/>
        </w:rPr>
        <w:t xml:space="preserve"> </w:t>
      </w:r>
      <w:bookmarkStart w:id="1270" w:name="_Toc336338313"/>
      <w:r w:rsidRPr="00C83DF5">
        <w:rPr>
          <w:rFonts w:cs="Tahoma"/>
          <w:color w:val="000000"/>
          <w:szCs w:val="18"/>
          <w:lang w:val="de-DE"/>
        </w:rPr>
        <w:t>Diese Rechte werden erst nach Ausübung der Buy-Out-Option zeitlich unbeschränkt und unterliegen weiterhin allen Bestimmungen des Lizenzvertrages des Kunden.</w:t>
      </w:r>
    </w:p>
    <w:p w:rsidR="009D3013" w:rsidRPr="00C83DF5" w:rsidRDefault="009D3013" w:rsidP="00346F4B">
      <w:pPr>
        <w:numPr>
          <w:ilvl w:val="0"/>
          <w:numId w:val="103"/>
        </w:numPr>
        <w:spacing w:after="60"/>
        <w:ind w:left="1440"/>
        <w:rPr>
          <w:lang w:val="de-DE"/>
        </w:rPr>
      </w:pPr>
      <w:r w:rsidRPr="00C83DF5">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9D3013" w:rsidRPr="00C83DF5" w:rsidRDefault="009D3013" w:rsidP="00346F4B">
      <w:pPr>
        <w:pStyle w:val="ListParagraph"/>
        <w:numPr>
          <w:ilvl w:val="0"/>
          <w:numId w:val="87"/>
        </w:numPr>
        <w:spacing w:after="60"/>
        <w:ind w:left="1980"/>
        <w:contextualSpacing w:val="0"/>
        <w:rPr>
          <w:lang w:val="de-DE"/>
        </w:rPr>
      </w:pPr>
      <w:r w:rsidRPr="00C83DF5">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73424F" w:rsidRPr="00C83DF5" w:rsidRDefault="0073424F" w:rsidP="00346F4B">
      <w:pPr>
        <w:pStyle w:val="ListParagraph"/>
        <w:numPr>
          <w:ilvl w:val="0"/>
          <w:numId w:val="87"/>
        </w:numPr>
        <w:spacing w:after="60"/>
        <w:ind w:left="1980"/>
        <w:contextualSpacing w:val="0"/>
        <w:rPr>
          <w:lang w:val="de-DE"/>
        </w:rPr>
      </w:pPr>
      <w:r w:rsidRPr="00C83DF5">
        <w:rPr>
          <w:rFonts w:ascii="Tahoma" w:hAnsi="Tahoma" w:cs="Tahoma"/>
          <w:sz w:val="18"/>
          <w:szCs w:val="18"/>
          <w:lang w:val="de-DE"/>
        </w:rPr>
        <w:t>Diese Rechte werden erst nach Ausübung der Buy-Out-Option zeitlich unbeschränkt und unterliegen weiterhin allen Bestimmungen des Lizenzvertrages des Kunden.</w:t>
      </w:r>
    </w:p>
    <w:p w:rsidR="004069A4" w:rsidRPr="00CF0F2D" w:rsidRDefault="004069A4" w:rsidP="00CF0F2D">
      <w:pPr>
        <w:ind w:left="720"/>
        <w:rPr>
          <w:sz w:val="14"/>
          <w:szCs w:val="14"/>
          <w:lang w:val="de-DE"/>
        </w:rPr>
      </w:pPr>
    </w:p>
    <w:p w:rsidR="009D3013" w:rsidRPr="00CF0F2D" w:rsidRDefault="009D3013" w:rsidP="00CF0F2D">
      <w:pPr>
        <w:ind w:left="720"/>
        <w:rPr>
          <w:sz w:val="14"/>
          <w:szCs w:val="14"/>
          <w:lang w:val="de-DE"/>
        </w:rPr>
      </w:pPr>
    </w:p>
    <w:p w:rsidR="004069A4" w:rsidRPr="00C83DF5" w:rsidRDefault="00A560B6" w:rsidP="004069A4">
      <w:pPr>
        <w:pStyle w:val="Heading3"/>
        <w:rPr>
          <w:lang w:val="de-DE"/>
        </w:rPr>
      </w:pPr>
      <w:bookmarkStart w:id="1271" w:name="_50_Exchange_Server"/>
      <w:bookmarkStart w:id="1272" w:name="_53_52_Exchange"/>
      <w:bookmarkStart w:id="1273" w:name="_58_Exchange_Server"/>
      <w:bookmarkStart w:id="1274" w:name="_57_Standard-CAL_für"/>
      <w:bookmarkStart w:id="1275" w:name="_Toc370983425"/>
      <w:bookmarkEnd w:id="1271"/>
      <w:bookmarkEnd w:id="1272"/>
      <w:bookmarkEnd w:id="1273"/>
      <w:bookmarkEnd w:id="1274"/>
      <w:r w:rsidRPr="00C83DF5">
        <w:rPr>
          <w:rFonts w:ascii="Tahoma" w:hAnsi="Tahoma"/>
          <w:caps/>
          <w:color w:val="F66400"/>
          <w:sz w:val="22"/>
          <w:vertAlign w:val="superscript"/>
          <w:lang w:val="de-DE"/>
        </w:rPr>
        <w:t>57</w:t>
      </w:r>
      <w:r w:rsidRPr="00C83DF5">
        <w:rPr>
          <w:rFonts w:ascii="Tahoma" w:hAnsi="Tahoma"/>
          <w:color w:val="F66400"/>
          <w:sz w:val="22"/>
          <w:lang w:val="de-DE"/>
        </w:rPr>
        <w:t xml:space="preserve"> Standard-CAL für Exchange Server 2010</w:t>
      </w:r>
      <w:bookmarkEnd w:id="1270"/>
      <w:bookmarkEnd w:id="1275"/>
    </w:p>
    <w:bookmarkEnd w:id="1262"/>
    <w:p w:rsidR="004069A4" w:rsidRPr="00CF0F2D" w:rsidRDefault="004069A4" w:rsidP="004069A4">
      <w:pPr>
        <w:rPr>
          <w:sz w:val="14"/>
          <w:szCs w:val="14"/>
          <w:lang w:val="de-DE"/>
        </w:rPr>
      </w:pPr>
    </w:p>
    <w:p w:rsidR="004069A4" w:rsidRPr="00C83DF5" w:rsidRDefault="004069A4" w:rsidP="005427B6">
      <w:pPr>
        <w:spacing w:after="60"/>
        <w:ind w:left="720"/>
        <w:rPr>
          <w:lang w:val="de-DE"/>
        </w:rPr>
      </w:pPr>
      <w:r w:rsidRPr="00C83DF5">
        <w:rPr>
          <w:rFonts w:cs="Tahoma"/>
          <w:b/>
          <w:color w:val="000000"/>
          <w:szCs w:val="18"/>
          <w:lang w:val="de-DE"/>
        </w:rPr>
        <w:t>Managed Default Folders mit Standard-CAL für Exchange Server 2010</w:t>
      </w:r>
    </w:p>
    <w:p w:rsidR="004069A4" w:rsidRPr="00C83DF5" w:rsidRDefault="004069A4" w:rsidP="00CF0F2D">
      <w:pPr>
        <w:ind w:left="720"/>
        <w:rPr>
          <w:lang w:val="de-DE"/>
        </w:rPr>
      </w:pPr>
      <w:r w:rsidRPr="00C83DF5">
        <w:rPr>
          <w:rFonts w:cs="Tahoma"/>
          <w:color w:val="000000"/>
          <w:szCs w:val="18"/>
          <w:lang w:val="de-DE"/>
        </w:rPr>
        <w:t>Das Recht, die Funktion Managed Default Folder in Exchange Server 2010 zu nutzen, wird im Rahmen der</w:t>
      </w:r>
      <w:r w:rsidR="00CF0F2D">
        <w:rPr>
          <w:rFonts w:cs="Tahoma"/>
          <w:color w:val="000000"/>
          <w:szCs w:val="18"/>
          <w:lang w:val="de-DE"/>
        </w:rPr>
        <w:t> </w:t>
      </w:r>
      <w:r w:rsidRPr="00C83DF5">
        <w:rPr>
          <w:rFonts w:cs="Tahoma"/>
          <w:color w:val="000000"/>
          <w:szCs w:val="18"/>
          <w:lang w:val="de-DE"/>
        </w:rPr>
        <w:t>Standard-CAL sowie gleichwertiger CALs für Exchange Server 2010 gewährt.</w:t>
      </w:r>
      <w:r w:rsidR="00E71F46" w:rsidRPr="00C83DF5">
        <w:rPr>
          <w:rFonts w:cs="Tahoma"/>
          <w:color w:val="000000"/>
          <w:szCs w:val="18"/>
          <w:lang w:val="de-DE"/>
        </w:rPr>
        <w:t xml:space="preserve"> </w:t>
      </w:r>
      <w:r w:rsidRPr="00C83DF5">
        <w:rPr>
          <w:rFonts w:cs="Tahoma"/>
          <w:color w:val="000000"/>
          <w:szCs w:val="18"/>
          <w:lang w:val="de-DE"/>
        </w:rPr>
        <w:t>Zur Nutzung der Funktion</w:t>
      </w:r>
      <w:r w:rsidR="00CF0F2D">
        <w:rPr>
          <w:rFonts w:cs="Tahoma"/>
          <w:color w:val="000000"/>
          <w:szCs w:val="18"/>
          <w:lang w:val="de-DE"/>
        </w:rPr>
        <w:t> </w:t>
      </w:r>
      <w:r w:rsidRPr="00C83DF5">
        <w:rPr>
          <w:rFonts w:cs="Tahoma"/>
          <w:color w:val="000000"/>
          <w:szCs w:val="18"/>
          <w:lang w:val="de-DE"/>
        </w:rPr>
        <w:t>Managed Custom Folder ist dagegen eine Enterprise-CAL oder eine gleichwertige CAL für Exchange</w:t>
      </w:r>
      <w:r w:rsidR="00CF0F2D">
        <w:rPr>
          <w:rFonts w:cs="Tahoma"/>
          <w:color w:val="000000"/>
          <w:szCs w:val="18"/>
          <w:lang w:val="de-DE"/>
        </w:rPr>
        <w:t> </w:t>
      </w:r>
      <w:r w:rsidRPr="00C83DF5">
        <w:rPr>
          <w:rFonts w:cs="Tahoma"/>
          <w:color w:val="000000"/>
          <w:szCs w:val="18"/>
          <w:lang w:val="de-DE"/>
        </w:rPr>
        <w:t xml:space="preserve">Server 2010 erforderlich. </w:t>
      </w:r>
    </w:p>
    <w:p w:rsidR="004069A4" w:rsidRPr="00CF0F2D" w:rsidRDefault="004069A4" w:rsidP="00E62BC4">
      <w:pPr>
        <w:ind w:left="720"/>
        <w:rPr>
          <w:sz w:val="14"/>
          <w:szCs w:val="14"/>
          <w:lang w:val="de-DE"/>
        </w:rPr>
      </w:pPr>
    </w:p>
    <w:p w:rsidR="00031547" w:rsidRPr="00C83DF5" w:rsidRDefault="00031547" w:rsidP="005427B6">
      <w:pPr>
        <w:spacing w:after="60"/>
        <w:ind w:left="720"/>
        <w:rPr>
          <w:lang w:val="de-DE"/>
        </w:rPr>
      </w:pPr>
      <w:r w:rsidRPr="00C83DF5">
        <w:rPr>
          <w:rFonts w:cs="Tahoma"/>
          <w:b/>
          <w:color w:val="000000"/>
          <w:szCs w:val="18"/>
          <w:lang w:val="de-DE"/>
        </w:rPr>
        <w:t>Suche in mehreren Postfächern lizenziert mit Standard-CAL für Exchange Server 2010</w:t>
      </w:r>
    </w:p>
    <w:p w:rsidR="00031547" w:rsidRPr="00C83DF5" w:rsidRDefault="00031547" w:rsidP="00BA1490">
      <w:pPr>
        <w:ind w:left="720"/>
        <w:rPr>
          <w:lang w:val="de-DE"/>
        </w:rPr>
      </w:pPr>
      <w:r w:rsidRPr="00C83DF5">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rsidR="004D0019" w:rsidRPr="00CF0F2D" w:rsidRDefault="004D0019" w:rsidP="00E62BC4">
      <w:pPr>
        <w:ind w:left="720"/>
        <w:rPr>
          <w:sz w:val="14"/>
          <w:szCs w:val="14"/>
          <w:lang w:val="de-DE"/>
        </w:rPr>
      </w:pPr>
    </w:p>
    <w:p w:rsidR="004069A4" w:rsidRPr="00C83DF5" w:rsidRDefault="004069A4" w:rsidP="005427B6">
      <w:pPr>
        <w:spacing w:after="60"/>
        <w:ind w:left="720"/>
        <w:rPr>
          <w:lang w:val="de-DE"/>
        </w:rPr>
      </w:pPr>
      <w:r w:rsidRPr="00C83DF5">
        <w:rPr>
          <w:rFonts w:cs="Tahoma"/>
          <w:b/>
          <w:color w:val="000000"/>
          <w:szCs w:val="18"/>
          <w:lang w:val="de-DE"/>
        </w:rPr>
        <w:t>CALs für Studenten (Open- und Select-Lizenz für Forschung &amp; Lehre)</w:t>
      </w:r>
    </w:p>
    <w:p w:rsidR="004069A4" w:rsidRPr="00C83DF5" w:rsidRDefault="004069A4" w:rsidP="00E62BC4">
      <w:pPr>
        <w:ind w:left="720"/>
        <w:rPr>
          <w:lang w:val="de-DE"/>
        </w:rPr>
      </w:pPr>
      <w:r w:rsidRPr="00C83DF5">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CC1B99" w:rsidRPr="00C83DF5" w:rsidRDefault="0085774C" w:rsidP="00CC1B99">
      <w:pPr>
        <w:pStyle w:val="Heading3"/>
        <w:rPr>
          <w:lang w:val="de-DE"/>
        </w:rPr>
      </w:pPr>
      <w:bookmarkStart w:id="1276" w:name="_53_Forefront_Endpoint"/>
      <w:bookmarkStart w:id="1277" w:name="_59_Forefront_Endpoint"/>
      <w:bookmarkStart w:id="1278" w:name="_58_Forefront_Endpoint"/>
      <w:bookmarkStart w:id="1279" w:name="_Toc336338314"/>
      <w:bookmarkStart w:id="1280" w:name="Srv_51ForfrontEndpointProtection"/>
      <w:bookmarkStart w:id="1281" w:name="Srv_50ForfrontEndpointProtection"/>
      <w:bookmarkStart w:id="1282" w:name="Srv_43ExchangeSvr07StdCAL"/>
      <w:bookmarkStart w:id="1283" w:name="Srv_44ExchangeSvr2010StdCAL"/>
      <w:bookmarkStart w:id="1284" w:name="Srv_42ExchangeSvr07StdCAL"/>
      <w:bookmarkStart w:id="1285" w:name="_Toc370983426"/>
      <w:bookmarkEnd w:id="1276"/>
      <w:bookmarkEnd w:id="1277"/>
      <w:bookmarkEnd w:id="1278"/>
      <w:r w:rsidRPr="00C83DF5">
        <w:rPr>
          <w:rFonts w:ascii="Tahoma" w:hAnsi="Tahoma"/>
          <w:caps/>
          <w:color w:val="F66400"/>
          <w:sz w:val="22"/>
          <w:vertAlign w:val="superscript"/>
          <w:lang w:val="de-DE"/>
        </w:rPr>
        <w:lastRenderedPageBreak/>
        <w:t>58</w:t>
      </w:r>
      <w:r w:rsidRPr="00C83DF5">
        <w:rPr>
          <w:rFonts w:ascii="Tahoma" w:hAnsi="Tahoma"/>
          <w:color w:val="F66400"/>
          <w:sz w:val="22"/>
          <w:lang w:val="de-DE"/>
        </w:rPr>
        <w:t xml:space="preserve"> Forefront Endpoint Protection</w:t>
      </w:r>
      <w:bookmarkEnd w:id="1279"/>
      <w:bookmarkEnd w:id="1285"/>
    </w:p>
    <w:bookmarkEnd w:id="1280"/>
    <w:bookmarkEnd w:id="1281"/>
    <w:p w:rsidR="00CC1B99" w:rsidRPr="00C83DF5" w:rsidRDefault="00CC1B99" w:rsidP="00E62BC4">
      <w:pPr>
        <w:ind w:left="720"/>
        <w:rPr>
          <w:lang w:val="de-DE"/>
        </w:rPr>
      </w:pPr>
    </w:p>
    <w:p w:rsidR="008A1A57" w:rsidRPr="00C83DF5" w:rsidRDefault="008A1A57" w:rsidP="00CF0F2D">
      <w:pPr>
        <w:tabs>
          <w:tab w:val="left" w:pos="1920"/>
        </w:tabs>
        <w:ind w:left="720"/>
        <w:rPr>
          <w:lang w:val="de-DE"/>
        </w:rPr>
      </w:pPr>
      <w:r w:rsidRPr="00C83DF5">
        <w:rPr>
          <w:lang w:val="de-DE"/>
        </w:rPr>
        <w:t xml:space="preserve">Mit Wirkung vom 1. April 2012 </w:t>
      </w:r>
      <w:r w:rsidRPr="00C83DF5">
        <w:rPr>
          <w:rFonts w:eastAsia="Calibri" w:cs="Tahoma"/>
          <w:szCs w:val="18"/>
          <w:lang w:val="de-DE"/>
        </w:rPr>
        <w:t xml:space="preserve">wird Forefront Endpoint Protection als Angebot für Clientschutz durch </w:t>
      </w:r>
      <w:r w:rsidRPr="00C83DF5">
        <w:rPr>
          <w:lang w:val="de-DE"/>
        </w:rPr>
        <w:t>System</w:t>
      </w:r>
      <w:r w:rsidR="00CF0F2D">
        <w:rPr>
          <w:lang w:val="de-DE"/>
        </w:rPr>
        <w:t> </w:t>
      </w:r>
      <w:r w:rsidRPr="00C83DF5">
        <w:rPr>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CF0F2D">
        <w:rPr>
          <w:lang w:val="de-DE"/>
        </w:rPr>
        <w:t> </w:t>
      </w:r>
      <w:r w:rsidRPr="00C83DF5">
        <w:rPr>
          <w:lang w:val="de-DE"/>
        </w:rPr>
        <w:t>Datacenter erworben werden.</w:t>
      </w:r>
    </w:p>
    <w:p w:rsidR="008A1A57" w:rsidRPr="00C83DF5" w:rsidRDefault="008A1A57" w:rsidP="00E62BC4">
      <w:pPr>
        <w:tabs>
          <w:tab w:val="left" w:pos="1920"/>
        </w:tabs>
        <w:ind w:left="720"/>
        <w:rPr>
          <w:lang w:val="de-DE"/>
        </w:rPr>
      </w:pPr>
    </w:p>
    <w:p w:rsidR="008A1A57" w:rsidRPr="00C83DF5" w:rsidRDefault="008A1A57" w:rsidP="00E62BC4">
      <w:pPr>
        <w:tabs>
          <w:tab w:val="left" w:pos="1920"/>
        </w:tabs>
        <w:ind w:left="720"/>
        <w:rPr>
          <w:lang w:val="de-DE"/>
        </w:rPr>
      </w:pPr>
      <w:r w:rsidRPr="00C83DF5">
        <w:rPr>
          <w:rFonts w:eastAsia="Calibri" w:cs="Tahoma"/>
          <w:szCs w:val="18"/>
          <w:lang w:val="de-DE"/>
        </w:rPr>
        <w:t>Nutzer, die über aktive Forefront Endpoint Protection-Abonnements</w:t>
      </w:r>
      <w:r w:rsidRPr="00C83DF5">
        <w:rPr>
          <w:lang w:val="de-DE"/>
        </w:rPr>
        <w:t xml:space="preserve"> verfügen und den Dienst zum Schutz von Clientgeräten nutzen, können ein Upgrade auf System Center 2012 Endpoint Protection für denselben Zweck durchführen.</w:t>
      </w:r>
    </w:p>
    <w:p w:rsidR="008A1A57" w:rsidRPr="00C83DF5" w:rsidRDefault="008A1A57" w:rsidP="00E62BC4">
      <w:pPr>
        <w:tabs>
          <w:tab w:val="left" w:pos="1920"/>
        </w:tabs>
        <w:ind w:left="720"/>
        <w:rPr>
          <w:lang w:val="de-DE"/>
        </w:rPr>
      </w:pPr>
    </w:p>
    <w:p w:rsidR="008A1A57" w:rsidRPr="00C83DF5" w:rsidRDefault="008A1A57" w:rsidP="00CF0F2D">
      <w:pPr>
        <w:tabs>
          <w:tab w:val="left" w:pos="1920"/>
        </w:tabs>
        <w:ind w:left="720"/>
        <w:rPr>
          <w:lang w:val="de-DE"/>
        </w:rPr>
      </w:pPr>
      <w:r w:rsidRPr="00C83DF5">
        <w:rPr>
          <w:rFonts w:eastAsia="Calibri" w:cs="Tahoma"/>
          <w:szCs w:val="18"/>
          <w:lang w:val="de-DE"/>
        </w:rPr>
        <w:t>Nutzer, die über aktive Forefront Endpoint Protection-Abonnements</w:t>
      </w:r>
      <w:r w:rsidRPr="00C83DF5">
        <w:rPr>
          <w:lang w:val="de-DE"/>
        </w:rPr>
        <w:t xml:space="preserve"> verfügen und den Dienst zum Schutz</w:t>
      </w:r>
      <w:r w:rsidR="00CF0F2D">
        <w:rPr>
          <w:lang w:val="de-DE"/>
        </w:rPr>
        <w:t> </w:t>
      </w:r>
      <w:r w:rsidRPr="00C83DF5">
        <w:rPr>
          <w:lang w:val="de-DE"/>
        </w:rPr>
        <w:t>von Servergeräten nutzen, sind berechtigt, den Forefront Endpoint Protection-Dienst weiterhin zu</w:t>
      </w:r>
      <w:r w:rsidR="00CF0F2D">
        <w:rPr>
          <w:lang w:val="de-DE"/>
        </w:rPr>
        <w:t> </w:t>
      </w:r>
      <w:r w:rsidRPr="00C83DF5">
        <w:rPr>
          <w:lang w:val="de-DE"/>
        </w:rPr>
        <w:t>verwenden.</w:t>
      </w:r>
    </w:p>
    <w:p w:rsidR="008A1A57" w:rsidRPr="00C83DF5" w:rsidRDefault="008A1A57" w:rsidP="00E62BC4">
      <w:pPr>
        <w:ind w:left="720"/>
        <w:rPr>
          <w:lang w:val="de-DE"/>
        </w:rPr>
      </w:pPr>
    </w:p>
    <w:p w:rsidR="008A1A57" w:rsidRPr="00C83DF5" w:rsidRDefault="008A1A57" w:rsidP="00E62BC4">
      <w:pPr>
        <w:ind w:left="720"/>
        <w:rPr>
          <w:lang w:val="de-DE"/>
        </w:rPr>
      </w:pPr>
      <w:r w:rsidRPr="00C83DF5">
        <w:rPr>
          <w:rFonts w:eastAsia="Calibri" w:cs="Tahoma"/>
          <w:szCs w:val="18"/>
          <w:lang w:val="de-DE"/>
        </w:rPr>
        <w:t>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w:t>
      </w:r>
      <w:r w:rsidR="00E71F46" w:rsidRPr="00C83DF5">
        <w:rPr>
          <w:rFonts w:eastAsia="Calibri" w:cs="Tahoma"/>
          <w:szCs w:val="18"/>
          <w:lang w:val="de-DE"/>
        </w:rPr>
        <w:t xml:space="preserve"> </w:t>
      </w:r>
    </w:p>
    <w:p w:rsidR="008A1A57" w:rsidRPr="00C83DF5" w:rsidRDefault="008A1A57" w:rsidP="00E62BC4">
      <w:pPr>
        <w:ind w:left="720"/>
        <w:rPr>
          <w:lang w:val="de-DE"/>
        </w:rPr>
      </w:pPr>
    </w:p>
    <w:p w:rsidR="008A1A57" w:rsidRPr="00C83DF5" w:rsidRDefault="005427B6" w:rsidP="005427B6">
      <w:pPr>
        <w:spacing w:after="60"/>
        <w:ind w:left="720"/>
        <w:rPr>
          <w:lang w:val="de-DE"/>
        </w:rPr>
      </w:pPr>
      <w:r w:rsidRPr="00C83DF5">
        <w:rPr>
          <w:rFonts w:eastAsia="Calibri" w:cs="Tahoma"/>
          <w:b/>
          <w:szCs w:val="18"/>
          <w:lang w:val="de-DE"/>
        </w:rPr>
        <w:t>Heimnutzung</w:t>
      </w:r>
    </w:p>
    <w:p w:rsidR="008A1A57" w:rsidRPr="00C83DF5" w:rsidRDefault="008A1A57" w:rsidP="00E62BC4">
      <w:pPr>
        <w:ind w:left="720"/>
        <w:rPr>
          <w:lang w:val="de-DE"/>
        </w:rPr>
      </w:pPr>
      <w:r w:rsidRPr="00C83DF5">
        <w:rPr>
          <w:rFonts w:eastAsia="Calibri" w:cs="Tahoma"/>
          <w:szCs w:val="18"/>
          <w:lang w:val="de-DE"/>
        </w:rPr>
        <w:t>Kunden mit aktuellen Nutzer-Abonnementlizenzen für Forefront Endpoint Protection 2010 sind für das Home Use Program qualifiziert.</w:t>
      </w:r>
    </w:p>
    <w:p w:rsidR="00BA1490" w:rsidRPr="00C83DF5" w:rsidRDefault="00BA1490" w:rsidP="00BA1490">
      <w:pPr>
        <w:rPr>
          <w:lang w:val="de-DE"/>
        </w:rPr>
      </w:pPr>
      <w:bookmarkStart w:id="1286" w:name="_Toc254758297"/>
      <w:bookmarkStart w:id="1287" w:name="Srv_44ForefrontOnSecforExch"/>
      <w:bookmarkStart w:id="1288" w:name="Srv_43ForefrontOnSecforExch"/>
      <w:bookmarkEnd w:id="1282"/>
      <w:bookmarkEnd w:id="1283"/>
      <w:bookmarkEnd w:id="1284"/>
    </w:p>
    <w:p w:rsidR="00BA1490" w:rsidRPr="00C83DF5" w:rsidRDefault="00BA1490" w:rsidP="00BA1490">
      <w:pPr>
        <w:rPr>
          <w:lang w:val="de-DE"/>
        </w:rPr>
      </w:pPr>
    </w:p>
    <w:p w:rsidR="009E4FDD" w:rsidRPr="00C83DF5" w:rsidRDefault="00D629A3" w:rsidP="009E4FDD">
      <w:pPr>
        <w:pStyle w:val="Heading3"/>
        <w:rPr>
          <w:lang w:val="de-DE"/>
        </w:rPr>
      </w:pPr>
      <w:bookmarkStart w:id="1289" w:name="_54_Forefront_Identity"/>
      <w:bookmarkStart w:id="1290" w:name="_60_Forefront_Identity"/>
      <w:bookmarkStart w:id="1291" w:name="_59_Forefront_Identity"/>
      <w:bookmarkStart w:id="1292" w:name="_Toc336338315"/>
      <w:bookmarkStart w:id="1293" w:name="Srv_43ForefrontIdMgr2010"/>
      <w:bookmarkStart w:id="1294" w:name="Srv_48ForefrontIdMgr2010"/>
      <w:bookmarkStart w:id="1295" w:name="Srv_45ForefrontIdMgr2010"/>
      <w:bookmarkStart w:id="1296" w:name="_Toc370983427"/>
      <w:bookmarkEnd w:id="1289"/>
      <w:bookmarkEnd w:id="1290"/>
      <w:bookmarkEnd w:id="1291"/>
      <w:r w:rsidRPr="00C83DF5">
        <w:rPr>
          <w:rFonts w:ascii="Tahoma" w:hAnsi="Tahoma"/>
          <w:caps/>
          <w:color w:val="F66400"/>
          <w:sz w:val="22"/>
          <w:vertAlign w:val="superscript"/>
          <w:lang w:val="de-DE"/>
        </w:rPr>
        <w:t>59</w:t>
      </w:r>
      <w:r w:rsidRPr="00CF0F2D">
        <w:rPr>
          <w:rFonts w:ascii="Tahoma" w:hAnsi="Tahoma"/>
          <w:caps/>
          <w:color w:val="F66400"/>
          <w:sz w:val="22"/>
          <w:lang w:val="de-DE"/>
        </w:rPr>
        <w:t xml:space="preserve"> </w:t>
      </w:r>
      <w:r w:rsidRPr="00C83DF5">
        <w:rPr>
          <w:rFonts w:ascii="Tahoma" w:hAnsi="Tahoma"/>
          <w:color w:val="F66400"/>
          <w:sz w:val="22"/>
          <w:lang w:val="de-DE"/>
        </w:rPr>
        <w:t>Forefront Identity Manager 2010</w:t>
      </w:r>
      <w:bookmarkEnd w:id="1286"/>
      <w:r w:rsidRPr="00C83DF5">
        <w:rPr>
          <w:rFonts w:ascii="Tahoma" w:hAnsi="Tahoma"/>
          <w:color w:val="F66400"/>
          <w:sz w:val="22"/>
          <w:lang w:val="de-DE"/>
        </w:rPr>
        <w:t xml:space="preserve"> R2</w:t>
      </w:r>
      <w:bookmarkEnd w:id="1292"/>
      <w:bookmarkEnd w:id="1296"/>
    </w:p>
    <w:bookmarkEnd w:id="1293"/>
    <w:bookmarkEnd w:id="1294"/>
    <w:bookmarkEnd w:id="1295"/>
    <w:p w:rsidR="009E4FDD" w:rsidRPr="00C83DF5" w:rsidRDefault="009E4FDD" w:rsidP="009E4FDD">
      <w:pPr>
        <w:ind w:left="720"/>
        <w:rPr>
          <w:lang w:val="de-DE"/>
        </w:rPr>
      </w:pPr>
    </w:p>
    <w:p w:rsidR="009E4FDD" w:rsidRPr="00C83DF5" w:rsidRDefault="009E4FDD" w:rsidP="005427B6">
      <w:pPr>
        <w:spacing w:after="60"/>
        <w:ind w:left="720"/>
        <w:rPr>
          <w:lang w:val="de-DE"/>
        </w:rPr>
      </w:pPr>
      <w:r w:rsidRPr="00C83DF5">
        <w:rPr>
          <w:rFonts w:cs="Tahoma"/>
          <w:b/>
          <w:color w:val="000000"/>
          <w:szCs w:val="18"/>
          <w:lang w:val="de-DE"/>
        </w:rPr>
        <w:t>Version</w:t>
      </w:r>
    </w:p>
    <w:p w:rsidR="009E4FDD" w:rsidRPr="00C83DF5" w:rsidRDefault="009E4FDD" w:rsidP="005427B6">
      <w:pPr>
        <w:ind w:left="720"/>
        <w:rPr>
          <w:lang w:val="de-DE"/>
        </w:rPr>
      </w:pPr>
      <w:r w:rsidRPr="00C83DF5">
        <w:rPr>
          <w:rFonts w:cs="Tahoma"/>
          <w:color w:val="000000"/>
          <w:szCs w:val="18"/>
          <w:lang w:val="de-DE"/>
        </w:rPr>
        <w:t>Forefront Identity Manager 2010 R2 ist die nächste Version von Forefront Identity Manager 2010.</w:t>
      </w:r>
    </w:p>
    <w:p w:rsidR="005427B6" w:rsidRPr="00C83DF5" w:rsidRDefault="005427B6" w:rsidP="005427B6">
      <w:pPr>
        <w:rPr>
          <w:lang w:val="de-DE"/>
        </w:rPr>
      </w:pPr>
    </w:p>
    <w:p w:rsidR="005427B6" w:rsidRPr="00C83DF5" w:rsidRDefault="005427B6" w:rsidP="005427B6">
      <w:pPr>
        <w:rPr>
          <w:lang w:val="de-DE"/>
        </w:rPr>
      </w:pPr>
    </w:p>
    <w:p w:rsidR="00936C19" w:rsidRPr="00C83DF5" w:rsidRDefault="00A560B6" w:rsidP="005427B6">
      <w:pPr>
        <w:pStyle w:val="Heading2"/>
        <w:ind w:left="0"/>
      </w:pPr>
      <w:bookmarkStart w:id="1297" w:name="_55_Forefront_Identity"/>
      <w:bookmarkStart w:id="1298" w:name="_61_Forefront_Identity"/>
      <w:bookmarkStart w:id="1299" w:name="_Toc336338316"/>
      <w:bookmarkStart w:id="1300" w:name="Srv_54ForefrontIDMgrWinLiveEd"/>
      <w:bookmarkStart w:id="1301" w:name="Srv_46ForefrontOnlineProforExch"/>
      <w:bookmarkStart w:id="1302" w:name="_Toc370983428"/>
      <w:bookmarkEnd w:id="1297"/>
      <w:bookmarkEnd w:id="1298"/>
      <w:r w:rsidRPr="00C83DF5">
        <w:rPr>
          <w:rFonts w:ascii="Tahoma" w:hAnsi="Tahoma" w:cs="Tahoma"/>
          <w:caps/>
          <w:color w:val="F26200"/>
          <w:sz w:val="20"/>
          <w:vertAlign w:val="superscript"/>
        </w:rPr>
        <w:t>60</w:t>
      </w:r>
      <w:r w:rsidRPr="00C83DF5">
        <w:rPr>
          <w:rFonts w:ascii="Tahoma" w:hAnsi="Tahoma" w:cs="Tahoma"/>
          <w:color w:val="F26200"/>
        </w:rPr>
        <w:t xml:space="preserve"> </w:t>
      </w:r>
      <w:r w:rsidRPr="00C83DF5">
        <w:rPr>
          <w:rFonts w:ascii="Tahoma" w:hAnsi="Tahoma" w:cs="Tahoma"/>
          <w:color w:val="F26200"/>
          <w:sz w:val="22"/>
        </w:rPr>
        <w:t>Forefront Identity Manager 2010 – Windows Live Edition</w:t>
      </w:r>
      <w:bookmarkEnd w:id="1299"/>
      <w:bookmarkEnd w:id="1300"/>
      <w:bookmarkEnd w:id="1302"/>
    </w:p>
    <w:p w:rsidR="005427B6" w:rsidRPr="00C83DF5" w:rsidRDefault="005427B6" w:rsidP="005427B6"/>
    <w:p w:rsidR="005D346C" w:rsidRPr="00C83DF5" w:rsidRDefault="005D346C" w:rsidP="005427B6">
      <w:pPr>
        <w:spacing w:after="60"/>
        <w:ind w:left="720"/>
      </w:pPr>
      <w:r w:rsidRPr="00C83DF5">
        <w:rPr>
          <w:rFonts w:cs="Tahoma"/>
          <w:b/>
          <w:color w:val="000000"/>
          <w:szCs w:val="18"/>
        </w:rPr>
        <w:t>Version</w:t>
      </w:r>
    </w:p>
    <w:p w:rsidR="005D346C" w:rsidRPr="00C83DF5" w:rsidRDefault="005D346C" w:rsidP="00E62BC4">
      <w:pPr>
        <w:ind w:left="720"/>
      </w:pPr>
      <w:r w:rsidRPr="00C83DF5">
        <w:rPr>
          <w:color w:val="000000"/>
        </w:rPr>
        <w:t>Forefront Identity Manager 2010 – Windows Live Edition ist die nächste Version von Identity Lifecycle Manager 2007 – Windows Live Edition.</w:t>
      </w:r>
    </w:p>
    <w:p w:rsidR="005D484B" w:rsidRPr="00C83DF5" w:rsidRDefault="005D484B" w:rsidP="003C3A72"/>
    <w:p w:rsidR="007B35CE" w:rsidRPr="00C83DF5" w:rsidRDefault="007B35CE" w:rsidP="003C3A72"/>
    <w:p w:rsidR="005D484B" w:rsidRPr="00C83DF5" w:rsidRDefault="00A560B6" w:rsidP="005D484B">
      <w:pPr>
        <w:pStyle w:val="Heading3"/>
      </w:pPr>
      <w:bookmarkStart w:id="1303" w:name="_59_Forefront_Online"/>
      <w:bookmarkStart w:id="1304" w:name="_62_Forefront_Online"/>
      <w:bookmarkStart w:id="1305" w:name="_61_Forefront_Online"/>
      <w:bookmarkStart w:id="1306" w:name="_Toc336338317"/>
      <w:bookmarkStart w:id="1307" w:name="_Toc343596542"/>
      <w:bookmarkStart w:id="1308" w:name="_Toc370983429"/>
      <w:bookmarkEnd w:id="1303"/>
      <w:bookmarkEnd w:id="1304"/>
      <w:bookmarkEnd w:id="1305"/>
      <w:r w:rsidRPr="00C83DF5">
        <w:rPr>
          <w:rFonts w:ascii="Tahoma" w:hAnsi="Tahoma"/>
          <w:caps/>
          <w:color w:val="F66400"/>
          <w:sz w:val="22"/>
          <w:vertAlign w:val="superscript"/>
        </w:rPr>
        <w:t>61</w:t>
      </w:r>
      <w:r w:rsidRPr="00C83DF5">
        <w:rPr>
          <w:rFonts w:ascii="Tahoma" w:hAnsi="Tahoma"/>
          <w:color w:val="F66400"/>
          <w:sz w:val="22"/>
        </w:rPr>
        <w:t xml:space="preserve"> Forefront Online Protection für Exchange (Geräte- und Nutzer-AL)</w:t>
      </w:r>
      <w:bookmarkEnd w:id="1306"/>
      <w:bookmarkEnd w:id="1307"/>
      <w:bookmarkEnd w:id="1308"/>
    </w:p>
    <w:p w:rsidR="005D484B" w:rsidRPr="007025E3" w:rsidRDefault="005D484B" w:rsidP="002402D4">
      <w:pPr>
        <w:ind w:left="720"/>
      </w:pPr>
    </w:p>
    <w:p w:rsidR="005D484B" w:rsidRPr="00C83DF5" w:rsidRDefault="005D484B" w:rsidP="005D484B">
      <w:pPr>
        <w:spacing w:after="200" w:line="276" w:lineRule="auto"/>
        <w:ind w:left="720"/>
        <w:rPr>
          <w:lang w:val="de-DE"/>
        </w:rPr>
      </w:pPr>
      <w:r w:rsidRPr="00C83DF5">
        <w:rPr>
          <w:rFonts w:eastAsia="Calibri" w:cs="Tahoma"/>
          <w:bCs/>
          <w:color w:val="000000"/>
          <w:szCs w:val="18"/>
          <w:lang w:val="de-DE"/>
        </w:rPr>
        <w:t>Kunden mit einer Lizenz für Forefront Online Security für Exchange (bisher Exchange Hosted Filtering)</w:t>
      </w:r>
      <w:r w:rsidRPr="00C83DF5">
        <w:rPr>
          <w:rFonts w:eastAsia="Calibri" w:cs="Tahoma"/>
          <w:bCs/>
          <w:color w:val="FF0000"/>
          <w:szCs w:val="18"/>
          <w:lang w:val="de-DE"/>
        </w:rPr>
        <w:t xml:space="preserve"> </w:t>
      </w:r>
      <w:r w:rsidRPr="00C83DF5">
        <w:rPr>
          <w:rFonts w:eastAsia="Calibri" w:cs="Tahoma"/>
          <w:bCs/>
          <w:color w:val="000000"/>
          <w:szCs w:val="18"/>
          <w:lang w:val="de-DE"/>
        </w:rPr>
        <w:t>verwenden für weitere Bestellungen denselben aktiven Select-Vertrag, Konzernvertrag oder Open Value-Vertrag wie bei der Anfangsbestellung.</w:t>
      </w:r>
    </w:p>
    <w:p w:rsidR="005D484B" w:rsidRPr="00C83DF5" w:rsidRDefault="005D484B" w:rsidP="00993069">
      <w:pPr>
        <w:ind w:left="720"/>
        <w:rPr>
          <w:lang w:val="de-DE"/>
        </w:rPr>
      </w:pPr>
      <w:r w:rsidRPr="00C83DF5">
        <w:rPr>
          <w:rFonts w:cs="Tahoma"/>
          <w:bCs/>
          <w:color w:val="000000"/>
          <w:szCs w:val="18"/>
          <w:lang w:val="de-DE"/>
        </w:rPr>
        <w:t>Da dieser Onlinedienst nach Domäne bereitgestellt wird, benötigen alle Nutzer (oder Geräte) in einer Domäne Nutzer- (oder Geräte-)ALs.</w:t>
      </w:r>
      <w:r w:rsidR="00E71F46" w:rsidRPr="00C83DF5">
        <w:rPr>
          <w:rFonts w:cs="Tahoma"/>
          <w:bCs/>
          <w:color w:val="000000"/>
          <w:szCs w:val="18"/>
          <w:lang w:val="de-DE"/>
        </w:rPr>
        <w:t xml:space="preserve"> </w:t>
      </w:r>
      <w:r w:rsidRPr="00C83DF5">
        <w:rPr>
          <w:rFonts w:cs="Tahoma"/>
          <w:bCs/>
          <w:color w:val="000000"/>
          <w:szCs w:val="18"/>
          <w:lang w:val="de-DE"/>
        </w:rPr>
        <w:t>Kunden, die den Dienst für eine Untergruppe ihrer Nutzer- oder Gerätebasis anbieten möchten, können für eine gezieltere Bereitstellung Unterdomänen erstellen.</w:t>
      </w:r>
      <w:r w:rsidR="00E71F46" w:rsidRPr="00C83DF5">
        <w:rPr>
          <w:rFonts w:cs="Tahoma"/>
          <w:bCs/>
          <w:color w:val="000000"/>
          <w:szCs w:val="18"/>
          <w:lang w:val="de-DE"/>
        </w:rPr>
        <w:t xml:space="preserve"> </w:t>
      </w:r>
      <w:r w:rsidRPr="00C83DF5">
        <w:rPr>
          <w:rFonts w:cs="Tahoma"/>
          <w:bCs/>
          <w:color w:val="000000"/>
          <w:szCs w:val="18"/>
          <w:lang w:val="de-DE"/>
        </w:rPr>
        <w:t>Nur</w:t>
      </w:r>
      <w:r w:rsidR="00993069">
        <w:rPr>
          <w:rFonts w:cs="Tahoma"/>
          <w:bCs/>
          <w:color w:val="000000"/>
          <w:szCs w:val="18"/>
          <w:lang w:val="de-DE"/>
        </w:rPr>
        <w:t> </w:t>
      </w:r>
      <w:r w:rsidRPr="00C83DF5">
        <w:rPr>
          <w:rFonts w:cs="Tahoma"/>
          <w:bCs/>
          <w:color w:val="000000"/>
          <w:szCs w:val="18"/>
          <w:lang w:val="de-DE"/>
        </w:rPr>
        <w:t>die</w:t>
      </w:r>
      <w:r w:rsidR="00993069">
        <w:rPr>
          <w:rFonts w:cs="Tahoma"/>
          <w:bCs/>
          <w:color w:val="000000"/>
          <w:szCs w:val="18"/>
          <w:lang w:val="de-DE"/>
        </w:rPr>
        <w:t> </w:t>
      </w:r>
      <w:r w:rsidRPr="00C83DF5">
        <w:rPr>
          <w:rFonts w:cs="Tahoma"/>
          <w:bCs/>
          <w:color w:val="000000"/>
          <w:szCs w:val="18"/>
          <w:lang w:val="de-DE"/>
        </w:rPr>
        <w:t>Nutzer (oder Geräte) innerhalb dieser Unterdomäne benötigen Nutzer- (oder Geräte-)ALs.</w:t>
      </w:r>
    </w:p>
    <w:p w:rsidR="005D484B" w:rsidRPr="00C83DF5" w:rsidRDefault="005D484B" w:rsidP="003D234B">
      <w:pPr>
        <w:ind w:left="720"/>
        <w:rPr>
          <w:lang w:val="de-DE"/>
        </w:rPr>
      </w:pPr>
    </w:p>
    <w:p w:rsidR="005D484B" w:rsidRPr="00C83DF5" w:rsidRDefault="005D484B" w:rsidP="003C3A72">
      <w:pPr>
        <w:pStyle w:val="PlainText"/>
        <w:ind w:left="720"/>
        <w:rPr>
          <w:lang w:val="de-DE"/>
        </w:rPr>
      </w:pPr>
      <w:r w:rsidRPr="00C83DF5">
        <w:rPr>
          <w:rFonts w:ascii="Tahoma" w:hAnsi="Tahoma" w:cs="Tahoma"/>
          <w:bCs/>
          <w:color w:val="000000"/>
          <w:sz w:val="18"/>
          <w:szCs w:val="20"/>
          <w:lang w:val="de-DE"/>
        </w:rPr>
        <w:t xml:space="preserve">Preise und Zahlungsbestimmungen für Onlinedienste finden Sie in </w:t>
      </w:r>
      <w:hyperlink w:anchor="_Section_10_–" w:history="1">
        <w:r w:rsidRPr="00C83DF5">
          <w:rPr>
            <w:rStyle w:val="Hyperlink"/>
            <w:rFonts w:ascii="Tahoma" w:hAnsi="Tahoma" w:cs="Tahoma"/>
            <w:sz w:val="18"/>
            <w:lang w:val="de-DE"/>
          </w:rPr>
          <w:t>Abschnitt 10</w:t>
        </w:r>
      </w:hyperlink>
      <w:r w:rsidRPr="00C83DF5">
        <w:rPr>
          <w:rFonts w:ascii="Tahoma" w:hAnsi="Tahoma" w:cs="Tahoma"/>
          <w:bCs/>
          <w:color w:val="000000"/>
          <w:sz w:val="18"/>
          <w:szCs w:val="20"/>
          <w:lang w:val="de-DE"/>
        </w:rPr>
        <w:t xml:space="preserve">. </w:t>
      </w:r>
    </w:p>
    <w:p w:rsidR="005D346C" w:rsidRPr="00C83DF5" w:rsidRDefault="005D346C" w:rsidP="003D234B">
      <w:pPr>
        <w:ind w:left="720"/>
        <w:rPr>
          <w:lang w:val="de-DE"/>
        </w:rPr>
      </w:pPr>
    </w:p>
    <w:p w:rsidR="00BF1889" w:rsidRDefault="00BF1889" w:rsidP="003D234B">
      <w:pPr>
        <w:ind w:left="720"/>
        <w:rPr>
          <w:lang w:val="de-DE"/>
        </w:rPr>
      </w:pPr>
      <w:bookmarkStart w:id="1309" w:name="Srv_47ForefrontProforExcSvrandShare"/>
      <w:bookmarkEnd w:id="1287"/>
      <w:bookmarkEnd w:id="1288"/>
      <w:bookmarkEnd w:id="1301"/>
    </w:p>
    <w:p w:rsidR="00A05829" w:rsidRDefault="00A05829" w:rsidP="003D234B">
      <w:pPr>
        <w:ind w:left="720"/>
        <w:rPr>
          <w:lang w:val="de-DE"/>
        </w:rPr>
      </w:pPr>
    </w:p>
    <w:p w:rsidR="00A05829" w:rsidRPr="00C83DF5" w:rsidRDefault="00A05829" w:rsidP="003D234B">
      <w:pPr>
        <w:ind w:left="720"/>
        <w:rPr>
          <w:lang w:val="de-DE"/>
        </w:rPr>
      </w:pPr>
    </w:p>
    <w:p w:rsidR="00273685" w:rsidRPr="00C83DF5" w:rsidRDefault="00A560B6" w:rsidP="00A05829">
      <w:pPr>
        <w:pStyle w:val="Heading3"/>
        <w:ind w:left="252" w:hanging="252"/>
        <w:rPr>
          <w:lang w:val="de-DE"/>
        </w:rPr>
      </w:pPr>
      <w:bookmarkStart w:id="1310" w:name="_54_Forefront_Protection"/>
      <w:bookmarkStart w:id="1311" w:name="_55_Forefront_Protection"/>
      <w:bookmarkStart w:id="1312" w:name="_60_Forefront_Protection"/>
      <w:bookmarkStart w:id="1313" w:name="_63_Forefront_Protection"/>
      <w:bookmarkStart w:id="1314" w:name="_62_Forefront_Protection"/>
      <w:bookmarkStart w:id="1315" w:name="_Toc336338318"/>
      <w:bookmarkStart w:id="1316" w:name="Srv_44ForefrontSecforExcSharep"/>
      <w:bookmarkStart w:id="1317" w:name="Srv_45ForefrontSecforExcSharep"/>
      <w:bookmarkStart w:id="1318" w:name="Srv_48ForefrontProtectionSuite"/>
      <w:bookmarkStart w:id="1319" w:name="_Toc370983430"/>
      <w:bookmarkEnd w:id="1309"/>
      <w:bookmarkEnd w:id="1310"/>
      <w:bookmarkEnd w:id="1311"/>
      <w:bookmarkEnd w:id="1312"/>
      <w:bookmarkEnd w:id="1313"/>
      <w:bookmarkEnd w:id="1314"/>
      <w:r w:rsidRPr="00C83DF5">
        <w:rPr>
          <w:rFonts w:ascii="Tahoma" w:hAnsi="Tahoma"/>
          <w:caps/>
          <w:color w:val="F66400"/>
          <w:sz w:val="22"/>
          <w:vertAlign w:val="superscript"/>
          <w:lang w:val="de-DE"/>
        </w:rPr>
        <w:lastRenderedPageBreak/>
        <w:t>62</w:t>
      </w:r>
      <w:r w:rsidRPr="00C83DF5">
        <w:rPr>
          <w:rFonts w:ascii="Tahoma" w:hAnsi="Tahoma"/>
          <w:color w:val="F66400"/>
          <w:sz w:val="22"/>
          <w:lang w:val="de-DE"/>
        </w:rPr>
        <w:t xml:space="preserve"> Forefront Protection 2010 für Exchange Server (Geräte- und Nutzer-AL), Forefront</w:t>
      </w:r>
      <w:r w:rsidR="00A05829">
        <w:rPr>
          <w:rFonts w:ascii="Tahoma" w:hAnsi="Tahoma"/>
          <w:color w:val="F66400"/>
          <w:sz w:val="22"/>
          <w:lang w:val="de-DE"/>
        </w:rPr>
        <w:t> </w:t>
      </w:r>
      <w:r w:rsidRPr="00C83DF5">
        <w:rPr>
          <w:rFonts w:ascii="Tahoma" w:hAnsi="Tahoma"/>
          <w:color w:val="F66400"/>
          <w:sz w:val="22"/>
          <w:lang w:val="de-DE"/>
        </w:rPr>
        <w:t>Protection 2010 for SharePoint (Geräte- und Nutzer-AL)</w:t>
      </w:r>
      <w:bookmarkEnd w:id="1315"/>
      <w:r w:rsidRPr="00C83DF5">
        <w:rPr>
          <w:rFonts w:ascii="Tahoma" w:hAnsi="Tahoma"/>
          <w:color w:val="F66400"/>
          <w:sz w:val="22"/>
          <w:lang w:val="de-DE"/>
        </w:rPr>
        <w:t xml:space="preserve"> und Forefront</w:t>
      </w:r>
      <w:r w:rsidR="00A05829">
        <w:rPr>
          <w:rFonts w:ascii="Tahoma" w:hAnsi="Tahoma"/>
          <w:color w:val="F66400"/>
          <w:sz w:val="22"/>
          <w:lang w:val="de-DE"/>
        </w:rPr>
        <w:t> </w:t>
      </w:r>
      <w:r w:rsidRPr="00C83DF5">
        <w:rPr>
          <w:rFonts w:ascii="Tahoma" w:hAnsi="Tahoma"/>
          <w:color w:val="F66400"/>
          <w:sz w:val="22"/>
          <w:lang w:val="de-DE"/>
        </w:rPr>
        <w:t>Protection 2010 for Internet Sites (Add-On-AL)</w:t>
      </w:r>
      <w:bookmarkEnd w:id="1319"/>
    </w:p>
    <w:bookmarkEnd w:id="1316"/>
    <w:bookmarkEnd w:id="1317"/>
    <w:p w:rsidR="00273685" w:rsidRPr="00C83DF5" w:rsidRDefault="00273685" w:rsidP="00273685">
      <w:pPr>
        <w:ind w:left="720"/>
        <w:rPr>
          <w:lang w:val="de-DE"/>
        </w:rPr>
      </w:pPr>
    </w:p>
    <w:p w:rsidR="00273685" w:rsidRPr="00C83DF5" w:rsidRDefault="00273685" w:rsidP="00273685">
      <w:pPr>
        <w:ind w:left="720"/>
        <w:rPr>
          <w:lang w:val="de-DE"/>
        </w:rPr>
      </w:pPr>
      <w:r w:rsidRPr="00C83DF5">
        <w:rPr>
          <w:rFonts w:cs="Tahoma"/>
          <w:bCs/>
          <w:color w:val="000000"/>
          <w:szCs w:val="18"/>
          <w:lang w:val="de-DE"/>
        </w:rPr>
        <w:t>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w:t>
      </w:r>
      <w:r w:rsidR="00E71F46" w:rsidRPr="00C83DF5">
        <w:rPr>
          <w:rFonts w:cs="Tahoma"/>
          <w:bCs/>
          <w:color w:val="000000"/>
          <w:szCs w:val="18"/>
          <w:lang w:val="de-DE"/>
        </w:rPr>
        <w:t xml:space="preserve"> </w:t>
      </w:r>
      <w:r w:rsidRPr="00C83DF5">
        <w:rPr>
          <w:lang w:val="de-DE"/>
        </w:rPr>
        <w:t>Bestehende Kunden sind außerdem berechtigt, neue Nutzer nach Bedarf hinzuzufügen, ohne zusätzliche Nutzer-Abonnementlizenzen bestellen zu müssen.</w:t>
      </w:r>
      <w:r w:rsidR="00E71F46" w:rsidRPr="00C83DF5">
        <w:rPr>
          <w:lang w:val="de-DE"/>
        </w:rPr>
        <w:t xml:space="preserve"> </w:t>
      </w:r>
      <w:r w:rsidRPr="00C83DF5">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rsidR="00273685" w:rsidRPr="00C83DF5" w:rsidRDefault="00273685" w:rsidP="00273685">
      <w:pPr>
        <w:ind w:left="720"/>
        <w:rPr>
          <w:lang w:val="de-DE"/>
        </w:rPr>
      </w:pPr>
    </w:p>
    <w:p w:rsidR="00273685" w:rsidRPr="00C83DF5" w:rsidRDefault="00273685" w:rsidP="001760D6">
      <w:pPr>
        <w:keepNext/>
        <w:spacing w:after="60"/>
        <w:ind w:left="720"/>
        <w:rPr>
          <w:lang w:val="de-DE"/>
        </w:rPr>
      </w:pPr>
      <w:r w:rsidRPr="00C83DF5">
        <w:rPr>
          <w:rFonts w:cs="Tahoma"/>
          <w:b/>
          <w:szCs w:val="20"/>
          <w:lang w:val="de-DE"/>
        </w:rPr>
        <w:t>Migrationsrecht für Forefront Protection 2010 für Exchange Server</w:t>
      </w:r>
    </w:p>
    <w:p w:rsidR="00273685" w:rsidRPr="00C83DF5" w:rsidRDefault="00273685" w:rsidP="00221A57">
      <w:pPr>
        <w:ind w:left="720"/>
        <w:rPr>
          <w:lang w:val="de-DE"/>
        </w:rPr>
      </w:pPr>
      <w:r w:rsidRPr="00C83DF5">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E71F46" w:rsidRPr="00C83DF5">
        <w:rPr>
          <w:rFonts w:cs="Tahoma"/>
          <w:color w:val="000000"/>
          <w:szCs w:val="20"/>
          <w:lang w:val="de-DE"/>
        </w:rPr>
        <w:t xml:space="preserve"> </w:t>
      </w:r>
      <w:r w:rsidRPr="00C83DF5">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273685" w:rsidRPr="00C83DF5" w:rsidRDefault="00273685" w:rsidP="00221A57">
      <w:pPr>
        <w:ind w:left="720"/>
        <w:rPr>
          <w:lang w:val="de-DE"/>
        </w:rPr>
      </w:pPr>
    </w:p>
    <w:p w:rsidR="00273685" w:rsidRPr="00C83DF5" w:rsidRDefault="00273685" w:rsidP="004F3D03">
      <w:pPr>
        <w:ind w:left="720"/>
        <w:rPr>
          <w:lang w:val="de-DE"/>
        </w:rPr>
      </w:pPr>
      <w:r w:rsidRPr="00C83DF5">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E71F46" w:rsidRPr="00C83DF5">
        <w:rPr>
          <w:rFonts w:cs="Tahoma"/>
          <w:color w:val="000000"/>
          <w:szCs w:val="20"/>
          <w:lang w:val="de-DE"/>
        </w:rPr>
        <w:t xml:space="preserve"> </w:t>
      </w:r>
      <w:r w:rsidRPr="00C83DF5">
        <w:rPr>
          <w:rFonts w:cs="Tahoma"/>
          <w:color w:val="000000"/>
          <w:szCs w:val="20"/>
          <w:lang w:val="de-DE"/>
        </w:rPr>
        <w:t>Beispielsweise ist es Kunden, die eine Lizenz für Antigen for Exchange erwerben, nicht gestattet, Antigen für SMTP Gateways oder Antigen Spam Manager im Rahmen ihrer Lizenz</w:t>
      </w:r>
      <w:r w:rsidR="004F3D03">
        <w:rPr>
          <w:rFonts w:cs="Tahoma"/>
          <w:color w:val="000000"/>
          <w:szCs w:val="20"/>
          <w:lang w:val="de-DE"/>
        </w:rPr>
        <w:t> </w:t>
      </w:r>
      <w:r w:rsidRPr="00C83DF5">
        <w:rPr>
          <w:rFonts w:cs="Tahoma"/>
          <w:color w:val="000000"/>
          <w:szCs w:val="20"/>
          <w:lang w:val="de-DE"/>
        </w:rPr>
        <w:t>für Antigen für Exchange zu nutzen, die ihnen das Recht gibt, zu Forefront Protection 2010 für Exchange Server zu migrieren.</w:t>
      </w:r>
      <w:r w:rsidR="00E71F46" w:rsidRPr="00C83DF5">
        <w:rPr>
          <w:rFonts w:cs="Tahoma"/>
          <w:color w:val="000000"/>
          <w:szCs w:val="20"/>
          <w:lang w:val="de-DE"/>
        </w:rPr>
        <w:t xml:space="preserve"> </w:t>
      </w:r>
    </w:p>
    <w:p w:rsidR="00D57009" w:rsidRPr="007025E3" w:rsidRDefault="00D57009">
      <w:pPr>
        <w:rPr>
          <w:rFonts w:cs="Tahoma"/>
          <w:b/>
          <w:szCs w:val="20"/>
          <w:lang w:val="de-DE"/>
        </w:rPr>
      </w:pPr>
    </w:p>
    <w:p w:rsidR="00273685" w:rsidRPr="00C83DF5" w:rsidRDefault="00273685" w:rsidP="007B35CE">
      <w:pPr>
        <w:keepNext/>
        <w:spacing w:after="60"/>
        <w:ind w:left="720"/>
      </w:pPr>
      <w:r w:rsidRPr="00C83DF5">
        <w:rPr>
          <w:rFonts w:cs="Tahoma"/>
          <w:b/>
          <w:szCs w:val="20"/>
        </w:rPr>
        <w:t>Downgraderecht für Forefront Security for SharePoint</w:t>
      </w:r>
    </w:p>
    <w:p w:rsidR="00273685" w:rsidRPr="00C83DF5" w:rsidRDefault="00273685" w:rsidP="00221A57">
      <w:pPr>
        <w:ind w:left="720"/>
        <w:rPr>
          <w:lang w:val="de-DE"/>
        </w:rPr>
      </w:pPr>
      <w:r w:rsidRPr="00C83DF5">
        <w:rPr>
          <w:rFonts w:cs="Tahoma"/>
          <w:szCs w:val="20"/>
          <w:lang w:val="de-DE"/>
        </w:rPr>
        <w:t>Kunden mit Volumenlizenzverträgen, die eine Lizenz für Forefront Protection 2010 for SharePoint erworben haben, sind berechtigt, ein Downgrade durchzuführen und statt diesem Produkt Antigen für SharePoint zu verwenden.</w:t>
      </w:r>
      <w:r w:rsidR="00E71F46" w:rsidRPr="00C83DF5">
        <w:rPr>
          <w:rFonts w:cs="Tahoma"/>
          <w:szCs w:val="20"/>
          <w:lang w:val="de-DE"/>
        </w:rPr>
        <w:t xml:space="preserve"> </w:t>
      </w:r>
      <w:r w:rsidRPr="00C83DF5">
        <w:rPr>
          <w:rFonts w:cs="Tahoma"/>
          <w:szCs w:val="20"/>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273685" w:rsidRPr="00C83DF5" w:rsidRDefault="00273685" w:rsidP="00221A57">
      <w:pPr>
        <w:ind w:left="720"/>
        <w:rPr>
          <w:lang w:val="de-DE"/>
        </w:rPr>
      </w:pPr>
    </w:p>
    <w:p w:rsidR="00273685" w:rsidRPr="00C83DF5" w:rsidRDefault="00273685" w:rsidP="00221A57">
      <w:pPr>
        <w:ind w:left="720"/>
        <w:rPr>
          <w:lang w:val="de-DE"/>
        </w:rPr>
      </w:pPr>
      <w:r w:rsidRPr="00C83DF5">
        <w:rPr>
          <w:rFonts w:cs="Tahoma"/>
          <w:bCs/>
          <w:color w:val="000000"/>
          <w:szCs w:val="20"/>
          <w:lang w:val="de-DE"/>
        </w:rPr>
        <w:t>Alle Nutzer (oder Geräte), die auf einen geschützten Server zugreifen, benötigen Nutzer- (oder Geräte-)</w:t>
      </w:r>
      <w:r w:rsidR="004F3D03">
        <w:rPr>
          <w:rFonts w:cs="Tahoma"/>
          <w:bCs/>
          <w:color w:val="000000"/>
          <w:szCs w:val="20"/>
          <w:lang w:val="de-DE"/>
        </w:rPr>
        <w:t xml:space="preserve"> </w:t>
      </w:r>
      <w:r w:rsidRPr="00C83DF5">
        <w:rPr>
          <w:rFonts w:cs="Tahoma"/>
          <w:bCs/>
          <w:color w:val="000000"/>
          <w:szCs w:val="20"/>
          <w:lang w:val="de-DE"/>
        </w:rPr>
        <w:t>ALs, außer die Lizenz läuft über den externen Connector für Forefront für Exchange oder die Add-On-ALs für Forefront Security for SharePoint for Internet Sites.</w:t>
      </w:r>
    </w:p>
    <w:p w:rsidR="00273685" w:rsidRPr="00C83DF5" w:rsidRDefault="00273685" w:rsidP="004F3D03">
      <w:pPr>
        <w:ind w:left="720"/>
        <w:rPr>
          <w:lang w:val="de-DE"/>
        </w:rPr>
      </w:pPr>
    </w:p>
    <w:p w:rsidR="00023FE7" w:rsidRPr="00C83DF5" w:rsidRDefault="00273685" w:rsidP="00221A57">
      <w:pPr>
        <w:pStyle w:val="EndnoteText"/>
        <w:ind w:left="720"/>
        <w:rPr>
          <w:lang w:val="de-DE"/>
        </w:rPr>
      </w:pPr>
      <w:r w:rsidRPr="00C83DF5">
        <w:rPr>
          <w:rFonts w:ascii="Tahoma" w:hAnsi="Tahoma" w:cs="Tahoma"/>
          <w:bCs/>
          <w:color w:val="000000"/>
          <w:sz w:val="18"/>
          <w:szCs w:val="20"/>
          <w:lang w:val="de-DE"/>
        </w:rPr>
        <w:t>Preise und Zahlungsbestimmungen für Onlinedienste finden Sie in</w:t>
      </w:r>
      <w:hyperlink w:anchor="_Abschnitt_10_–" w:history="1">
        <w:r w:rsidRPr="00F214B1">
          <w:rPr>
            <w:rStyle w:val="Hyperlink"/>
            <w:rFonts w:ascii="Tahoma" w:hAnsi="Tahoma" w:cs="Tahoma"/>
            <w:sz w:val="18"/>
            <w:u w:val="none"/>
            <w:lang w:val="de-DE"/>
          </w:rPr>
          <w:t xml:space="preserve"> </w:t>
        </w:r>
        <w:r w:rsidRPr="00C83DF5">
          <w:rPr>
            <w:rStyle w:val="Hyperlink"/>
            <w:rFonts w:ascii="Tahoma" w:hAnsi="Tahoma" w:cs="Tahoma"/>
            <w:sz w:val="18"/>
            <w:lang w:val="de-DE"/>
          </w:rPr>
          <w:t>Abschnitt 10</w:t>
        </w:r>
      </w:hyperlink>
      <w:r w:rsidRPr="00C83DF5">
        <w:rPr>
          <w:rFonts w:ascii="Tahoma" w:hAnsi="Tahoma" w:cs="Tahoma"/>
          <w:bCs/>
          <w:color w:val="000000"/>
          <w:sz w:val="18"/>
          <w:szCs w:val="20"/>
          <w:lang w:val="de-DE"/>
        </w:rPr>
        <w:t>.</w:t>
      </w:r>
    </w:p>
    <w:p w:rsidR="00273685" w:rsidRPr="00C83DF5" w:rsidRDefault="00273685" w:rsidP="004F3D03">
      <w:pPr>
        <w:ind w:left="720"/>
        <w:rPr>
          <w:lang w:val="de-DE"/>
        </w:rPr>
      </w:pPr>
    </w:p>
    <w:p w:rsidR="00586FCE" w:rsidRPr="00C83DF5" w:rsidRDefault="00586FCE" w:rsidP="004F3D03">
      <w:pPr>
        <w:ind w:left="720"/>
        <w:rPr>
          <w:lang w:val="de-DE"/>
        </w:rPr>
      </w:pPr>
    </w:p>
    <w:p w:rsidR="00796FF5" w:rsidRPr="00C83DF5" w:rsidRDefault="00A560B6" w:rsidP="00796FF5">
      <w:pPr>
        <w:pStyle w:val="Heading3"/>
        <w:rPr>
          <w:lang w:val="de-DE"/>
        </w:rPr>
      </w:pPr>
      <w:bookmarkStart w:id="1320" w:name="_61_Forefront_Protection"/>
      <w:bookmarkStart w:id="1321" w:name="_64_Forefront_Protection"/>
      <w:bookmarkStart w:id="1322" w:name="_Toc336338319"/>
      <w:bookmarkStart w:id="1323" w:name="Srv_45ForefrontSecfoOffComm"/>
      <w:bookmarkStart w:id="1324" w:name="Srv_46ForefrontSecfoOffComm"/>
      <w:bookmarkStart w:id="1325" w:name="_Toc370983431"/>
      <w:bookmarkEnd w:id="1320"/>
      <w:bookmarkEnd w:id="1321"/>
      <w:r w:rsidRPr="00C83DF5">
        <w:rPr>
          <w:rFonts w:ascii="Tahoma" w:hAnsi="Tahoma"/>
          <w:caps/>
          <w:color w:val="F66400"/>
          <w:sz w:val="22"/>
          <w:vertAlign w:val="superscript"/>
          <w:lang w:val="de-DE"/>
        </w:rPr>
        <w:t>63</w:t>
      </w:r>
      <w:r w:rsidRPr="00C83DF5">
        <w:rPr>
          <w:rFonts w:ascii="Tahoma" w:hAnsi="Tahoma"/>
          <w:color w:val="F66400"/>
          <w:sz w:val="22"/>
          <w:lang w:val="de-DE"/>
        </w:rPr>
        <w:t xml:space="preserve"> Forefront Protection Suite (Gerät &amp; Nutzer)</w:t>
      </w:r>
      <w:bookmarkEnd w:id="1322"/>
      <w:bookmarkEnd w:id="1325"/>
    </w:p>
    <w:bookmarkEnd w:id="1318"/>
    <w:p w:rsidR="00796FF5" w:rsidRPr="00C83DF5" w:rsidRDefault="00796FF5" w:rsidP="00796FF5">
      <w:pPr>
        <w:rPr>
          <w:lang w:val="de-DE"/>
        </w:rPr>
      </w:pPr>
    </w:p>
    <w:p w:rsidR="009115D6" w:rsidRPr="00C83DF5" w:rsidRDefault="009115D6" w:rsidP="00F214B1">
      <w:pPr>
        <w:ind w:left="720"/>
        <w:rPr>
          <w:lang w:val="de-DE"/>
        </w:rPr>
      </w:pPr>
      <w:r w:rsidRPr="00C83DF5">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00E71F46" w:rsidRPr="00C83DF5">
        <w:rPr>
          <w:rFonts w:cs="Tahoma"/>
          <w:bCs/>
          <w:color w:val="000000"/>
          <w:szCs w:val="18"/>
          <w:lang w:val="de-DE"/>
        </w:rPr>
        <w:t xml:space="preserve"> </w:t>
      </w:r>
      <w:r w:rsidRPr="00C83DF5">
        <w:rPr>
          <w:rFonts w:cs="Tahoma"/>
          <w:bCs/>
          <w:color w:val="000000"/>
          <w:szCs w:val="18"/>
          <w:lang w:val="de-DE"/>
        </w:rPr>
        <w:t>Diese Kunden sind außerdem berechtigt, die</w:t>
      </w:r>
      <w:r w:rsidR="00F214B1">
        <w:rPr>
          <w:rFonts w:cs="Tahoma"/>
          <w:bCs/>
          <w:color w:val="000000"/>
          <w:szCs w:val="18"/>
          <w:lang w:val="de-DE"/>
        </w:rPr>
        <w:t> </w:t>
      </w:r>
      <w:r w:rsidRPr="00C83DF5">
        <w:rPr>
          <w:rFonts w:cs="Tahoma"/>
          <w:bCs/>
          <w:color w:val="000000"/>
          <w:szCs w:val="18"/>
          <w:lang w:val="de-DE"/>
        </w:rPr>
        <w:t xml:space="preserve">Komponenten </w:t>
      </w:r>
      <w:r w:rsidRPr="00C83DF5">
        <w:rPr>
          <w:rFonts w:cs="Tahoma"/>
          <w:color w:val="000000"/>
          <w:szCs w:val="20"/>
          <w:lang w:val="de-DE"/>
        </w:rPr>
        <w:t xml:space="preserve">Forefront Security für Office Communications Server, Forefront Protection 2010 für Exchange Server, Forefront Threat Management Gateway Web Protection Service und Forefront Protection 2010 für SharePoint Server </w:t>
      </w:r>
      <w:r w:rsidRPr="00C83DF5">
        <w:rPr>
          <w:rFonts w:cs="Tahoma"/>
          <w:bCs/>
          <w:color w:val="000000"/>
          <w:szCs w:val="18"/>
          <w:lang w:val="de-DE"/>
        </w:rPr>
        <w:t xml:space="preserve">der Suite weiterhin bis zum 31. Dezember 2015 zu verwenden. </w:t>
      </w:r>
      <w:r w:rsidRPr="00C83DF5">
        <w:rPr>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w:t>
      </w:r>
      <w:r w:rsidRPr="00C83DF5">
        <w:rPr>
          <w:rFonts w:cs="Tahoma"/>
          <w:bCs/>
          <w:szCs w:val="18"/>
          <w:lang w:val="de-DE"/>
        </w:rPr>
        <w:t xml:space="preserve"> </w:t>
      </w:r>
      <w:r w:rsidRPr="00C83DF5">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rsidR="009115D6" w:rsidRPr="00C83DF5" w:rsidRDefault="009115D6" w:rsidP="00796FF5">
      <w:pPr>
        <w:ind w:left="720"/>
        <w:rPr>
          <w:lang w:val="de-DE"/>
        </w:rPr>
      </w:pPr>
    </w:p>
    <w:p w:rsidR="00796FF5" w:rsidRPr="00C83DF5" w:rsidRDefault="00796FF5" w:rsidP="007710B7">
      <w:pPr>
        <w:ind w:left="720"/>
        <w:rPr>
          <w:lang w:val="de-DE"/>
        </w:rPr>
      </w:pPr>
      <w:r w:rsidRPr="00C83DF5">
        <w:rPr>
          <w:rFonts w:cs="Tahoma"/>
          <w:color w:val="000000"/>
          <w:szCs w:val="20"/>
          <w:lang w:val="de-DE"/>
        </w:rPr>
        <w:lastRenderedPageBreak/>
        <w:t>Das Forefront Protection Suite-Abonnement umfasst die folgenden Onlinedienste: Forefront Endpoint Protection, Forefront für Office Communications Server (bisher Antigen für Instant Messaging), Forefront</w:t>
      </w:r>
      <w:r w:rsidR="007710B7">
        <w:rPr>
          <w:rFonts w:cs="Tahoma"/>
          <w:color w:val="000000"/>
          <w:szCs w:val="20"/>
          <w:lang w:val="de-DE"/>
        </w:rPr>
        <w:t> </w:t>
      </w:r>
      <w:r w:rsidRPr="00C83DF5">
        <w:rPr>
          <w:rFonts w:cs="Tahoma"/>
          <w:color w:val="000000"/>
          <w:szCs w:val="20"/>
          <w:lang w:val="de-DE"/>
        </w:rPr>
        <w:t>Online Protection für Exchange (bisher Exchange Hosted Filtering), Forefront Protection 2010 für</w:t>
      </w:r>
      <w:r w:rsidR="007710B7">
        <w:rPr>
          <w:rFonts w:cs="Tahoma"/>
          <w:color w:val="000000"/>
          <w:szCs w:val="20"/>
          <w:lang w:val="de-DE"/>
        </w:rPr>
        <w:t> </w:t>
      </w:r>
      <w:r w:rsidRPr="00C83DF5">
        <w:rPr>
          <w:rFonts w:cs="Tahoma"/>
          <w:color w:val="000000"/>
          <w:szCs w:val="20"/>
          <w:lang w:val="de-DE"/>
        </w:rPr>
        <w:t xml:space="preserve">Exchange Server, Forefront Threat Management Gateway Web Protection Service und Forefront Protection 2010 for SharePoint Server. </w:t>
      </w:r>
    </w:p>
    <w:p w:rsidR="00796FF5" w:rsidRPr="00C83DF5" w:rsidRDefault="00796FF5" w:rsidP="00796FF5">
      <w:pPr>
        <w:ind w:left="720"/>
        <w:rPr>
          <w:lang w:val="de-DE"/>
        </w:rPr>
      </w:pPr>
    </w:p>
    <w:p w:rsidR="006E5A58" w:rsidRPr="00C83DF5" w:rsidRDefault="00796FF5" w:rsidP="00221A57">
      <w:pPr>
        <w:ind w:left="720"/>
        <w:rPr>
          <w:lang w:val="de-DE"/>
        </w:rPr>
      </w:pPr>
      <w:r w:rsidRPr="00C83DF5">
        <w:rPr>
          <w:rFonts w:cs="Tahoma"/>
          <w:bCs/>
          <w:color w:val="000000"/>
          <w:szCs w:val="20"/>
          <w:lang w:val="de-DE"/>
        </w:rPr>
        <w:t xml:space="preserve">Preise und Zahlungsbestimmungen für Onlinedienste finden Sie in </w:t>
      </w:r>
      <w:r w:rsidRPr="005A7FEE">
        <w:rPr>
          <w:lang w:val="de-DE"/>
        </w:rPr>
        <w:t>Abschnitt 5</w:t>
      </w:r>
      <w:r w:rsidRPr="00C83DF5">
        <w:rPr>
          <w:rFonts w:cs="Tahoma"/>
          <w:bCs/>
          <w:color w:val="000000"/>
          <w:szCs w:val="20"/>
          <w:lang w:val="de-DE"/>
        </w:rPr>
        <w:t xml:space="preserve">. </w:t>
      </w:r>
    </w:p>
    <w:p w:rsidR="00796FF5" w:rsidRPr="00C83DF5" w:rsidRDefault="00796FF5" w:rsidP="00221A57">
      <w:pPr>
        <w:rPr>
          <w:lang w:val="de-DE"/>
        </w:rPr>
      </w:pPr>
    </w:p>
    <w:p w:rsidR="009C2B6B" w:rsidRPr="00C83DF5" w:rsidRDefault="009C2B6B" w:rsidP="00221A57">
      <w:pPr>
        <w:rPr>
          <w:lang w:val="de-DE"/>
        </w:rPr>
      </w:pPr>
    </w:p>
    <w:p w:rsidR="00023FE7" w:rsidRPr="00C83DF5" w:rsidRDefault="00A560B6">
      <w:pPr>
        <w:pStyle w:val="Heading3"/>
      </w:pPr>
      <w:bookmarkStart w:id="1326" w:name="_65_Forefront_Security"/>
      <w:bookmarkStart w:id="1327" w:name="_64_Forefront_Security"/>
      <w:bookmarkStart w:id="1328" w:name="_Toc336338320"/>
      <w:bookmarkStart w:id="1329" w:name="Srv_49ForefrontSecfoOffComm"/>
      <w:bookmarkStart w:id="1330" w:name="_Toc370983432"/>
      <w:bookmarkEnd w:id="1326"/>
      <w:bookmarkEnd w:id="1327"/>
      <w:r w:rsidRPr="00C83DF5">
        <w:rPr>
          <w:rFonts w:ascii="Tahoma" w:hAnsi="Tahoma"/>
          <w:caps/>
          <w:color w:val="F66400"/>
          <w:sz w:val="22"/>
          <w:vertAlign w:val="superscript"/>
        </w:rPr>
        <w:t>64</w:t>
      </w:r>
      <w:r w:rsidRPr="007710B7">
        <w:rPr>
          <w:rFonts w:ascii="Tahoma" w:hAnsi="Tahoma"/>
          <w:caps/>
          <w:color w:val="F66400"/>
          <w:sz w:val="22"/>
        </w:rPr>
        <w:t xml:space="preserve"> </w:t>
      </w:r>
      <w:r w:rsidRPr="00C83DF5">
        <w:rPr>
          <w:rFonts w:ascii="Tahoma" w:hAnsi="Tahoma"/>
          <w:color w:val="F66400"/>
          <w:sz w:val="22"/>
        </w:rPr>
        <w:t>Forefront Security for Office Communications Server (Nutzer- und Geräte-AL)</w:t>
      </w:r>
      <w:bookmarkEnd w:id="1328"/>
      <w:bookmarkEnd w:id="1330"/>
    </w:p>
    <w:bookmarkEnd w:id="1329"/>
    <w:p w:rsidR="00023FE7" w:rsidRPr="00C83DF5" w:rsidRDefault="00023FE7">
      <w:pPr>
        <w:pStyle w:val="EndnoteText"/>
        <w:ind w:left="0"/>
      </w:pPr>
    </w:p>
    <w:bookmarkEnd w:id="1323"/>
    <w:bookmarkEnd w:id="1324"/>
    <w:p w:rsidR="009115D6" w:rsidRPr="00C83DF5" w:rsidRDefault="009115D6" w:rsidP="009115D6">
      <w:pPr>
        <w:ind w:left="720"/>
        <w:rPr>
          <w:lang w:val="de-DE"/>
        </w:rPr>
      </w:pPr>
      <w:r w:rsidRPr="00C83DF5">
        <w:rPr>
          <w:rFonts w:cs="Tahoma"/>
          <w:bCs/>
          <w:color w:val="000000"/>
          <w:szCs w:val="18"/>
        </w:rPr>
        <w:t xml:space="preserve">Forefront Security for Office Communications Server ist ab dem 1. </w:t>
      </w:r>
      <w:r w:rsidRPr="00C83DF5">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C83DF5">
        <w:rPr>
          <w:lang w:val="de-DE"/>
        </w:rPr>
        <w:t>Bestehende Kunden sind außerdem berechtigt, neue Nutzer nach Bedarf hinzuzufügen, ohne zusätzliche Nutzer-Abonnementlizenzen bestellen zu müssen.</w:t>
      </w:r>
      <w:r w:rsidR="00E71F46" w:rsidRPr="00C83DF5">
        <w:rPr>
          <w:lang w:val="de-DE"/>
        </w:rPr>
        <w:t xml:space="preserve"> </w:t>
      </w:r>
      <w:r w:rsidRPr="00C83DF5">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9115D6" w:rsidRPr="00C83DF5" w:rsidRDefault="009115D6" w:rsidP="009115D6">
      <w:pPr>
        <w:ind w:left="720"/>
        <w:rPr>
          <w:lang w:val="de-DE"/>
        </w:rPr>
      </w:pPr>
    </w:p>
    <w:p w:rsidR="00023FE7" w:rsidRPr="00C83DF5" w:rsidRDefault="00023FE7" w:rsidP="00E62BC4">
      <w:pPr>
        <w:pStyle w:val="EndnoteText"/>
        <w:ind w:left="720"/>
        <w:rPr>
          <w:lang w:val="de-DE"/>
        </w:rPr>
      </w:pPr>
      <w:r w:rsidRPr="00C83DF5">
        <w:rPr>
          <w:rFonts w:ascii="Tahoma" w:hAnsi="Tahoma" w:cs="Tahoma"/>
          <w:bCs/>
          <w:color w:val="000000"/>
          <w:sz w:val="18"/>
          <w:szCs w:val="20"/>
          <w:lang w:val="de-DE"/>
        </w:rPr>
        <w:t>Alle Nutzer (oder Geräte), die auf einen geschützten Server zugreifen, benötigen Nutzer- (oder Geräte-)</w:t>
      </w:r>
      <w:r w:rsidR="007710B7">
        <w:rPr>
          <w:rFonts w:ascii="Tahoma" w:hAnsi="Tahoma" w:cs="Tahoma"/>
          <w:bCs/>
          <w:color w:val="000000"/>
          <w:sz w:val="18"/>
          <w:szCs w:val="20"/>
          <w:lang w:val="de-DE"/>
        </w:rPr>
        <w:t xml:space="preserve"> </w:t>
      </w:r>
      <w:r w:rsidRPr="00C83DF5">
        <w:rPr>
          <w:rFonts w:ascii="Tahoma" w:hAnsi="Tahoma" w:cs="Tahoma"/>
          <w:bCs/>
          <w:color w:val="000000"/>
          <w:sz w:val="18"/>
          <w:szCs w:val="20"/>
          <w:lang w:val="de-DE"/>
        </w:rPr>
        <w:t>ALs.</w:t>
      </w:r>
      <w:r w:rsidR="00E71F46" w:rsidRPr="00C83DF5">
        <w:rPr>
          <w:rFonts w:ascii="Tahoma" w:hAnsi="Tahoma" w:cs="Tahoma"/>
          <w:bCs/>
          <w:color w:val="000000"/>
          <w:sz w:val="18"/>
          <w:szCs w:val="20"/>
          <w:lang w:val="de-DE"/>
        </w:rPr>
        <w:t xml:space="preserve"> </w:t>
      </w:r>
      <w:r w:rsidRPr="00C83DF5">
        <w:rPr>
          <w:rFonts w:ascii="Tahoma" w:hAnsi="Tahoma" w:cs="Tahoma"/>
          <w:bCs/>
          <w:color w:val="000000"/>
          <w:sz w:val="18"/>
          <w:szCs w:val="20"/>
          <w:lang w:val="de-DE"/>
        </w:rPr>
        <w:t>Dieser Onlinedienst hieß früher Antigen für Instant Messaging.</w:t>
      </w:r>
      <w:r w:rsidR="00E71F46" w:rsidRPr="00C83DF5">
        <w:rPr>
          <w:rFonts w:ascii="Tahoma" w:hAnsi="Tahoma" w:cs="Tahoma"/>
          <w:bCs/>
          <w:color w:val="000000"/>
          <w:sz w:val="18"/>
          <w:szCs w:val="20"/>
          <w:lang w:val="de-DE"/>
        </w:rPr>
        <w:t xml:space="preserve"> </w:t>
      </w:r>
    </w:p>
    <w:p w:rsidR="00023FE7" w:rsidRPr="00C83DF5" w:rsidRDefault="00023FE7" w:rsidP="00697E59">
      <w:pPr>
        <w:rPr>
          <w:lang w:val="de-DE"/>
        </w:rPr>
      </w:pPr>
      <w:bookmarkStart w:id="1331" w:name="Srv_48ForefrontSvrSecMgmtConsole"/>
    </w:p>
    <w:p w:rsidR="00EE30F1" w:rsidRPr="00C83DF5" w:rsidRDefault="00EE30F1" w:rsidP="00221A57">
      <w:pPr>
        <w:rPr>
          <w:lang w:val="de-DE"/>
        </w:rPr>
      </w:pPr>
      <w:bookmarkStart w:id="1332" w:name="_49_Forefront_Threat"/>
      <w:bookmarkStart w:id="1333" w:name="Srv_52ForefrontUnifiedAccessGtwy2010"/>
      <w:bookmarkStart w:id="1334" w:name="Srv_56ForefrontUnifiedAccessGtwy2010"/>
      <w:bookmarkEnd w:id="1331"/>
      <w:bookmarkEnd w:id="1332"/>
    </w:p>
    <w:p w:rsidR="0079439D" w:rsidRPr="00C83DF5" w:rsidRDefault="00A560B6" w:rsidP="00221A57">
      <w:pPr>
        <w:pStyle w:val="Heading3"/>
        <w:rPr>
          <w:lang w:val="de-DE"/>
        </w:rPr>
      </w:pPr>
      <w:bookmarkStart w:id="1335" w:name="_50__Forefront"/>
      <w:bookmarkStart w:id="1336" w:name="_57_Forefront_Threat"/>
      <w:bookmarkStart w:id="1337" w:name="_66_Forefront_Threat"/>
      <w:bookmarkStart w:id="1338" w:name="_65_Forefront_Threat"/>
      <w:bookmarkStart w:id="1339" w:name="_Toc336338321"/>
      <w:bookmarkStart w:id="1340" w:name="Srv_51ForefrontThreatMgmtGtwy2010"/>
      <w:bookmarkStart w:id="1341" w:name="_Toc370983433"/>
      <w:bookmarkEnd w:id="1335"/>
      <w:bookmarkEnd w:id="1336"/>
      <w:bookmarkEnd w:id="1337"/>
      <w:bookmarkEnd w:id="1338"/>
      <w:r w:rsidRPr="00C83DF5">
        <w:rPr>
          <w:rFonts w:ascii="Tahoma" w:hAnsi="Tahoma"/>
          <w:caps/>
          <w:color w:val="F66400"/>
          <w:sz w:val="22"/>
          <w:vertAlign w:val="superscript"/>
          <w:lang w:val="de-DE"/>
        </w:rPr>
        <w:t>65</w:t>
      </w:r>
      <w:r w:rsidRPr="00A22916">
        <w:rPr>
          <w:rFonts w:ascii="Tahoma" w:hAnsi="Tahoma"/>
          <w:caps/>
          <w:color w:val="F66400"/>
          <w:sz w:val="22"/>
          <w:lang w:val="de-DE"/>
        </w:rPr>
        <w:t xml:space="preserve"> </w:t>
      </w:r>
      <w:r w:rsidRPr="00C83DF5">
        <w:rPr>
          <w:rFonts w:ascii="Tahoma" w:hAnsi="Tahoma"/>
          <w:color w:val="F66400"/>
          <w:sz w:val="22"/>
          <w:lang w:val="de-DE"/>
        </w:rPr>
        <w:t xml:space="preserve">Forefront Threat Management Gateway </w:t>
      </w:r>
      <w:bookmarkEnd w:id="1339"/>
      <w:r w:rsidRPr="00C83DF5">
        <w:rPr>
          <w:rFonts w:ascii="Tahoma" w:hAnsi="Tahoma"/>
          <w:color w:val="F66400"/>
          <w:sz w:val="22"/>
          <w:lang w:val="de-DE"/>
        </w:rPr>
        <w:t>Web Protection Service</w:t>
      </w:r>
      <w:bookmarkEnd w:id="1340"/>
      <w:bookmarkEnd w:id="1341"/>
    </w:p>
    <w:p w:rsidR="00221A57" w:rsidRPr="00C83DF5" w:rsidRDefault="00221A57" w:rsidP="00221A57">
      <w:pPr>
        <w:rPr>
          <w:lang w:val="de-DE"/>
        </w:rPr>
      </w:pPr>
    </w:p>
    <w:p w:rsidR="00586FCE" w:rsidRPr="00C83DF5" w:rsidRDefault="0079439D" w:rsidP="00221A57">
      <w:pPr>
        <w:ind w:left="720"/>
        <w:rPr>
          <w:lang w:val="de-DE"/>
        </w:rPr>
      </w:pPr>
      <w:bookmarkStart w:id="1342" w:name="_Toc336338322"/>
      <w:r w:rsidRPr="00C83DF5">
        <w:rPr>
          <w:rFonts w:cs="Tahoma"/>
          <w:bCs/>
          <w:color w:val="000000"/>
          <w:szCs w:val="18"/>
        </w:rPr>
        <w:t xml:space="preserve">Forefront Threat Management Gateway Web Protection Service ist ab dem 1. </w:t>
      </w:r>
      <w:r w:rsidRPr="00C83DF5">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C83DF5">
        <w:rPr>
          <w:lang w:val="de-DE"/>
        </w:rPr>
        <w:t>Bestehende Kunden sind außerdem berechtigt, neue Nutzer nach Bedarf hinzuzufügen, ohne zusätzliche Nutzer-Abonnementlizenzen bestellen zu müssen.</w:t>
      </w:r>
      <w:r w:rsidR="00E71F46" w:rsidRPr="00C83DF5">
        <w:rPr>
          <w:rFonts w:cs="Tahoma"/>
          <w:bCs/>
          <w:szCs w:val="18"/>
          <w:lang w:val="de-DE"/>
        </w:rPr>
        <w:t xml:space="preserve"> </w:t>
      </w:r>
      <w:r w:rsidRPr="00C83DF5">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221A57" w:rsidRPr="00C83DF5" w:rsidRDefault="00221A57" w:rsidP="00221A57">
      <w:pPr>
        <w:rPr>
          <w:lang w:val="de-DE"/>
        </w:rPr>
      </w:pPr>
    </w:p>
    <w:p w:rsidR="00221A57" w:rsidRPr="00C83DF5" w:rsidRDefault="00221A57" w:rsidP="00221A57">
      <w:pPr>
        <w:rPr>
          <w:lang w:val="de-DE"/>
        </w:rPr>
      </w:pPr>
    </w:p>
    <w:p w:rsidR="009E4FDD" w:rsidRPr="00C83DF5" w:rsidRDefault="00A560B6" w:rsidP="009E4FDD">
      <w:pPr>
        <w:pStyle w:val="Heading3"/>
        <w:rPr>
          <w:lang w:val="de-DE"/>
        </w:rPr>
      </w:pPr>
      <w:bookmarkStart w:id="1343" w:name="_67_Forefront_Unified"/>
      <w:bookmarkStart w:id="1344" w:name="_66_Forefront_Unified"/>
      <w:bookmarkStart w:id="1345" w:name="_Toc370983434"/>
      <w:bookmarkEnd w:id="1343"/>
      <w:bookmarkEnd w:id="1344"/>
      <w:r w:rsidRPr="00C83DF5">
        <w:rPr>
          <w:rFonts w:ascii="Tahoma" w:hAnsi="Tahoma"/>
          <w:caps/>
          <w:color w:val="F66400"/>
          <w:sz w:val="22"/>
          <w:vertAlign w:val="superscript"/>
          <w:lang w:val="de-DE"/>
        </w:rPr>
        <w:t>66</w:t>
      </w:r>
      <w:r w:rsidRPr="00A22916">
        <w:rPr>
          <w:rFonts w:ascii="Tahoma" w:hAnsi="Tahoma"/>
          <w:caps/>
          <w:color w:val="F66400"/>
          <w:sz w:val="22"/>
          <w:lang w:val="de-DE"/>
        </w:rPr>
        <w:t xml:space="preserve"> </w:t>
      </w:r>
      <w:r w:rsidRPr="00C83DF5">
        <w:rPr>
          <w:rFonts w:ascii="Tahoma" w:hAnsi="Tahoma"/>
          <w:color w:val="F66400"/>
          <w:sz w:val="22"/>
          <w:lang w:val="de-DE"/>
        </w:rPr>
        <w:t>Forefront Unified Access Gateway 2010</w:t>
      </w:r>
      <w:bookmarkEnd w:id="1342"/>
      <w:bookmarkEnd w:id="1345"/>
    </w:p>
    <w:bookmarkEnd w:id="1333"/>
    <w:bookmarkEnd w:id="1334"/>
    <w:p w:rsidR="009E4FDD" w:rsidRPr="00C83DF5" w:rsidRDefault="009E4FDD" w:rsidP="009E4FDD">
      <w:pPr>
        <w:rPr>
          <w:lang w:val="de-DE"/>
        </w:rPr>
      </w:pPr>
    </w:p>
    <w:p w:rsidR="009E4FDD" w:rsidRPr="00C83DF5" w:rsidRDefault="009E4FDD" w:rsidP="00221A57">
      <w:pPr>
        <w:spacing w:after="60"/>
        <w:ind w:left="720"/>
        <w:rPr>
          <w:lang w:val="de-DE"/>
        </w:rPr>
      </w:pPr>
      <w:r w:rsidRPr="00C83DF5">
        <w:rPr>
          <w:rFonts w:cs="Tahoma"/>
          <w:b/>
          <w:color w:val="000000"/>
          <w:szCs w:val="18"/>
          <w:lang w:val="de-DE"/>
        </w:rPr>
        <w:t>Version</w:t>
      </w:r>
    </w:p>
    <w:p w:rsidR="009E4FDD" w:rsidRPr="00C83DF5" w:rsidRDefault="009E4FDD" w:rsidP="00A22916">
      <w:pPr>
        <w:ind w:left="720"/>
        <w:rPr>
          <w:lang w:val="de-DE"/>
        </w:rPr>
      </w:pPr>
      <w:r w:rsidRPr="00C83DF5">
        <w:rPr>
          <w:rFonts w:cs="Tahoma"/>
          <w:color w:val="000000"/>
          <w:szCs w:val="18"/>
          <w:lang w:val="de-DE"/>
        </w:rPr>
        <w:t>Forefront Unified Access Gateway 2010 ist die nächste Version von Whale Intelligent Application Gateway</w:t>
      </w:r>
      <w:r w:rsidR="00A22916">
        <w:rPr>
          <w:rFonts w:cs="Tahoma"/>
          <w:color w:val="000000"/>
          <w:szCs w:val="18"/>
          <w:lang w:val="de-DE"/>
        </w:rPr>
        <w:t> </w:t>
      </w:r>
      <w:r w:rsidRPr="00C83DF5">
        <w:rPr>
          <w:rFonts w:cs="Tahoma"/>
          <w:color w:val="000000"/>
          <w:szCs w:val="18"/>
          <w:lang w:val="de-DE"/>
        </w:rPr>
        <w:t>2007.</w:t>
      </w:r>
    </w:p>
    <w:p w:rsidR="00EE30F1" w:rsidRPr="00C83DF5" w:rsidRDefault="00EE30F1">
      <w:pPr>
        <w:ind w:left="720"/>
        <w:rPr>
          <w:lang w:val="de-DE"/>
        </w:rPr>
      </w:pPr>
    </w:p>
    <w:p w:rsidR="001979E9" w:rsidRPr="00C83DF5" w:rsidRDefault="001979E9">
      <w:pPr>
        <w:ind w:left="720"/>
        <w:rPr>
          <w:lang w:val="de-DE"/>
        </w:rPr>
      </w:pPr>
    </w:p>
    <w:p w:rsidR="00023FE7" w:rsidRPr="00C83DF5" w:rsidRDefault="00A560B6" w:rsidP="00416294">
      <w:pPr>
        <w:pStyle w:val="Heading3"/>
        <w:rPr>
          <w:lang w:val="de-DE"/>
        </w:rPr>
      </w:pPr>
      <w:bookmarkStart w:id="1346" w:name="_51_High_Performance"/>
      <w:bookmarkStart w:id="1347" w:name="_63_61_HPC"/>
      <w:bookmarkStart w:id="1348" w:name="_68_HPC_Pack"/>
      <w:bookmarkStart w:id="1349" w:name="_67_HPC_Pack"/>
      <w:bookmarkStart w:id="1350" w:name="_Toc336338323"/>
      <w:bookmarkStart w:id="1351" w:name="Srv_48HighPerfComputingPack"/>
      <w:bookmarkStart w:id="1352" w:name="Srv_54HighPerfComputingPack"/>
      <w:bookmarkStart w:id="1353" w:name="Srv_49HighPerfComputingPack"/>
      <w:bookmarkStart w:id="1354" w:name="_Toc370983435"/>
      <w:bookmarkEnd w:id="1346"/>
      <w:bookmarkEnd w:id="1347"/>
      <w:bookmarkEnd w:id="1348"/>
      <w:bookmarkEnd w:id="1349"/>
      <w:r w:rsidRPr="00C83DF5">
        <w:rPr>
          <w:rFonts w:ascii="Tahoma" w:hAnsi="Tahoma"/>
          <w:caps/>
          <w:color w:val="F66400"/>
          <w:sz w:val="22"/>
          <w:vertAlign w:val="superscript"/>
          <w:lang w:val="de-DE"/>
        </w:rPr>
        <w:t>67</w:t>
      </w:r>
      <w:r w:rsidRPr="00A22916">
        <w:rPr>
          <w:rFonts w:ascii="Tahoma" w:hAnsi="Tahoma"/>
          <w:caps/>
          <w:color w:val="F66400"/>
          <w:sz w:val="22"/>
          <w:lang w:val="de-DE"/>
        </w:rPr>
        <w:t xml:space="preserve"> </w:t>
      </w:r>
      <w:r w:rsidRPr="00C83DF5">
        <w:rPr>
          <w:rFonts w:ascii="Tahoma" w:hAnsi="Tahoma"/>
          <w:color w:val="F66400"/>
          <w:sz w:val="22"/>
          <w:lang w:val="de-DE"/>
        </w:rPr>
        <w:t>HPC Pack 2008 R2 Enterprise</w:t>
      </w:r>
      <w:bookmarkEnd w:id="1350"/>
      <w:bookmarkEnd w:id="1354"/>
    </w:p>
    <w:bookmarkEnd w:id="1351"/>
    <w:bookmarkEnd w:id="1352"/>
    <w:p w:rsidR="00023FE7" w:rsidRPr="00C83DF5" w:rsidRDefault="00023FE7" w:rsidP="00416294">
      <w:pPr>
        <w:ind w:left="720"/>
        <w:rPr>
          <w:lang w:val="de-DE"/>
        </w:rPr>
      </w:pPr>
    </w:p>
    <w:bookmarkEnd w:id="1353"/>
    <w:p w:rsidR="00221A57" w:rsidRPr="00C83DF5" w:rsidRDefault="001978C7" w:rsidP="00221A57">
      <w:pPr>
        <w:spacing w:after="60"/>
        <w:ind w:left="720"/>
        <w:rPr>
          <w:lang w:val="de-DE"/>
        </w:rPr>
      </w:pPr>
      <w:r w:rsidRPr="00C83DF5">
        <w:rPr>
          <w:b/>
          <w:color w:val="000000"/>
          <w:lang w:val="de-DE"/>
        </w:rPr>
        <w:t>Lizenzgewährungen im Zusammenhang mit dem Ende der Lebensdauer von HPC Pack Enterprise</w:t>
      </w:r>
    </w:p>
    <w:p w:rsidR="00221A57" w:rsidRPr="00C83DF5" w:rsidRDefault="001978C7" w:rsidP="000865FC">
      <w:pPr>
        <w:ind w:left="720"/>
        <w:rPr>
          <w:lang w:val="de-DE"/>
        </w:rPr>
      </w:pPr>
      <w:r w:rsidRPr="00C83DF5">
        <w:rPr>
          <w:color w:val="000000"/>
          <w:lang w:val="de-DE"/>
        </w:rPr>
        <w:t>HPC Pack 2008 R2 Enterprise ist die letzte Version von HPC Pack Enterprise, die über Volumenlizenzierung verkauft wird. Künftige Versionen werden als kostenloser Download zur Verfügung gestellt. Volumenlizenzkunden, die am 1. September 2012 oder am Datum der ersten Verfügbarkeit von Windows</w:t>
      </w:r>
      <w:r w:rsidR="000865FC">
        <w:rPr>
          <w:color w:val="000000"/>
          <w:lang w:val="de-DE"/>
        </w:rPr>
        <w:t> </w:t>
      </w:r>
      <w:r w:rsidRPr="00C83DF5">
        <w:rPr>
          <w:color w:val="000000"/>
          <w:lang w:val="de-DE"/>
        </w:rPr>
        <w:t xml:space="preserve">Server 2012 zum Download im Volume Licensing Service Center, wobei das frühere Datum maßgeblich ist, über aktive Software Assurance für HPC Pack 2008 R2 Enterprise-Lizenzen verfügen, („Qualifizierende Lizenzen“) sind berechtigt, </w:t>
      </w:r>
      <w:r w:rsidRPr="00C83DF5">
        <w:rPr>
          <w:rFonts w:eastAsia="Calibri" w:cs="Tahoma"/>
          <w:szCs w:val="18"/>
          <w:lang w:val="de-DE"/>
        </w:rPr>
        <w:t>die Software Windows Server 2012 Standard zu verwenden. Um</w:t>
      </w:r>
      <w:r w:rsidR="000865FC">
        <w:rPr>
          <w:rFonts w:eastAsia="Calibri" w:cs="Tahoma"/>
          <w:szCs w:val="18"/>
          <w:lang w:val="de-DE"/>
        </w:rPr>
        <w:t> </w:t>
      </w:r>
      <w:r w:rsidRPr="00C83DF5">
        <w:rPr>
          <w:rFonts w:eastAsia="Calibri" w:cs="Tahoma"/>
          <w:szCs w:val="18"/>
          <w:lang w:val="de-DE"/>
        </w:rPr>
        <w:t>diese Verwendung zu erleichtern, wird angenommen, dass dem Kunden bei Verfügbarkeit von Windows</w:t>
      </w:r>
      <w:r w:rsidR="000865FC">
        <w:rPr>
          <w:rFonts w:eastAsia="Calibri" w:cs="Tahoma"/>
          <w:szCs w:val="18"/>
          <w:lang w:val="de-DE"/>
        </w:rPr>
        <w:t> </w:t>
      </w:r>
      <w:r w:rsidRPr="00C83DF5">
        <w:rPr>
          <w:rFonts w:eastAsia="Calibri" w:cs="Tahoma"/>
          <w:szCs w:val="18"/>
          <w:lang w:val="de-DE"/>
        </w:rPr>
        <w:t>Server 2012 für jeweils zwei Qualifizierende Lizenzen, die der Kunde besitzt, eine Windows</w:t>
      </w:r>
      <w:r w:rsidR="000865FC">
        <w:rPr>
          <w:rFonts w:eastAsia="Calibri" w:cs="Tahoma"/>
          <w:szCs w:val="18"/>
          <w:lang w:val="de-DE"/>
        </w:rPr>
        <w:t> </w:t>
      </w:r>
      <w:r w:rsidRPr="00C83DF5">
        <w:rPr>
          <w:rFonts w:eastAsia="Calibri" w:cs="Tahoma"/>
          <w:szCs w:val="18"/>
          <w:lang w:val="de-DE"/>
        </w:rPr>
        <w:t>Server</w:t>
      </w:r>
      <w:r w:rsidR="000865FC">
        <w:rPr>
          <w:rFonts w:eastAsia="Calibri" w:cs="Tahoma"/>
          <w:szCs w:val="18"/>
          <w:lang w:val="de-DE"/>
        </w:rPr>
        <w:t> </w:t>
      </w:r>
      <w:r w:rsidRPr="00C83DF5">
        <w:rPr>
          <w:rFonts w:eastAsia="Calibri" w:cs="Tahoma"/>
          <w:szCs w:val="18"/>
          <w:lang w:val="de-DE"/>
        </w:rPr>
        <w:t>2012 Standard-Prozessorlizenz gewährt wird.</w:t>
      </w:r>
    </w:p>
    <w:p w:rsidR="001978C7" w:rsidRDefault="001978C7" w:rsidP="00221A57">
      <w:pPr>
        <w:ind w:left="720"/>
        <w:rPr>
          <w:rFonts w:eastAsia="Calibri" w:cs="Tahoma"/>
          <w:szCs w:val="18"/>
          <w:lang w:val="de-DE"/>
        </w:rPr>
      </w:pPr>
      <w:r w:rsidRPr="00C83DF5">
        <w:rPr>
          <w:rFonts w:eastAsia="Calibri" w:cs="Tahoma"/>
          <w:szCs w:val="18"/>
          <w:lang w:val="de-DE"/>
        </w:rPr>
        <w:t xml:space="preserve"> </w:t>
      </w:r>
    </w:p>
    <w:p w:rsidR="00B33887" w:rsidRPr="00C83DF5" w:rsidRDefault="00B33887" w:rsidP="00221A57">
      <w:pPr>
        <w:ind w:left="720"/>
        <w:rPr>
          <w:lang w:val="de-DE"/>
        </w:rPr>
      </w:pPr>
    </w:p>
    <w:p w:rsidR="001978C7" w:rsidRPr="00C83DF5" w:rsidRDefault="001978C7" w:rsidP="00346F4B">
      <w:pPr>
        <w:numPr>
          <w:ilvl w:val="0"/>
          <w:numId w:val="56"/>
        </w:numPr>
        <w:tabs>
          <w:tab w:val="clear" w:pos="360"/>
          <w:tab w:val="left" w:pos="1440"/>
        </w:tabs>
        <w:spacing w:after="60"/>
        <w:ind w:left="1440"/>
        <w:rPr>
          <w:lang w:val="de-DE"/>
        </w:rPr>
      </w:pPr>
      <w:r w:rsidRPr="00C83DF5">
        <w:rPr>
          <w:color w:val="000000"/>
          <w:lang w:val="de-DE"/>
        </w:rPr>
        <w:lastRenderedPageBreak/>
        <w:t>Wenn ein Kunde über eine ungerade Anzahl von HPC Pack Enterprise-Lizenzen verfügt, muss der Kunde auf die nächste gerade Zahl aufrunden, um festzustellen, wie viele Lizenzen ihm gewährt werden.</w:t>
      </w:r>
      <w:r w:rsidR="00E71F46" w:rsidRPr="00C83DF5">
        <w:rPr>
          <w:color w:val="000000"/>
          <w:lang w:val="de-DE"/>
        </w:rPr>
        <w:t xml:space="preserve"> </w:t>
      </w:r>
      <w:r w:rsidRPr="00C83DF5">
        <w:rPr>
          <w:color w:val="000000"/>
          <w:lang w:val="de-DE"/>
        </w:rPr>
        <w:t>Beispiel: Einem Kunden, der über drei HPC Pack Enterprise-Lizenzen verfügt, werden insgesamt zwei Windows Server 2012 Standard-Lizenzen gewährt.</w:t>
      </w:r>
    </w:p>
    <w:p w:rsidR="001978C7" w:rsidRPr="00C83DF5" w:rsidRDefault="001978C7" w:rsidP="00346F4B">
      <w:pPr>
        <w:pStyle w:val="ListParagraph"/>
        <w:numPr>
          <w:ilvl w:val="0"/>
          <w:numId w:val="56"/>
        </w:numPr>
        <w:tabs>
          <w:tab w:val="clear" w:pos="360"/>
          <w:tab w:val="left" w:pos="1440"/>
        </w:tabs>
        <w:spacing w:after="60"/>
        <w:ind w:left="1440"/>
        <w:contextualSpacing w:val="0"/>
        <w:rPr>
          <w:lang w:val="de-DE"/>
        </w:rPr>
      </w:pPr>
      <w:r w:rsidRPr="00C83DF5">
        <w:rPr>
          <w:rFonts w:ascii="Tahoma" w:eastAsia="Calibri" w:hAnsi="Tahoma" w:cs="Tahoma"/>
          <w:sz w:val="18"/>
          <w:szCs w:val="18"/>
          <w:lang w:val="de-DE"/>
        </w:rPr>
        <w:t>Lizenzen, die im Rahmen dieser Gewährung erworben werden, umfassen Software Assurance.</w:t>
      </w:r>
      <w:r w:rsidR="00E71F46" w:rsidRPr="00C83DF5">
        <w:rPr>
          <w:rFonts w:ascii="Tahoma" w:eastAsia="Calibri" w:hAnsi="Tahoma" w:cs="Tahoma"/>
          <w:sz w:val="18"/>
          <w:szCs w:val="18"/>
          <w:lang w:val="de-DE"/>
        </w:rPr>
        <w:t xml:space="preserve"> </w:t>
      </w:r>
      <w:r w:rsidRPr="00C83DF5">
        <w:rPr>
          <w:rFonts w:ascii="Tahoma" w:eastAsia="Calibri" w:hAnsi="Tahoma" w:cs="Tahoma"/>
          <w:sz w:val="18"/>
          <w:szCs w:val="18"/>
          <w:lang w:val="de-DE"/>
        </w:rPr>
        <w:t>Diese Software Assurance gilt bis zum Ablauf der Software Assurance für die Qualifizierenden Lizenzen.</w:t>
      </w:r>
    </w:p>
    <w:p w:rsidR="001978C7" w:rsidRPr="00C83DF5" w:rsidRDefault="001978C7" w:rsidP="00346F4B">
      <w:pPr>
        <w:pStyle w:val="ListParagraph"/>
        <w:numPr>
          <w:ilvl w:val="0"/>
          <w:numId w:val="56"/>
        </w:numPr>
        <w:tabs>
          <w:tab w:val="clear" w:pos="360"/>
          <w:tab w:val="left" w:pos="1440"/>
        </w:tabs>
        <w:spacing w:after="60"/>
        <w:ind w:left="1440"/>
        <w:contextualSpacing w:val="0"/>
        <w:rPr>
          <w:lang w:val="de-DE"/>
        </w:rPr>
      </w:pPr>
      <w:r w:rsidRPr="00C83DF5">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1978C7" w:rsidRPr="00C83DF5" w:rsidRDefault="001978C7" w:rsidP="00346F4B">
      <w:pPr>
        <w:numPr>
          <w:ilvl w:val="0"/>
          <w:numId w:val="56"/>
        </w:numPr>
        <w:tabs>
          <w:tab w:val="clear" w:pos="360"/>
          <w:tab w:val="left" w:pos="1440"/>
          <w:tab w:val="left" w:pos="2160"/>
        </w:tabs>
        <w:spacing w:after="60"/>
        <w:ind w:left="1440"/>
        <w:rPr>
          <w:lang w:val="de-DE"/>
        </w:rPr>
      </w:pPr>
      <w:r w:rsidRPr="00C83DF5">
        <w:rPr>
          <w:rFonts w:eastAsia="Calibri" w:cs="Tahoma"/>
          <w:szCs w:val="18"/>
          <w:lang w:val="de-DE"/>
        </w:rPr>
        <w:t xml:space="preserve">Bei Upgrade auf Windows Server 2012 Standard unter dieser Gewährung bleiben die bestehenden </w:t>
      </w:r>
      <w:r w:rsidRPr="00C83DF5">
        <w:rPr>
          <w:color w:val="000000"/>
          <w:lang w:val="de-DE"/>
        </w:rPr>
        <w:t>HPC Pack Enterprise-</w:t>
      </w:r>
      <w:r w:rsidRPr="00C83DF5">
        <w:rPr>
          <w:rFonts w:eastAsia="Calibri" w:cs="Tahoma"/>
          <w:szCs w:val="18"/>
          <w:lang w:val="de-DE"/>
        </w:rPr>
        <w:t>Lizenzen des Kunden gültig.</w:t>
      </w:r>
    </w:p>
    <w:p w:rsidR="001978C7" w:rsidRPr="00C83DF5" w:rsidRDefault="001978C7" w:rsidP="00B33887">
      <w:pPr>
        <w:numPr>
          <w:ilvl w:val="0"/>
          <w:numId w:val="56"/>
        </w:numPr>
        <w:tabs>
          <w:tab w:val="clear" w:pos="360"/>
          <w:tab w:val="left" w:pos="1440"/>
          <w:tab w:val="left" w:pos="2160"/>
        </w:tabs>
        <w:spacing w:after="60"/>
        <w:ind w:left="1440"/>
        <w:rPr>
          <w:lang w:val="de-DE"/>
        </w:rPr>
      </w:pPr>
      <w:r w:rsidRPr="00C83DF5">
        <w:rPr>
          <w:color w:val="000000"/>
          <w:lang w:val="de-DE"/>
        </w:rPr>
        <w:t>Lizenzen für HPC Pack 2008 R2 Enterprise</w:t>
      </w:r>
      <w:r w:rsidRPr="00C83DF5">
        <w:rPr>
          <w:rFonts w:cs="Tahoma"/>
          <w:bCs/>
          <w:color w:val="000000"/>
          <w:szCs w:val="18"/>
          <w:lang w:val="de-DE"/>
        </w:rPr>
        <w:t>, die danach unter derselben Beitrittslaufzeit im Rahmen</w:t>
      </w:r>
      <w:r w:rsidR="00B33887">
        <w:rPr>
          <w:rFonts w:cs="Tahoma"/>
          <w:bCs/>
          <w:color w:val="000000"/>
          <w:szCs w:val="18"/>
          <w:lang w:val="de-DE"/>
        </w:rPr>
        <w:t> </w:t>
      </w:r>
      <w:r w:rsidRPr="00C83DF5">
        <w:rPr>
          <w:rFonts w:cs="Tahoma"/>
          <w:bCs/>
          <w:color w:val="000000"/>
          <w:szCs w:val="18"/>
          <w:lang w:val="de-DE"/>
        </w:rPr>
        <w:t>des planmäßigen True Up-Prozesses eines Konzern-, Konzern-Abonnement-, Open Value Subscription- oder Beitritt für Bildungslösungen-Kunden erworben werden, sind ebenfalls Qualifizierende Lizenzen im Sinne der zuvor beschriebenen Gewährung.</w:t>
      </w:r>
    </w:p>
    <w:p w:rsidR="001978C7" w:rsidRPr="00C83DF5" w:rsidRDefault="001978C7" w:rsidP="00346F4B">
      <w:pPr>
        <w:numPr>
          <w:ilvl w:val="0"/>
          <w:numId w:val="56"/>
        </w:numPr>
        <w:tabs>
          <w:tab w:val="clear" w:pos="360"/>
          <w:tab w:val="left" w:pos="1440"/>
          <w:tab w:val="left" w:pos="2160"/>
        </w:tabs>
        <w:spacing w:after="60"/>
        <w:ind w:left="1440"/>
        <w:rPr>
          <w:lang w:val="de-DE"/>
        </w:rPr>
      </w:pPr>
      <w:r w:rsidRPr="00C83DF5">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221A57" w:rsidRPr="007025E3" w:rsidRDefault="00221A57" w:rsidP="00221A57">
      <w:pPr>
        <w:tabs>
          <w:tab w:val="left" w:pos="1440"/>
          <w:tab w:val="left" w:pos="2160"/>
        </w:tabs>
        <w:ind w:left="1080"/>
        <w:contextualSpacing/>
        <w:rPr>
          <w:rFonts w:eastAsia="Calibri" w:cs="Tahoma"/>
          <w:b/>
          <w:szCs w:val="18"/>
          <w:lang w:val="de-DE"/>
        </w:rPr>
      </w:pPr>
    </w:p>
    <w:p w:rsidR="00221A57" w:rsidRPr="00C83DF5" w:rsidRDefault="001978C7" w:rsidP="00B1475C">
      <w:pPr>
        <w:spacing w:after="60"/>
        <w:ind w:left="720"/>
        <w:rPr>
          <w:lang w:val="de-DE"/>
        </w:rPr>
      </w:pPr>
      <w:r w:rsidRPr="00C83DF5">
        <w:rPr>
          <w:b/>
          <w:color w:val="000000"/>
          <w:lang w:val="de-DE"/>
        </w:rPr>
        <w:t>Zusätzliche Informationen zur Verwendung von Windows Server 2012 für High Performance Computing (HPC)</w:t>
      </w:r>
    </w:p>
    <w:p w:rsidR="00E62BC4" w:rsidRPr="00C83DF5" w:rsidRDefault="001978C7" w:rsidP="00E71F46">
      <w:pPr>
        <w:ind w:left="720"/>
        <w:rPr>
          <w:lang w:val="de-DE"/>
        </w:rPr>
      </w:pPr>
      <w:r w:rsidRPr="00C83DF5">
        <w:rPr>
          <w:color w:val="000000"/>
          <w:lang w:val="de-DE"/>
        </w:rPr>
        <w:t>Wenn Windows Server 2012 Standard oder Datacenter für High Performance Computing verwendet wird, benötigen Sie keine CALs für den Zugriff auf die Software. Eine „High Performance Computing (</w:t>
      </w:r>
      <w:r w:rsidR="00E71F46" w:rsidRPr="00C83DF5">
        <w:rPr>
          <w:color w:val="000000"/>
          <w:lang w:val="de-DE"/>
        </w:rPr>
        <w:t>„</w:t>
      </w:r>
      <w:r w:rsidRPr="00C83DF5">
        <w:rPr>
          <w:color w:val="000000"/>
          <w:lang w:val="de-DE"/>
        </w:rPr>
        <w:t>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rsidR="00023FE7" w:rsidRPr="00C83DF5" w:rsidRDefault="00023FE7" w:rsidP="00221A57">
      <w:pPr>
        <w:ind w:left="216"/>
        <w:rPr>
          <w:lang w:val="de-DE"/>
        </w:rPr>
      </w:pPr>
    </w:p>
    <w:p w:rsidR="00586FCE" w:rsidRPr="00C83DF5" w:rsidRDefault="00586FCE" w:rsidP="00221A57">
      <w:pPr>
        <w:ind w:left="216"/>
        <w:rPr>
          <w:lang w:val="de-DE"/>
        </w:rPr>
      </w:pPr>
    </w:p>
    <w:p w:rsidR="00F42FD5" w:rsidRPr="00C83DF5" w:rsidRDefault="0085774C" w:rsidP="00416294">
      <w:pPr>
        <w:pStyle w:val="Heading2"/>
        <w:ind w:left="0"/>
        <w:rPr>
          <w:lang w:val="de-DE"/>
        </w:rPr>
      </w:pPr>
      <w:bookmarkStart w:id="1355" w:name="_58_Learning_Solutions"/>
      <w:bookmarkStart w:id="1356" w:name="_54_Learning_Solutions"/>
      <w:bookmarkStart w:id="1357" w:name="_64_62_Learning"/>
      <w:bookmarkStart w:id="1358" w:name="_69_Learning_Solutions"/>
      <w:bookmarkStart w:id="1359" w:name="_65_63_Lync"/>
      <w:bookmarkStart w:id="1360" w:name="_70_Lync_Online"/>
      <w:bookmarkStart w:id="1361" w:name="_68_Lync_Online"/>
      <w:bookmarkStart w:id="1362" w:name="_Toc336338325"/>
      <w:bookmarkStart w:id="1363" w:name="Srv_65LyncOnlinePlan1and2"/>
      <w:bookmarkStart w:id="1364" w:name="_Toc370983436"/>
      <w:bookmarkEnd w:id="1355"/>
      <w:bookmarkEnd w:id="1356"/>
      <w:bookmarkEnd w:id="1357"/>
      <w:bookmarkEnd w:id="1358"/>
      <w:bookmarkEnd w:id="1359"/>
      <w:bookmarkEnd w:id="1360"/>
      <w:bookmarkEnd w:id="1361"/>
      <w:r w:rsidRPr="00C83DF5">
        <w:rPr>
          <w:rFonts w:ascii="Tahoma" w:hAnsi="Tahoma" w:cs="Tahoma"/>
          <w:caps/>
          <w:color w:val="FF6600"/>
          <w:sz w:val="22"/>
          <w:vertAlign w:val="superscript"/>
          <w:lang w:val="de-DE"/>
        </w:rPr>
        <w:t>68</w:t>
      </w:r>
      <w:r w:rsidRPr="00C83DF5">
        <w:rPr>
          <w:rFonts w:ascii="Tahoma" w:hAnsi="Tahoma" w:cs="Tahoma"/>
          <w:color w:val="FF6600"/>
          <w:lang w:val="de-DE"/>
        </w:rPr>
        <w:t xml:space="preserve"> </w:t>
      </w:r>
      <w:r w:rsidRPr="00C83DF5">
        <w:rPr>
          <w:rFonts w:ascii="Tahoma" w:hAnsi="Tahoma" w:cs="Tahoma"/>
          <w:color w:val="FF6600"/>
          <w:sz w:val="22"/>
          <w:lang w:val="de-DE"/>
        </w:rPr>
        <w:t>Lync Online Plan 1, 2 und 3</w:t>
      </w:r>
      <w:bookmarkEnd w:id="1362"/>
      <w:bookmarkEnd w:id="1364"/>
    </w:p>
    <w:bookmarkEnd w:id="1363"/>
    <w:p w:rsidR="00F42FD5" w:rsidRPr="00C83DF5" w:rsidRDefault="00F42FD5" w:rsidP="00F42FD5">
      <w:pPr>
        <w:rPr>
          <w:lang w:val="de-DE"/>
        </w:rPr>
      </w:pPr>
    </w:p>
    <w:p w:rsidR="00693524" w:rsidRPr="00C83DF5" w:rsidRDefault="00194DAF" w:rsidP="00B33887">
      <w:pPr>
        <w:ind w:left="720"/>
        <w:rPr>
          <w:lang w:val="de-DE"/>
        </w:rPr>
      </w:pPr>
      <w:r w:rsidRPr="00C83DF5">
        <w:rPr>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w:t>
      </w:r>
      <w:r w:rsidR="00B33887">
        <w:rPr>
          <w:color w:val="000000"/>
          <w:lang w:val="de-DE"/>
        </w:rPr>
        <w:t> </w:t>
      </w:r>
      <w:r w:rsidRPr="00C83DF5">
        <w:rPr>
          <w:color w:val="000000"/>
          <w:lang w:val="de-DE"/>
        </w:rPr>
        <w:t>Ablauf der zugrunde liegende Abonnementlizenz oder bei Migration auf die nächste Hauptversion von</w:t>
      </w:r>
      <w:r w:rsidR="00B33887">
        <w:rPr>
          <w:color w:val="000000"/>
          <w:lang w:val="de-DE"/>
        </w:rPr>
        <w:t> </w:t>
      </w:r>
      <w:r w:rsidRPr="00C83DF5">
        <w:rPr>
          <w:color w:val="000000"/>
          <w:lang w:val="de-DE"/>
        </w:rPr>
        <w:t>Lync Online, je nachdem, welches Ereignis zuerst eintritt.</w:t>
      </w:r>
      <w:r w:rsidR="00E71F46" w:rsidRPr="00C83DF5">
        <w:rPr>
          <w:color w:val="000000"/>
          <w:lang w:val="de-DE"/>
        </w:rPr>
        <w:t xml:space="preserve"> </w:t>
      </w:r>
      <w:r w:rsidRPr="00C83DF5">
        <w:rPr>
          <w:color w:val="000000"/>
          <w:lang w:val="de-DE"/>
        </w:rPr>
        <w:t>Kunden sind berechtigt, den kostenlosen Lync</w:t>
      </w:r>
      <w:r w:rsidR="00B33887">
        <w:rPr>
          <w:color w:val="000000"/>
          <w:lang w:val="de-DE"/>
        </w:rPr>
        <w:t> </w:t>
      </w:r>
      <w:r w:rsidRPr="00C83DF5">
        <w:rPr>
          <w:color w:val="000000"/>
          <w:lang w:val="de-DE"/>
        </w:rPr>
        <w:t xml:space="preserve">Basic 2013-Client für ihre Windows-basierten Endbenutzer zu nutzen. </w:t>
      </w:r>
    </w:p>
    <w:p w:rsidR="006D33A5" w:rsidRPr="00C83DF5" w:rsidRDefault="006D33A5" w:rsidP="007B35CE">
      <w:pPr>
        <w:rPr>
          <w:lang w:val="de-DE"/>
        </w:rPr>
      </w:pPr>
    </w:p>
    <w:p w:rsidR="006D33A5" w:rsidRPr="00C83DF5" w:rsidRDefault="006D33A5" w:rsidP="003D0252">
      <w:pPr>
        <w:spacing w:after="60"/>
        <w:ind w:left="720"/>
      </w:pPr>
      <w:r w:rsidRPr="00C83DF5">
        <w:rPr>
          <w:rFonts w:eastAsia="Calibri" w:cs="Tahoma"/>
          <w:b/>
          <w:color w:val="000000"/>
          <w:szCs w:val="18"/>
        </w:rPr>
        <w:t>Government Community Cloud (nur USA)</w:t>
      </w:r>
    </w:p>
    <w:p w:rsidR="006D33A5" w:rsidRPr="00C83DF5" w:rsidRDefault="006D33A5" w:rsidP="00B33887">
      <w:pPr>
        <w:ind w:left="720"/>
        <w:rPr>
          <w:lang w:val="de-DE"/>
        </w:rPr>
      </w:pPr>
      <w:r w:rsidRPr="00C83DF5">
        <w:rPr>
          <w:rFonts w:eastAsia="Calibri" w:cs="Tahoma"/>
          <w:color w:val="000000"/>
          <w:szCs w:val="18"/>
        </w:rPr>
        <w:t>Einige Onlinedienste in der Office 365-Produktfamilie (darunter Lync Online Plan 1, 2 und 3) werden als Government Community Cloud-Dienste und Non-Government Community Cloud-Dienste angeboten.</w:t>
      </w:r>
      <w:r w:rsidR="00E71F46" w:rsidRPr="00C83DF5">
        <w:rPr>
          <w:rFonts w:eastAsia="Calibri" w:cs="Tahoma"/>
          <w:color w:val="000000"/>
          <w:szCs w:val="18"/>
        </w:rPr>
        <w:t xml:space="preserve"> </w:t>
      </w:r>
      <w:r w:rsidRPr="00C83DF5">
        <w:rPr>
          <w:rFonts w:eastAsia="Calibri" w:cs="Tahoma"/>
          <w:color w:val="000000"/>
          <w:szCs w:val="18"/>
          <w:lang w:val="de-DE"/>
        </w:rPr>
        <w:t>Die</w:t>
      </w:r>
      <w:r w:rsidR="00B33887">
        <w:rPr>
          <w:rFonts w:eastAsia="Calibri" w:cs="Tahoma"/>
          <w:color w:val="000000"/>
          <w:szCs w:val="18"/>
          <w:lang w:val="de-DE"/>
        </w:rPr>
        <w:t> </w:t>
      </w:r>
      <w:r w:rsidRPr="00C83DF5">
        <w:rPr>
          <w:rFonts w:eastAsia="Calibri" w:cs="Tahoma"/>
          <w:color w:val="000000"/>
          <w:szCs w:val="18"/>
          <w:lang w:val="de-DE"/>
        </w:rPr>
        <w:t>Bereitstellung an Kunden kann in der einen oder anderen Form erfolgen, jedoch nicht als Kombination aus beidem.</w:t>
      </w:r>
      <w:r w:rsidR="00E71F46" w:rsidRPr="00C83DF5">
        <w:rPr>
          <w:rFonts w:eastAsia="Calibri" w:cs="Tahoma"/>
          <w:color w:val="000000"/>
          <w:szCs w:val="18"/>
          <w:lang w:val="de-DE"/>
        </w:rPr>
        <w:t xml:space="preserve"> </w:t>
      </w:r>
      <w:r w:rsidRPr="00C83DF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71F46" w:rsidRPr="00C83DF5">
        <w:rPr>
          <w:rFonts w:eastAsia="Calibri" w:cs="Tahoma"/>
          <w:color w:val="000000"/>
          <w:szCs w:val="18"/>
          <w:lang w:val="de-DE"/>
        </w:rPr>
        <w:t xml:space="preserve"> </w:t>
      </w:r>
      <w:r w:rsidRPr="00C83DF5">
        <w:rPr>
          <w:rFonts w:eastAsia="Calibri" w:cs="Tahoma"/>
          <w:color w:val="000000"/>
          <w:szCs w:val="18"/>
          <w:lang w:val="de-DE"/>
        </w:rPr>
        <w:t>Diese</w:t>
      </w:r>
      <w:r w:rsidR="00B33887">
        <w:rPr>
          <w:rFonts w:eastAsia="Calibri" w:cs="Tahoma"/>
          <w:color w:val="000000"/>
          <w:szCs w:val="18"/>
          <w:lang w:val="de-DE"/>
        </w:rPr>
        <w:t> </w:t>
      </w:r>
      <w:r w:rsidRPr="00C83DF5">
        <w:rPr>
          <w:rFonts w:eastAsia="Calibri" w:cs="Tahoma"/>
          <w:color w:val="000000"/>
          <w:szCs w:val="18"/>
          <w:lang w:val="de-DE"/>
        </w:rPr>
        <w:t>Beschränkung gilt für alle Onlinedienste, die zur Office 365-Produktfamilie gehören, darunter Exchange Online, SharePoint Online und Lync Online.</w:t>
      </w:r>
      <w:r w:rsidR="00E71F46" w:rsidRPr="00C83DF5">
        <w:rPr>
          <w:rFonts w:eastAsia="Calibri" w:cs="Tahoma"/>
          <w:color w:val="000000"/>
          <w:szCs w:val="18"/>
          <w:lang w:val="de-DE"/>
        </w:rPr>
        <w:t xml:space="preserve"> </w:t>
      </w:r>
    </w:p>
    <w:p w:rsidR="006D33A5" w:rsidRDefault="006D33A5" w:rsidP="006D33A5">
      <w:pPr>
        <w:ind w:left="720"/>
        <w:rPr>
          <w:lang w:val="de-DE"/>
        </w:rPr>
      </w:pPr>
    </w:p>
    <w:p w:rsidR="00ED5B76" w:rsidRDefault="00ED5B76" w:rsidP="006D33A5">
      <w:pPr>
        <w:ind w:left="720"/>
        <w:rPr>
          <w:lang w:val="de-DE"/>
        </w:rPr>
      </w:pPr>
    </w:p>
    <w:p w:rsidR="00ED5B76" w:rsidRDefault="00ED5B76" w:rsidP="006D33A5">
      <w:pPr>
        <w:ind w:left="720"/>
        <w:rPr>
          <w:lang w:val="de-DE"/>
        </w:rPr>
      </w:pPr>
    </w:p>
    <w:p w:rsidR="00ED5B76" w:rsidRPr="00C83DF5" w:rsidRDefault="00ED5B76" w:rsidP="006D33A5">
      <w:pPr>
        <w:ind w:left="720"/>
        <w:rPr>
          <w:lang w:val="de-DE"/>
        </w:rPr>
      </w:pPr>
    </w:p>
    <w:p w:rsidR="006D33A5" w:rsidRPr="00C83DF5" w:rsidRDefault="006D33A5" w:rsidP="00ED5B76">
      <w:pPr>
        <w:ind w:left="720"/>
        <w:rPr>
          <w:lang w:val="de-DE"/>
        </w:rPr>
      </w:pPr>
      <w:r w:rsidRPr="00C83DF5">
        <w:rPr>
          <w:rFonts w:eastAsia="Calibri" w:cs="Tahoma"/>
          <w:color w:val="000000"/>
          <w:szCs w:val="18"/>
          <w:lang w:val="de-DE"/>
        </w:rPr>
        <w:lastRenderedPageBreak/>
        <w:t>Wenn ein Onlinedienst in der Government Community Cloud bereitgestellt wird, bleibt er für die Dauer der</w:t>
      </w:r>
      <w:r w:rsidR="00ED5B76">
        <w:rPr>
          <w:rFonts w:eastAsia="Calibri" w:cs="Tahoma"/>
          <w:color w:val="000000"/>
          <w:szCs w:val="18"/>
          <w:lang w:val="de-DE"/>
        </w:rPr>
        <w:t> </w:t>
      </w:r>
      <w:r w:rsidRPr="00C83DF5">
        <w:rPr>
          <w:rFonts w:eastAsia="Calibri" w:cs="Tahoma"/>
          <w:color w:val="000000"/>
          <w:szCs w:val="18"/>
          <w:lang w:val="de-DE"/>
        </w:rPr>
        <w:t>Abonnementlaufzeit dort.</w:t>
      </w:r>
      <w:r w:rsidR="00E71F46" w:rsidRPr="00C83DF5">
        <w:rPr>
          <w:rFonts w:eastAsia="Calibri" w:cs="Tahoma"/>
          <w:color w:val="000000"/>
          <w:szCs w:val="18"/>
          <w:lang w:val="de-DE"/>
        </w:rPr>
        <w:t xml:space="preserve"> </w:t>
      </w:r>
      <w:r w:rsidRPr="00C83DF5">
        <w:rPr>
          <w:rFonts w:eastAsia="Calibri" w:cs="Tahoma"/>
          <w:color w:val="000000"/>
          <w:szCs w:val="18"/>
          <w:lang w:val="de-DE"/>
        </w:rPr>
        <w:t>Kunden, bei denen es sich um US-amerikanische Verwaltungseinrichtungen auf nationaler, einzelstaatlicher, kommunaler oder Stammesebene handelt, müssen Vertragspartei eines</w:t>
      </w:r>
      <w:r w:rsidR="00ED5B76">
        <w:rPr>
          <w:rFonts w:eastAsia="Calibri" w:cs="Tahoma"/>
          <w:color w:val="000000"/>
          <w:szCs w:val="18"/>
          <w:lang w:val="de-DE"/>
        </w:rPr>
        <w:t> </w:t>
      </w:r>
      <w:r w:rsidRPr="00C83DF5">
        <w:rPr>
          <w:rFonts w:eastAsia="Calibri" w:cs="Tahoma"/>
          <w:color w:val="000000"/>
          <w:szCs w:val="18"/>
          <w:lang w:val="de-DE"/>
        </w:rPr>
        <w:t>Konzernbeitritts oder Konzern-Abonnement-Beitritts für US-Behörden sein, um zum Erwerb von</w:t>
      </w:r>
      <w:r w:rsidR="00ED5B76">
        <w:rPr>
          <w:rFonts w:eastAsia="Calibri" w:cs="Tahoma"/>
          <w:color w:val="000000"/>
          <w:szCs w:val="18"/>
          <w:lang w:val="de-DE"/>
        </w:rPr>
        <w:t> </w:t>
      </w:r>
      <w:r w:rsidRPr="00C83DF5">
        <w:rPr>
          <w:rFonts w:eastAsia="Calibri" w:cs="Tahoma"/>
          <w:color w:val="000000"/>
          <w:szCs w:val="18"/>
          <w:lang w:val="de-DE"/>
        </w:rPr>
        <w:t>Onlinediensten, die als Government Community Cloud bezeichnet werden, berechtigt zu sein.</w:t>
      </w:r>
      <w:r w:rsidR="00E71F46" w:rsidRPr="00C83DF5">
        <w:rPr>
          <w:rFonts w:eastAsia="Calibri" w:cs="Tahoma"/>
          <w:color w:val="000000"/>
          <w:szCs w:val="18"/>
          <w:lang w:val="de-DE"/>
        </w:rPr>
        <w:t xml:space="preserve"> </w:t>
      </w:r>
      <w:r w:rsidRPr="00C83DF5">
        <w:rPr>
          <w:rFonts w:eastAsia="Calibri" w:cs="Tahoma"/>
          <w:color w:val="000000"/>
          <w:szCs w:val="18"/>
          <w:lang w:val="de-DE"/>
        </w:rPr>
        <w:t>Die</w:t>
      </w:r>
      <w:r w:rsidR="00ED5B76">
        <w:rPr>
          <w:rFonts w:eastAsia="Calibri" w:cs="Tahoma"/>
          <w:color w:val="000000"/>
          <w:szCs w:val="18"/>
          <w:lang w:val="de-DE"/>
        </w:rPr>
        <w:t> </w:t>
      </w:r>
      <w:r w:rsidRPr="00C83DF5">
        <w:rPr>
          <w:rFonts w:eastAsia="Calibri" w:cs="Tahoma"/>
          <w:color w:val="000000"/>
          <w:szCs w:val="18"/>
          <w:lang w:val="de-DE"/>
        </w:rPr>
        <w:t>Nutzungsrechte für Government Community Cloud-Dienste entsprechen den Nutzungsrechten ihrer</w:t>
      </w:r>
      <w:r w:rsidR="00ED5B76">
        <w:rPr>
          <w:rFonts w:eastAsia="Calibri" w:cs="Tahoma"/>
          <w:color w:val="000000"/>
          <w:szCs w:val="18"/>
          <w:lang w:val="de-DE"/>
        </w:rPr>
        <w:t> </w:t>
      </w:r>
      <w:r w:rsidRPr="00C83DF5">
        <w:rPr>
          <w:rFonts w:eastAsia="Calibri" w:cs="Tahoma"/>
          <w:color w:val="000000"/>
          <w:szCs w:val="18"/>
          <w:lang w:val="de-DE"/>
        </w:rPr>
        <w:t>mehrinstanzenfähigen Standardäquivalente.</w:t>
      </w:r>
      <w:r w:rsidR="00E71F46" w:rsidRPr="00C83DF5">
        <w:rPr>
          <w:rFonts w:eastAsia="Calibri" w:cs="Tahoma"/>
          <w:color w:val="000000"/>
          <w:szCs w:val="18"/>
          <w:lang w:val="de-DE"/>
        </w:rPr>
        <w:t xml:space="preserve"> </w:t>
      </w:r>
    </w:p>
    <w:p w:rsidR="00FC31B7" w:rsidRPr="00ED5B76" w:rsidRDefault="00FC31B7" w:rsidP="00FC31B7">
      <w:pPr>
        <w:ind w:left="720"/>
        <w:rPr>
          <w:szCs w:val="18"/>
          <w:lang w:val="de-DE"/>
        </w:rPr>
      </w:pPr>
    </w:p>
    <w:p w:rsidR="00586FCE" w:rsidRPr="00ED5B76" w:rsidRDefault="00586FCE" w:rsidP="00FC31B7">
      <w:pPr>
        <w:ind w:left="720"/>
        <w:rPr>
          <w:szCs w:val="18"/>
          <w:lang w:val="de-DE"/>
        </w:rPr>
      </w:pPr>
    </w:p>
    <w:p w:rsidR="004E0852" w:rsidRPr="00C83DF5" w:rsidRDefault="00D629A3" w:rsidP="004E0852">
      <w:pPr>
        <w:pStyle w:val="Heading2"/>
        <w:ind w:left="0"/>
        <w:rPr>
          <w:lang w:val="de-DE"/>
        </w:rPr>
      </w:pPr>
      <w:bookmarkStart w:id="1365" w:name="_62_Lync_Server"/>
      <w:bookmarkStart w:id="1366" w:name="_71_Lync_Server"/>
      <w:bookmarkStart w:id="1367" w:name="_69_Lync_Server"/>
      <w:bookmarkStart w:id="1368" w:name="_Toc336338326"/>
      <w:bookmarkStart w:id="1369" w:name="Srv_62LyncServer2010StandEnt"/>
      <w:bookmarkStart w:id="1370" w:name="_Toc370983437"/>
      <w:bookmarkEnd w:id="1365"/>
      <w:bookmarkEnd w:id="1366"/>
      <w:bookmarkEnd w:id="1367"/>
      <w:r w:rsidRPr="00C83DF5">
        <w:rPr>
          <w:rFonts w:ascii="Tahoma" w:hAnsi="Tahoma" w:cs="Tahoma"/>
          <w:caps/>
          <w:color w:val="FA6500"/>
          <w:sz w:val="22"/>
          <w:vertAlign w:val="superscript"/>
          <w:lang w:val="de-DE"/>
        </w:rPr>
        <w:t>69</w:t>
      </w:r>
      <w:r w:rsidRPr="00ED5B76">
        <w:rPr>
          <w:rFonts w:ascii="Tahoma" w:hAnsi="Tahoma" w:cs="Tahoma"/>
          <w:caps/>
          <w:color w:val="FA6500"/>
          <w:sz w:val="22"/>
          <w:lang w:val="de-DE"/>
        </w:rPr>
        <w:t xml:space="preserve"> </w:t>
      </w:r>
      <w:r w:rsidRPr="00C83DF5">
        <w:rPr>
          <w:rFonts w:ascii="Tahoma" w:hAnsi="Tahoma" w:cs="Tahoma"/>
          <w:color w:val="FA6500"/>
          <w:sz w:val="22"/>
          <w:lang w:val="de-DE"/>
        </w:rPr>
        <w:t>Lync Server 2013</w:t>
      </w:r>
      <w:bookmarkEnd w:id="1370"/>
      <w:r w:rsidRPr="00C83DF5">
        <w:rPr>
          <w:rFonts w:ascii="Tahoma" w:hAnsi="Tahoma" w:cs="Tahoma"/>
          <w:color w:val="FA6500"/>
          <w:sz w:val="22"/>
          <w:lang w:val="de-DE"/>
        </w:rPr>
        <w:t xml:space="preserve"> </w:t>
      </w:r>
    </w:p>
    <w:p w:rsidR="004E0852" w:rsidRPr="00C83DF5" w:rsidRDefault="004E0852" w:rsidP="004E0852">
      <w:pPr>
        <w:ind w:left="720"/>
        <w:rPr>
          <w:lang w:val="de-DE"/>
        </w:rPr>
      </w:pPr>
    </w:p>
    <w:p w:rsidR="004E0852" w:rsidRPr="00C83DF5" w:rsidRDefault="004E0852" w:rsidP="002A031A">
      <w:pPr>
        <w:ind w:left="720"/>
        <w:rPr>
          <w:lang w:val="de-DE"/>
        </w:rPr>
      </w:pPr>
      <w:r w:rsidRPr="00C83DF5">
        <w:rPr>
          <w:rFonts w:cs="Tahoma"/>
          <w:color w:val="000000"/>
          <w:szCs w:val="18"/>
          <w:lang w:val="de-DE"/>
        </w:rPr>
        <w:t>Lync Server 2013 ist die neueste Version von Lync Server.</w:t>
      </w:r>
      <w:r w:rsidR="00E71F46" w:rsidRPr="00C83DF5">
        <w:rPr>
          <w:rFonts w:cs="Tahoma"/>
          <w:color w:val="000000"/>
          <w:szCs w:val="18"/>
          <w:lang w:val="de-DE"/>
        </w:rPr>
        <w:t xml:space="preserve"> </w:t>
      </w:r>
      <w:r w:rsidRPr="00C83DF5">
        <w:rPr>
          <w:rFonts w:cs="Tahoma"/>
          <w:color w:val="000000"/>
          <w:szCs w:val="18"/>
          <w:lang w:val="de-DE"/>
        </w:rPr>
        <w:t>Kunden mit aktiver Software Assurance für Lync</w:t>
      </w:r>
      <w:r w:rsidR="002A031A">
        <w:rPr>
          <w:rFonts w:cs="Tahoma"/>
          <w:color w:val="000000"/>
          <w:szCs w:val="18"/>
          <w:lang w:val="de-DE"/>
        </w:rPr>
        <w:t> </w:t>
      </w:r>
      <w:r w:rsidRPr="00C83DF5">
        <w:rPr>
          <w:rFonts w:cs="Tahoma"/>
          <w:color w:val="000000"/>
          <w:szCs w:val="18"/>
          <w:lang w:val="de-DE"/>
        </w:rPr>
        <w:t xml:space="preserve">Server 2010 Standard oder Enterprise </w:t>
      </w:r>
      <w:bookmarkEnd w:id="1368"/>
      <w:r w:rsidRPr="00C83DF5">
        <w:rPr>
          <w:rFonts w:cs="Tahoma"/>
          <w:color w:val="000000"/>
          <w:szCs w:val="18"/>
          <w:lang w:val="de-DE"/>
        </w:rPr>
        <w:t>am 1. Oktober 2012 sind berechtigt, auf Lync Server 2013 upzugraden und dies anstelle ihrer entsprechend lizenzierten Kopien von Lync Server 2010 zu verwenden.</w:t>
      </w:r>
    </w:p>
    <w:bookmarkEnd w:id="1369"/>
    <w:p w:rsidR="00CD0D74" w:rsidRPr="00C83DF5" w:rsidRDefault="00CD0D74" w:rsidP="00CD0D74">
      <w:pPr>
        <w:ind w:left="720"/>
        <w:rPr>
          <w:lang w:val="de-DE"/>
        </w:rPr>
      </w:pPr>
    </w:p>
    <w:p w:rsidR="00CD0D74" w:rsidRPr="00C83DF5" w:rsidRDefault="00CD0D74" w:rsidP="00CD0D74">
      <w:pPr>
        <w:ind w:left="720"/>
        <w:rPr>
          <w:lang w:val="de-DE"/>
        </w:rPr>
      </w:pPr>
      <w:r w:rsidRPr="00C83DF5">
        <w:rPr>
          <w:rFonts w:cs="Tahoma"/>
          <w:color w:val="000000"/>
          <w:szCs w:val="18"/>
          <w:lang w:val="de-DE"/>
        </w:rPr>
        <w:t>CALs für Lync Server 2013 sind die Nachfolge-CALs für CALs für Lync Server 2010.</w:t>
      </w:r>
      <w:r w:rsidR="00E71F46" w:rsidRPr="00C83DF5">
        <w:rPr>
          <w:rFonts w:cs="Tahoma"/>
          <w:color w:val="000000"/>
          <w:szCs w:val="18"/>
          <w:lang w:val="de-DE"/>
        </w:rPr>
        <w:t xml:space="preserve"> </w:t>
      </w:r>
    </w:p>
    <w:p w:rsidR="00CD0D74" w:rsidRPr="00C83DF5" w:rsidRDefault="00CD0D74" w:rsidP="00CD0D74">
      <w:pPr>
        <w:ind w:left="720"/>
        <w:rPr>
          <w:lang w:val="de-DE"/>
        </w:rPr>
      </w:pPr>
      <w:r w:rsidRPr="00C83DF5">
        <w:rPr>
          <w:rFonts w:cs="Tahoma"/>
          <w:color w:val="000000"/>
          <w:szCs w:val="18"/>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C83DF5" w:rsidTr="0057135E">
        <w:trPr>
          <w:trHeight w:val="332"/>
        </w:trPr>
        <w:tc>
          <w:tcPr>
            <w:tcW w:w="4500" w:type="dxa"/>
            <w:shd w:val="clear" w:color="auto" w:fill="FABF8F"/>
          </w:tcPr>
          <w:p w:rsidR="00CD0D74" w:rsidRPr="00C83DF5" w:rsidRDefault="00CD0D74" w:rsidP="0057135E">
            <w:pPr>
              <w:rPr>
                <w:rFonts w:cs="Tahoma"/>
                <w:b/>
                <w:color w:val="000000"/>
                <w:szCs w:val="18"/>
              </w:rPr>
            </w:pPr>
            <w:r w:rsidRPr="00C83DF5">
              <w:rPr>
                <w:rFonts w:cs="Tahoma"/>
                <w:b/>
                <w:color w:val="000000"/>
                <w:szCs w:val="18"/>
              </w:rPr>
              <w:t>Lync Server 2010 CAL</w:t>
            </w:r>
          </w:p>
        </w:tc>
        <w:tc>
          <w:tcPr>
            <w:tcW w:w="3600" w:type="dxa"/>
            <w:shd w:val="clear" w:color="auto" w:fill="FABF8F"/>
          </w:tcPr>
          <w:p w:rsidR="00CD0D74" w:rsidRPr="00C83DF5" w:rsidRDefault="00CD0D74" w:rsidP="0057135E">
            <w:pPr>
              <w:rPr>
                <w:rFonts w:cs="Tahoma"/>
                <w:b/>
                <w:color w:val="000000"/>
                <w:szCs w:val="18"/>
              </w:rPr>
            </w:pPr>
            <w:r w:rsidRPr="00C83DF5">
              <w:rPr>
                <w:rFonts w:cs="Tahoma"/>
                <w:b/>
                <w:color w:val="000000"/>
                <w:szCs w:val="18"/>
              </w:rPr>
              <w:t>Folgeversion</w:t>
            </w:r>
          </w:p>
        </w:tc>
      </w:tr>
      <w:tr w:rsidR="00CD0D74" w:rsidRPr="00C83DF5" w:rsidTr="0057135E">
        <w:trPr>
          <w:trHeight w:val="70"/>
        </w:trPr>
        <w:tc>
          <w:tcPr>
            <w:tcW w:w="4500" w:type="dxa"/>
            <w:shd w:val="clear" w:color="auto" w:fill="auto"/>
          </w:tcPr>
          <w:p w:rsidR="00CD0D74" w:rsidRPr="00C83DF5" w:rsidRDefault="00CD0D74" w:rsidP="0057135E">
            <w:pPr>
              <w:rPr>
                <w:rFonts w:cs="Tahoma"/>
                <w:color w:val="000000"/>
                <w:szCs w:val="18"/>
              </w:rPr>
            </w:pPr>
            <w:r w:rsidRPr="00C83DF5">
              <w:rPr>
                <w:rFonts w:cs="Tahoma"/>
                <w:color w:val="000000"/>
                <w:szCs w:val="18"/>
              </w:rPr>
              <w:t xml:space="preserve">Lync Server 2010 Plus CAL </w:t>
            </w:r>
          </w:p>
        </w:tc>
        <w:tc>
          <w:tcPr>
            <w:tcW w:w="3600" w:type="dxa"/>
            <w:shd w:val="clear" w:color="auto" w:fill="auto"/>
          </w:tcPr>
          <w:p w:rsidR="00CD0D74" w:rsidRPr="00C83DF5" w:rsidRDefault="00CD0D74" w:rsidP="0057135E">
            <w:pPr>
              <w:rPr>
                <w:rFonts w:cs="Tahoma"/>
                <w:color w:val="000000"/>
                <w:szCs w:val="18"/>
              </w:rPr>
            </w:pPr>
            <w:r w:rsidRPr="00C83DF5">
              <w:rPr>
                <w:rFonts w:cs="Tahoma"/>
                <w:color w:val="000000"/>
                <w:szCs w:val="18"/>
              </w:rPr>
              <w:t>Lync Server 2013 Plus-CAL</w:t>
            </w:r>
          </w:p>
        </w:tc>
      </w:tr>
      <w:tr w:rsidR="00CD0D74" w:rsidRPr="00C83DF5" w:rsidTr="0057135E">
        <w:trPr>
          <w:trHeight w:val="70"/>
        </w:trPr>
        <w:tc>
          <w:tcPr>
            <w:tcW w:w="4500" w:type="dxa"/>
            <w:shd w:val="clear" w:color="auto" w:fill="auto"/>
          </w:tcPr>
          <w:p w:rsidR="00CD0D74" w:rsidRPr="00C83DF5" w:rsidRDefault="00CD0D74" w:rsidP="0057135E">
            <w:pPr>
              <w:rPr>
                <w:rFonts w:cs="Tahoma"/>
                <w:color w:val="000000"/>
                <w:szCs w:val="18"/>
              </w:rPr>
            </w:pPr>
            <w:r w:rsidRPr="00C83DF5">
              <w:rPr>
                <w:rFonts w:cs="Tahoma"/>
                <w:color w:val="000000"/>
                <w:szCs w:val="18"/>
              </w:rPr>
              <w:t xml:space="preserve">Enterprise-CAL für Lync Server 2010 </w:t>
            </w:r>
          </w:p>
        </w:tc>
        <w:tc>
          <w:tcPr>
            <w:tcW w:w="3600" w:type="dxa"/>
            <w:shd w:val="clear" w:color="auto" w:fill="auto"/>
          </w:tcPr>
          <w:p w:rsidR="00CD0D74" w:rsidRPr="00C83DF5" w:rsidRDefault="00CD0D74" w:rsidP="0057135E">
            <w:pPr>
              <w:rPr>
                <w:rFonts w:cs="Tahoma"/>
                <w:color w:val="000000"/>
                <w:szCs w:val="18"/>
              </w:rPr>
            </w:pPr>
            <w:r w:rsidRPr="00C83DF5">
              <w:rPr>
                <w:rFonts w:cs="Tahoma"/>
                <w:color w:val="000000"/>
                <w:szCs w:val="18"/>
              </w:rPr>
              <w:t>Enterprise-CAL für Lync Server 2013</w:t>
            </w:r>
          </w:p>
        </w:tc>
      </w:tr>
      <w:tr w:rsidR="00CD0D74" w:rsidRPr="00C83DF5" w:rsidTr="0057135E">
        <w:trPr>
          <w:trHeight w:val="70"/>
        </w:trPr>
        <w:tc>
          <w:tcPr>
            <w:tcW w:w="4500" w:type="dxa"/>
            <w:shd w:val="clear" w:color="auto" w:fill="auto"/>
          </w:tcPr>
          <w:p w:rsidR="00CD0D74" w:rsidRPr="00C83DF5" w:rsidRDefault="00CD0D74" w:rsidP="0057135E">
            <w:pPr>
              <w:rPr>
                <w:rFonts w:cs="Tahoma"/>
                <w:color w:val="000000"/>
                <w:szCs w:val="18"/>
              </w:rPr>
            </w:pPr>
            <w:r w:rsidRPr="00C83DF5">
              <w:rPr>
                <w:rFonts w:cs="Tahoma"/>
                <w:color w:val="000000"/>
                <w:szCs w:val="18"/>
              </w:rPr>
              <w:t xml:space="preserve">Standard-CAL für Lync Server 2010 </w:t>
            </w:r>
          </w:p>
        </w:tc>
        <w:tc>
          <w:tcPr>
            <w:tcW w:w="3600" w:type="dxa"/>
            <w:shd w:val="clear" w:color="auto" w:fill="auto"/>
          </w:tcPr>
          <w:p w:rsidR="00CD0D74" w:rsidRPr="00C83DF5" w:rsidRDefault="00CD0D74" w:rsidP="0057135E">
            <w:pPr>
              <w:rPr>
                <w:rFonts w:cs="Tahoma"/>
                <w:color w:val="000000"/>
                <w:szCs w:val="18"/>
              </w:rPr>
            </w:pPr>
            <w:r w:rsidRPr="00C83DF5">
              <w:rPr>
                <w:rFonts w:cs="Tahoma"/>
                <w:color w:val="000000"/>
                <w:szCs w:val="18"/>
              </w:rPr>
              <w:t>Standard-CAL für Lync Server 2013</w:t>
            </w:r>
          </w:p>
        </w:tc>
      </w:tr>
    </w:tbl>
    <w:p w:rsidR="004E0852" w:rsidRPr="00C83DF5" w:rsidRDefault="004E0852" w:rsidP="003D0252"/>
    <w:p w:rsidR="004E0852" w:rsidRPr="00C83DF5" w:rsidRDefault="004E0852" w:rsidP="0080323A">
      <w:pPr>
        <w:spacing w:after="60"/>
        <w:ind w:left="720"/>
      </w:pPr>
      <w:r w:rsidRPr="00C83DF5">
        <w:rPr>
          <w:rFonts w:cs="Tahoma"/>
          <w:b/>
          <w:color w:val="000000"/>
          <w:szCs w:val="18"/>
        </w:rPr>
        <w:t>Lizenzgewährung für Kunden mit Externem Connector für Lync Server 2010 Enterprise, Externem Connector für Lync Server 2010 Plus und Externem Connector für Lync Server 2010 Standard</w:t>
      </w:r>
    </w:p>
    <w:p w:rsidR="00D57009" w:rsidRPr="00C83DF5" w:rsidRDefault="004E0852" w:rsidP="00440BBC">
      <w:pPr>
        <w:ind w:left="720"/>
      </w:pPr>
      <w:r w:rsidRPr="00C83DF5">
        <w:rPr>
          <w:rFonts w:cs="Tahoma"/>
          <w:color w:val="000000"/>
          <w:szCs w:val="18"/>
        </w:rPr>
        <w:t>Die 2010-Version des Externen Connector für Lync Server 2010 Enterprise, Externen Connector für Lync</w:t>
      </w:r>
      <w:r w:rsidR="00440BBC">
        <w:rPr>
          <w:rFonts w:cs="Tahoma"/>
          <w:color w:val="000000"/>
          <w:szCs w:val="18"/>
        </w:rPr>
        <w:t> </w:t>
      </w:r>
      <w:r w:rsidRPr="00C83DF5">
        <w:rPr>
          <w:rFonts w:cs="Tahoma"/>
          <w:color w:val="000000"/>
          <w:szCs w:val="18"/>
        </w:rPr>
        <w:t>Server 2010 Plus und Externen Connector für Lync Server 2010 Standard ist die letzte Version dieser Lizenzen.</w:t>
      </w:r>
      <w:r w:rsidR="00E71F46" w:rsidRPr="00C83DF5">
        <w:rPr>
          <w:rFonts w:cs="Tahoma"/>
          <w:color w:val="000000"/>
          <w:szCs w:val="18"/>
        </w:rPr>
        <w:t xml:space="preserve"> </w:t>
      </w:r>
      <w:r w:rsidRPr="00C83DF5">
        <w:rPr>
          <w:rFonts w:cs="Tahoma"/>
          <w:color w:val="000000"/>
          <w:szCs w:val="18"/>
        </w:rPr>
        <w:t>In Anbetracht dessen haben Kunden mit Externen Connector-Lizenzen für Lync Server 2010 Enterprise, Lync Server 2010 Plus oder Lync Server 2010 Standard mit aktiver Software Assurance zum 1.</w:t>
      </w:r>
      <w:r w:rsidR="00440BBC">
        <w:rPr>
          <w:rFonts w:cs="Tahoma"/>
          <w:color w:val="000000"/>
          <w:szCs w:val="18"/>
        </w:rPr>
        <w:t> </w:t>
      </w:r>
      <w:r w:rsidRPr="00C83DF5">
        <w:rPr>
          <w:rFonts w:cs="Tahoma"/>
          <w:color w:val="000000"/>
          <w:szCs w:val="18"/>
        </w:rPr>
        <w:t>Oktober 2012 Anspruch auf die folgende Lizenzgewährung.</w:t>
      </w:r>
    </w:p>
    <w:p w:rsidR="004E0852" w:rsidRPr="00C83DF5"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C83DF5" w:rsidTr="00BD1A6A">
        <w:trPr>
          <w:trHeight w:val="332"/>
        </w:trPr>
        <w:tc>
          <w:tcPr>
            <w:tcW w:w="4500" w:type="dxa"/>
            <w:shd w:val="clear" w:color="auto" w:fill="FABF8F"/>
          </w:tcPr>
          <w:p w:rsidR="00BD1A6A" w:rsidRPr="00C83DF5" w:rsidRDefault="00BD1A6A" w:rsidP="007B35CE">
            <w:pPr>
              <w:keepNext/>
              <w:rPr>
                <w:rFonts w:cs="Tahoma"/>
                <w:b/>
                <w:color w:val="000000"/>
                <w:szCs w:val="18"/>
              </w:rPr>
            </w:pPr>
            <w:r w:rsidRPr="00C83DF5">
              <w:rPr>
                <w:rFonts w:cs="Tahoma"/>
                <w:b/>
                <w:color w:val="000000"/>
                <w:szCs w:val="18"/>
              </w:rPr>
              <w:t>Kriterien für qualifizierende Lizenzen</w:t>
            </w:r>
          </w:p>
        </w:tc>
        <w:tc>
          <w:tcPr>
            <w:tcW w:w="3600" w:type="dxa"/>
            <w:shd w:val="clear" w:color="auto" w:fill="FABF8F"/>
          </w:tcPr>
          <w:p w:rsidR="00BD1A6A" w:rsidRPr="00C83DF5" w:rsidRDefault="00BD1A6A" w:rsidP="002C3AB1">
            <w:pPr>
              <w:rPr>
                <w:rFonts w:cs="Tahoma"/>
                <w:b/>
                <w:color w:val="000000"/>
                <w:szCs w:val="18"/>
              </w:rPr>
            </w:pPr>
            <w:r w:rsidRPr="00C83DF5">
              <w:rPr>
                <w:rFonts w:cs="Tahoma"/>
                <w:b/>
                <w:color w:val="000000"/>
                <w:szCs w:val="18"/>
              </w:rPr>
              <w:t>Zusätzliche Lizenzen und Vergünstigungen</w:t>
            </w:r>
          </w:p>
        </w:tc>
      </w:tr>
      <w:tr w:rsidR="00BD1A6A" w:rsidRPr="00C83DF5" w:rsidTr="00BD1A6A">
        <w:trPr>
          <w:trHeight w:val="70"/>
        </w:trPr>
        <w:tc>
          <w:tcPr>
            <w:tcW w:w="4500" w:type="dxa"/>
            <w:shd w:val="clear" w:color="auto" w:fill="auto"/>
          </w:tcPr>
          <w:p w:rsidR="00BD1A6A" w:rsidRPr="00C83DF5" w:rsidRDefault="00BD1A6A" w:rsidP="007B35CE">
            <w:pPr>
              <w:keepNext/>
              <w:rPr>
                <w:rFonts w:cs="Tahoma"/>
                <w:color w:val="000000"/>
                <w:szCs w:val="18"/>
              </w:rPr>
            </w:pPr>
            <w:r w:rsidRPr="00767765">
              <w:rPr>
                <w:rFonts w:cs="Tahoma"/>
                <w:color w:val="000000"/>
                <w:szCs w:val="18"/>
                <w:lang w:val="de-DE"/>
              </w:rPr>
              <w:t xml:space="preserve">Externer Connector für Lync Server 2010 Enterprise mit aktiver Software Assurance zum 1. </w:t>
            </w:r>
            <w:r w:rsidRPr="00C83DF5">
              <w:rPr>
                <w:rFonts w:cs="Tahoma"/>
                <w:color w:val="000000"/>
                <w:szCs w:val="18"/>
              </w:rPr>
              <w:t>Oktober 2012</w:t>
            </w:r>
          </w:p>
        </w:tc>
        <w:tc>
          <w:tcPr>
            <w:tcW w:w="3600" w:type="dxa"/>
            <w:shd w:val="clear" w:color="auto" w:fill="auto"/>
          </w:tcPr>
          <w:p w:rsidR="00BD1A6A" w:rsidRPr="00C83DF5" w:rsidRDefault="00BD1A6A" w:rsidP="002C3AB1">
            <w:pPr>
              <w:rPr>
                <w:rFonts w:cs="Tahoma"/>
                <w:color w:val="000000"/>
                <w:szCs w:val="18"/>
              </w:rPr>
            </w:pPr>
            <w:r w:rsidRPr="00C83DF5">
              <w:rPr>
                <w:rFonts w:cs="Tahoma"/>
                <w:color w:val="000000"/>
                <w:szCs w:val="18"/>
              </w:rPr>
              <w:t>Lizenz für Lync Server 2013</w:t>
            </w:r>
          </w:p>
        </w:tc>
      </w:tr>
      <w:tr w:rsidR="00BD1A6A" w:rsidRPr="00C83DF5" w:rsidTr="00BD1A6A">
        <w:trPr>
          <w:trHeight w:val="70"/>
        </w:trPr>
        <w:tc>
          <w:tcPr>
            <w:tcW w:w="4500" w:type="dxa"/>
            <w:shd w:val="clear" w:color="auto" w:fill="auto"/>
          </w:tcPr>
          <w:p w:rsidR="00BD1A6A" w:rsidRPr="00C83DF5" w:rsidRDefault="00BD1A6A" w:rsidP="003678D7">
            <w:pPr>
              <w:rPr>
                <w:rFonts w:cs="Tahoma"/>
                <w:color w:val="000000"/>
                <w:szCs w:val="18"/>
              </w:rPr>
            </w:pPr>
            <w:r w:rsidRPr="00767765">
              <w:rPr>
                <w:rFonts w:cs="Tahoma"/>
                <w:color w:val="000000"/>
                <w:szCs w:val="18"/>
                <w:lang w:val="de-DE"/>
              </w:rPr>
              <w:t xml:space="preserve">Externer Connector für Lync Server 2010 Plus mit aktiver Software Assurance zum 1. </w:t>
            </w:r>
            <w:r w:rsidRPr="00C83DF5">
              <w:rPr>
                <w:rFonts w:cs="Tahoma"/>
                <w:color w:val="000000"/>
                <w:szCs w:val="18"/>
              </w:rPr>
              <w:t>Oktober 2012</w:t>
            </w:r>
          </w:p>
        </w:tc>
        <w:tc>
          <w:tcPr>
            <w:tcW w:w="3600" w:type="dxa"/>
            <w:shd w:val="clear" w:color="auto" w:fill="auto"/>
          </w:tcPr>
          <w:p w:rsidR="00BD1A6A" w:rsidRPr="00C83DF5" w:rsidRDefault="00BD1A6A" w:rsidP="002C3AB1">
            <w:pPr>
              <w:rPr>
                <w:rFonts w:cs="Tahoma"/>
                <w:color w:val="000000"/>
                <w:szCs w:val="18"/>
              </w:rPr>
            </w:pPr>
            <w:r w:rsidRPr="00C83DF5">
              <w:rPr>
                <w:rFonts w:cs="Tahoma"/>
                <w:color w:val="000000"/>
                <w:szCs w:val="18"/>
              </w:rPr>
              <w:t>Lizenz für Lync Server 2013</w:t>
            </w:r>
          </w:p>
        </w:tc>
      </w:tr>
      <w:tr w:rsidR="00BD1A6A" w:rsidRPr="00C83DF5" w:rsidTr="00BD1A6A">
        <w:trPr>
          <w:trHeight w:val="70"/>
        </w:trPr>
        <w:tc>
          <w:tcPr>
            <w:tcW w:w="4500" w:type="dxa"/>
            <w:shd w:val="clear" w:color="auto" w:fill="auto"/>
          </w:tcPr>
          <w:p w:rsidR="00BD1A6A" w:rsidRPr="00C83DF5" w:rsidRDefault="00BD1A6A" w:rsidP="003678D7">
            <w:pPr>
              <w:rPr>
                <w:rFonts w:cs="Tahoma"/>
                <w:color w:val="000000"/>
                <w:szCs w:val="18"/>
              </w:rPr>
            </w:pPr>
            <w:r w:rsidRPr="00C83DF5">
              <w:rPr>
                <w:rFonts w:cs="Tahoma"/>
                <w:color w:val="000000"/>
                <w:szCs w:val="18"/>
                <w:lang w:val="de-DE"/>
              </w:rPr>
              <w:t xml:space="preserve">Externer Connector für Lync Server 2010 Standard mit aktiver Software Assurance zum 1. </w:t>
            </w:r>
            <w:r w:rsidRPr="00C83DF5">
              <w:rPr>
                <w:rFonts w:cs="Tahoma"/>
                <w:color w:val="000000"/>
                <w:szCs w:val="18"/>
              </w:rPr>
              <w:t>Oktober 2012</w:t>
            </w:r>
          </w:p>
        </w:tc>
        <w:tc>
          <w:tcPr>
            <w:tcW w:w="3600" w:type="dxa"/>
            <w:shd w:val="clear" w:color="auto" w:fill="auto"/>
          </w:tcPr>
          <w:p w:rsidR="00BD1A6A" w:rsidRPr="00C83DF5" w:rsidRDefault="00BD1A6A" w:rsidP="002C3AB1">
            <w:pPr>
              <w:rPr>
                <w:rFonts w:cs="Tahoma"/>
                <w:color w:val="000000"/>
                <w:szCs w:val="18"/>
              </w:rPr>
            </w:pPr>
            <w:r w:rsidRPr="00C83DF5">
              <w:rPr>
                <w:rFonts w:cs="Tahoma"/>
                <w:color w:val="000000"/>
                <w:szCs w:val="18"/>
              </w:rPr>
              <w:t>Lizenz für Lync Server 2013</w:t>
            </w:r>
          </w:p>
        </w:tc>
      </w:tr>
    </w:tbl>
    <w:p w:rsidR="004E0852" w:rsidRPr="00C83DF5" w:rsidRDefault="004E0852" w:rsidP="004E0852">
      <w:pPr>
        <w:ind w:left="720"/>
        <w:jc w:val="both"/>
      </w:pPr>
    </w:p>
    <w:p w:rsidR="004E0852" w:rsidRPr="00C83DF5" w:rsidRDefault="004E0852" w:rsidP="004E0852">
      <w:pPr>
        <w:ind w:left="720"/>
        <w:rPr>
          <w:lang w:val="de-DE"/>
        </w:rPr>
      </w:pPr>
      <w:r w:rsidRPr="00C83DF5">
        <w:rPr>
          <w:rFonts w:cs="Tahoma"/>
          <w:color w:val="000000"/>
          <w:szCs w:val="18"/>
          <w:lang w:val="de-DE"/>
        </w:rPr>
        <w:t>Die folgenden Bestimmungen gelten für die Lizenzgewährungen oben.</w:t>
      </w:r>
    </w:p>
    <w:p w:rsidR="004E0852" w:rsidRPr="00C83DF5" w:rsidRDefault="004E0852" w:rsidP="004E0852">
      <w:pPr>
        <w:ind w:left="720"/>
        <w:rPr>
          <w:lang w:val="de-DE"/>
        </w:rPr>
      </w:pPr>
    </w:p>
    <w:p w:rsidR="004E0852" w:rsidRPr="00C83DF5" w:rsidRDefault="004E0852" w:rsidP="00346F4B">
      <w:pPr>
        <w:numPr>
          <w:ilvl w:val="0"/>
          <w:numId w:val="101"/>
        </w:numPr>
        <w:spacing w:after="60"/>
        <w:ind w:left="1440"/>
        <w:rPr>
          <w:lang w:val="de-DE"/>
        </w:rPr>
      </w:pPr>
      <w:r w:rsidRPr="00C83DF5">
        <w:rPr>
          <w:rFonts w:cs="Tahoma"/>
          <w:bCs/>
          <w:color w:val="000000"/>
          <w:szCs w:val="18"/>
          <w:u w:val="single"/>
          <w:lang w:val="de-DE"/>
        </w:rPr>
        <w:t>Migrationspfad</w:t>
      </w:r>
      <w:r w:rsidRPr="007022CD">
        <w:rPr>
          <w:rFonts w:cs="Tahoma"/>
          <w:color w:val="000000"/>
          <w:szCs w:val="18"/>
          <w:lang w:val="de-DE"/>
        </w:rPr>
        <w:t xml:space="preserve">: </w:t>
      </w:r>
      <w:r w:rsidRPr="00C83DF5">
        <w:rPr>
          <w:rFonts w:cs="Tahoma"/>
          <w:color w:val="000000"/>
          <w:szCs w:val="18"/>
          <w:lang w:val="de-DE"/>
        </w:rPr>
        <w:t>Kunden mit aktiver Software Assurance für eine bestimmte Qualifizierende Lizenz zum 1. Oktober 2012 sind bei Freigabe von Lync Server 2013 berechtigt, unter der Zusätzlichen Lizenz auf die Software Lync Server 2013 upzugraden und sie anstelle der Software Lync Server 2010 unter der jeweiligen qualifizierenden Externen Connector-Lizenz zu verwenden.</w:t>
      </w:r>
      <w:r w:rsidR="00E71F46" w:rsidRPr="00C83DF5">
        <w:rPr>
          <w:rFonts w:cs="Tahoma"/>
          <w:color w:val="000000"/>
          <w:szCs w:val="18"/>
          <w:lang w:val="de-DE"/>
        </w:rPr>
        <w:t xml:space="preserve"> </w:t>
      </w:r>
    </w:p>
    <w:p w:rsidR="004E0852" w:rsidRPr="00941FA2" w:rsidRDefault="004E0852" w:rsidP="00941FA2">
      <w:pPr>
        <w:numPr>
          <w:ilvl w:val="0"/>
          <w:numId w:val="101"/>
        </w:numPr>
        <w:spacing w:after="60"/>
        <w:ind w:left="1440"/>
        <w:rPr>
          <w:lang w:val="de-DE"/>
        </w:rPr>
      </w:pPr>
      <w:r w:rsidRPr="00C83DF5">
        <w:rPr>
          <w:rFonts w:cs="Tahoma"/>
          <w:color w:val="000000"/>
          <w:szCs w:val="18"/>
          <w:u w:val="single"/>
          <w:lang w:val="de-DE"/>
        </w:rPr>
        <w:t>Nutzungsrechte</w:t>
      </w:r>
      <w:r w:rsidRPr="00C83DF5">
        <w:rPr>
          <w:rFonts w:cs="Tahoma"/>
          <w:color w:val="000000"/>
          <w:szCs w:val="18"/>
          <w:lang w:val="de-DE"/>
        </w:rPr>
        <w:t>: Das Recht zur Nutzung der Software unter der Zusätzlichen Lizenz unter diesem Angebot gilt bis zum Ablauf des Rechts zur Nutzung der Software unter der Qualifizierenden Lizenz.</w:t>
      </w:r>
      <w:r w:rsidR="00941FA2">
        <w:rPr>
          <w:rFonts w:cs="Tahoma"/>
          <w:color w:val="000000"/>
          <w:szCs w:val="18"/>
          <w:lang w:val="de-DE"/>
        </w:rPr>
        <w:t> </w:t>
      </w:r>
      <w:r w:rsidRPr="00C83DF5">
        <w:rPr>
          <w:rFonts w:cs="Tahoma"/>
          <w:color w:val="000000"/>
          <w:szCs w:val="18"/>
          <w:lang w:val="de-DE"/>
        </w:rPr>
        <w:t>Die Nutzung dieser Software unterliegt den Nutzungsrechten für die Software und den</w:t>
      </w:r>
      <w:r w:rsidR="00941FA2">
        <w:rPr>
          <w:rFonts w:cs="Tahoma"/>
          <w:color w:val="000000"/>
          <w:szCs w:val="18"/>
          <w:lang w:val="de-DE"/>
        </w:rPr>
        <w:t> </w:t>
      </w:r>
      <w:r w:rsidRPr="00C83DF5">
        <w:rPr>
          <w:rFonts w:cs="Tahoma"/>
          <w:color w:val="000000"/>
          <w:szCs w:val="18"/>
          <w:lang w:val="de-DE"/>
        </w:rPr>
        <w:t>Bestimmungen des Volumenlizenzvertrages des Kunden.</w:t>
      </w:r>
      <w:r w:rsidR="00E71F46" w:rsidRPr="00C83DF5">
        <w:rPr>
          <w:rFonts w:cs="Tahoma"/>
          <w:color w:val="000000"/>
          <w:szCs w:val="18"/>
          <w:lang w:val="de-DE"/>
        </w:rPr>
        <w:t xml:space="preserve"> </w:t>
      </w:r>
      <w:r w:rsidRPr="00C83DF5">
        <w:rPr>
          <w:rFonts w:cs="Tahoma"/>
          <w:color w:val="000000"/>
          <w:szCs w:val="18"/>
          <w:lang w:val="de-DE"/>
        </w:rPr>
        <w:t>Dieser Hinweis auf die Produktbedingungen und der Nachweis des Kunden über die entsprechende Qualifizierende Lizenz</w:t>
      </w:r>
      <w:r w:rsidR="00941FA2">
        <w:rPr>
          <w:rFonts w:cs="Tahoma"/>
          <w:color w:val="000000"/>
          <w:szCs w:val="18"/>
          <w:lang w:val="de-DE"/>
        </w:rPr>
        <w:t> </w:t>
      </w:r>
      <w:r w:rsidRPr="00C83DF5">
        <w:rPr>
          <w:rFonts w:cs="Tahoma"/>
          <w:color w:val="000000"/>
          <w:szCs w:val="18"/>
          <w:lang w:val="de-DE"/>
        </w:rPr>
        <w:t>und Software Assurance belegen zusammen das Recht zur Nutzung der Software unter der</w:t>
      </w:r>
      <w:r w:rsidR="00941FA2">
        <w:rPr>
          <w:rFonts w:cs="Tahoma"/>
          <w:color w:val="000000"/>
          <w:szCs w:val="18"/>
          <w:lang w:val="de-DE"/>
        </w:rPr>
        <w:t> </w:t>
      </w:r>
      <w:r w:rsidRPr="00C83DF5">
        <w:rPr>
          <w:rFonts w:cs="Tahoma"/>
          <w:color w:val="000000"/>
          <w:szCs w:val="18"/>
          <w:lang w:val="de-DE"/>
        </w:rPr>
        <w:t xml:space="preserve">Zusätzlichen Lizenz unter diesem Angebot. </w:t>
      </w:r>
    </w:p>
    <w:p w:rsidR="00941FA2" w:rsidRDefault="00941FA2" w:rsidP="00941FA2">
      <w:pPr>
        <w:spacing w:after="60"/>
        <w:rPr>
          <w:lang w:val="de-DE"/>
        </w:rPr>
      </w:pPr>
    </w:p>
    <w:p w:rsidR="00941FA2" w:rsidRPr="00C83DF5" w:rsidRDefault="00941FA2" w:rsidP="00941FA2">
      <w:pPr>
        <w:spacing w:after="60"/>
        <w:rPr>
          <w:lang w:val="de-DE"/>
        </w:rPr>
      </w:pPr>
    </w:p>
    <w:p w:rsidR="004E0852" w:rsidRPr="00C83DF5" w:rsidRDefault="004E0852" w:rsidP="00941FA2">
      <w:pPr>
        <w:numPr>
          <w:ilvl w:val="0"/>
          <w:numId w:val="8"/>
        </w:numPr>
        <w:spacing w:after="60"/>
        <w:ind w:left="1440"/>
        <w:rPr>
          <w:lang w:val="de-DE"/>
        </w:rPr>
      </w:pPr>
      <w:r w:rsidRPr="00C83DF5">
        <w:rPr>
          <w:rFonts w:cs="Tahoma"/>
          <w:color w:val="000000"/>
          <w:szCs w:val="18"/>
          <w:u w:val="single"/>
          <w:lang w:val="de-DE"/>
        </w:rPr>
        <w:lastRenderedPageBreak/>
        <w:t>Lizenz und Software Assurance</w:t>
      </w:r>
      <w:r w:rsidRPr="00C83DF5">
        <w:rPr>
          <w:rFonts w:cs="Tahoma"/>
          <w:color w:val="000000"/>
          <w:szCs w:val="18"/>
          <w:lang w:val="de-DE"/>
        </w:rPr>
        <w:t>: Die Zusätzliche Lizenz enthält Software Assurance.</w:t>
      </w:r>
      <w:r w:rsidR="00E71F46" w:rsidRPr="00C83DF5">
        <w:rPr>
          <w:rFonts w:cs="Tahoma"/>
          <w:color w:val="000000"/>
          <w:szCs w:val="18"/>
          <w:lang w:val="de-DE"/>
        </w:rPr>
        <w:t xml:space="preserve"> </w:t>
      </w:r>
      <w:r w:rsidRPr="00C83DF5">
        <w:rPr>
          <w:rFonts w:cs="Tahoma"/>
          <w:color w:val="000000"/>
          <w:szCs w:val="18"/>
          <w:lang w:val="de-DE"/>
        </w:rPr>
        <w:t>Software</w:t>
      </w:r>
      <w:r w:rsidR="00941FA2">
        <w:rPr>
          <w:rFonts w:cs="Tahoma"/>
          <w:color w:val="000000"/>
          <w:szCs w:val="18"/>
          <w:lang w:val="de-DE"/>
        </w:rPr>
        <w:t> </w:t>
      </w:r>
      <w:r w:rsidRPr="00C83DF5">
        <w:rPr>
          <w:rFonts w:cs="Tahoma"/>
          <w:color w:val="000000"/>
          <w:szCs w:val="18"/>
          <w:lang w:val="de-DE"/>
        </w:rPr>
        <w:t>Assurance für die Zusätzliche Lizenz gilt bis zum Ablauf der Software Assurance für die Qualifizierende Lizenz.</w:t>
      </w:r>
      <w:r w:rsidR="00E71F46" w:rsidRPr="00C83DF5">
        <w:rPr>
          <w:rFonts w:cs="Tahoma"/>
          <w:color w:val="000000"/>
          <w:szCs w:val="18"/>
          <w:lang w:val="de-DE"/>
        </w:rPr>
        <w:t xml:space="preserve"> </w:t>
      </w:r>
      <w:r w:rsidRPr="00C83DF5">
        <w:rPr>
          <w:rFonts w:cs="Tahoma"/>
          <w:color w:val="000000"/>
          <w:szCs w:val="18"/>
          <w:lang w:val="de-DE"/>
        </w:rPr>
        <w:t>Nach Ablauf von Software Assurance für die Qualifizierende Lizenz kann der Kunde Software Assurance für die Zusätzliche Lizenz verlängern, ohne separat eine neue Lizenz erwerben zu müssen.</w:t>
      </w:r>
    </w:p>
    <w:p w:rsidR="004E0852" w:rsidRPr="00C83DF5" w:rsidRDefault="004E0852" w:rsidP="00346F4B">
      <w:pPr>
        <w:numPr>
          <w:ilvl w:val="0"/>
          <w:numId w:val="102"/>
        </w:numPr>
        <w:spacing w:after="60"/>
        <w:ind w:left="1440"/>
        <w:rPr>
          <w:lang w:val="de-DE"/>
        </w:rPr>
      </w:pPr>
      <w:r w:rsidRPr="00C83DF5">
        <w:rPr>
          <w:rFonts w:eastAsia="Calibri" w:cs="Tahoma"/>
          <w:color w:val="000000"/>
          <w:szCs w:val="18"/>
          <w:u w:val="single"/>
          <w:lang w:val="de-DE"/>
        </w:rPr>
        <w:t>True Ups</w:t>
      </w:r>
      <w:r w:rsidRPr="00941FA2">
        <w:rPr>
          <w:rFonts w:eastAsia="Calibri" w:cs="Tahoma"/>
          <w:color w:val="000000"/>
          <w:szCs w:val="18"/>
          <w:lang w:val="de-DE"/>
        </w:rPr>
        <w:t>:</w:t>
      </w:r>
      <w:r w:rsidR="00E71F46" w:rsidRPr="00C83DF5">
        <w:rPr>
          <w:rFonts w:eastAsia="Calibri" w:cs="Tahoma"/>
          <w:color w:val="000000"/>
          <w:szCs w:val="18"/>
          <w:lang w:val="de-DE"/>
        </w:rPr>
        <w:t xml:space="preserve"> </w:t>
      </w:r>
      <w:r w:rsidRPr="00C83DF5">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C83DF5">
        <w:rPr>
          <w:rFonts w:cs="Tahoma"/>
          <w:color w:val="000000"/>
          <w:szCs w:val="18"/>
          <w:lang w:val="de-DE"/>
        </w:rPr>
        <w:t xml:space="preserve">Prozess erworben wurden, ebenfalls als Qualifizierende Lizenzen. </w:t>
      </w:r>
    </w:p>
    <w:p w:rsidR="004E0852" w:rsidRPr="00C83DF5" w:rsidRDefault="003D0252" w:rsidP="00346F4B">
      <w:pPr>
        <w:numPr>
          <w:ilvl w:val="0"/>
          <w:numId w:val="102"/>
        </w:numPr>
        <w:spacing w:after="60"/>
        <w:ind w:left="1440"/>
        <w:rPr>
          <w:lang w:val="de-DE"/>
        </w:rPr>
      </w:pPr>
      <w:r w:rsidRPr="00C83DF5">
        <w:rPr>
          <w:rFonts w:cs="Tahoma"/>
          <w:color w:val="000000"/>
          <w:szCs w:val="18"/>
          <w:u w:val="single"/>
          <w:lang w:val="de-DE"/>
        </w:rPr>
        <w:t>Abonnement-Verträge</w:t>
      </w:r>
      <w:r w:rsidRPr="00941FA2">
        <w:rPr>
          <w:rFonts w:cs="Tahoma"/>
          <w:color w:val="000000"/>
          <w:szCs w:val="18"/>
          <w:lang w:val="de-DE"/>
        </w:rPr>
        <w:t>:</w:t>
      </w:r>
      <w:r w:rsidR="00E71F46" w:rsidRPr="00C83DF5">
        <w:rPr>
          <w:rFonts w:cs="Tahoma"/>
          <w:color w:val="000000"/>
          <w:szCs w:val="18"/>
          <w:lang w:val="de-DE"/>
        </w:rPr>
        <w:t xml:space="preserve"> </w:t>
      </w:r>
      <w:r w:rsidRPr="00C83DF5">
        <w:rPr>
          <w:rFonts w:cs="Tahoma"/>
          <w:color w:val="000000"/>
          <w:szCs w:val="18"/>
          <w:lang w:val="de-DE"/>
        </w:rPr>
        <w:t xml:space="preserve">Für Konzern-Abonnement-Verträge, </w:t>
      </w:r>
      <w:r w:rsidRPr="00C83DF5">
        <w:rPr>
          <w:rFonts w:cs="Tahoma"/>
          <w:szCs w:val="18"/>
          <w:lang w:val="de-DE"/>
        </w:rPr>
        <w:t>Open Value Subscription-Verträge, Campus- und School-Verträge, Beitritt für Bildungslösungen und Open Value Subscription – Bildungslösungen-Verträge werden vorübergehend unter denselben Bedingungen</w:t>
      </w:r>
      <w:r w:rsidRPr="00C83DF5">
        <w:rPr>
          <w:rFonts w:cs="Tahoma"/>
          <w:color w:val="000000"/>
          <w:szCs w:val="18"/>
          <w:lang w:val="de-DE"/>
        </w:rPr>
        <w:t xml:space="preserve"> bis zum Ende der aktuellen Beitrittslaufzeit (bzw. Vertragslaufzeit im Falle von Open Value) die gleichen Rechte gewährt.</w:t>
      </w:r>
      <w:r w:rsidR="00E71F46" w:rsidRPr="00C83DF5">
        <w:rPr>
          <w:rFonts w:cs="Tahoma"/>
          <w:color w:val="000000"/>
          <w:szCs w:val="18"/>
          <w:lang w:val="de-DE"/>
        </w:rPr>
        <w:t xml:space="preserve"> </w:t>
      </w:r>
      <w:r w:rsidRPr="00C83DF5">
        <w:rPr>
          <w:rFonts w:cs="Tahoma"/>
          <w:color w:val="000000"/>
          <w:szCs w:val="18"/>
          <w:lang w:val="de-DE"/>
        </w:rPr>
        <w:t>Der Kunde muss das Abonnement ununterbrochen aufrechterhalten.</w:t>
      </w:r>
      <w:r w:rsidR="00E71F46" w:rsidRPr="00C83DF5">
        <w:rPr>
          <w:rFonts w:cs="Tahoma"/>
          <w:color w:val="000000"/>
          <w:szCs w:val="18"/>
          <w:lang w:val="de-DE"/>
        </w:rPr>
        <w:t xml:space="preserve"> </w:t>
      </w:r>
      <w:r w:rsidRPr="00C83DF5">
        <w:rPr>
          <w:rFonts w:cs="Tahoma"/>
          <w:color w:val="000000"/>
          <w:szCs w:val="18"/>
          <w:lang w:val="de-DE"/>
        </w:rPr>
        <w:t>Diese Rechte werden erst nach Ausübung der Buy-Out-Option zeitlich unbeschränkt und unterliegen weiterhin allen Bestimmungen des Lizenzvertrages des Kunden.</w:t>
      </w:r>
    </w:p>
    <w:p w:rsidR="004E0852" w:rsidRPr="00C83DF5" w:rsidRDefault="004E0852" w:rsidP="00346F4B">
      <w:pPr>
        <w:numPr>
          <w:ilvl w:val="0"/>
          <w:numId w:val="103"/>
        </w:numPr>
        <w:spacing w:after="60"/>
        <w:ind w:left="1440"/>
        <w:rPr>
          <w:lang w:val="de-DE"/>
        </w:rPr>
      </w:pPr>
      <w:r w:rsidRPr="00C83DF5">
        <w:rPr>
          <w:rFonts w:cs="Tahoma"/>
          <w:szCs w:val="18"/>
          <w:u w:val="single"/>
          <w:lang w:val="de-DE"/>
        </w:rPr>
        <w:t>Übergänge für Campus- und School-Verträge</w:t>
      </w:r>
      <w:r w:rsidRPr="00941FA2">
        <w:rPr>
          <w:rFonts w:cs="Tahoma"/>
          <w:szCs w:val="18"/>
          <w:lang w:val="de-DE"/>
        </w:rPr>
        <w:t>:</w:t>
      </w:r>
      <w:r w:rsidRPr="00C83DF5">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E0852" w:rsidRPr="007D2113" w:rsidRDefault="004E0852" w:rsidP="00346F4B">
      <w:pPr>
        <w:pStyle w:val="ListParagraph"/>
        <w:numPr>
          <w:ilvl w:val="0"/>
          <w:numId w:val="87"/>
        </w:numPr>
        <w:spacing w:after="60"/>
        <w:ind w:left="1980"/>
        <w:contextualSpacing w:val="0"/>
        <w:rPr>
          <w:sz w:val="18"/>
          <w:szCs w:val="18"/>
          <w:lang w:val="de-DE"/>
        </w:rPr>
      </w:pPr>
      <w:r w:rsidRPr="007D2113">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BA1490" w:rsidRPr="007D2113" w:rsidRDefault="004E0852" w:rsidP="00346F4B">
      <w:pPr>
        <w:pStyle w:val="ListParagraph"/>
        <w:numPr>
          <w:ilvl w:val="0"/>
          <w:numId w:val="87"/>
        </w:numPr>
        <w:spacing w:after="60"/>
        <w:ind w:left="1980"/>
        <w:contextualSpacing w:val="0"/>
        <w:rPr>
          <w:sz w:val="18"/>
          <w:szCs w:val="18"/>
          <w:lang w:val="de-DE"/>
        </w:rPr>
      </w:pPr>
      <w:r w:rsidRPr="007D2113">
        <w:rPr>
          <w:rFonts w:ascii="Tahoma" w:hAnsi="Tahoma" w:cs="Tahoma"/>
          <w:sz w:val="18"/>
          <w:szCs w:val="18"/>
          <w:lang w:val="de-DE"/>
        </w:rPr>
        <w:t>Diese Rechte werden erst nach Ausübung der Buy-Out-Option zeitlich unbeschränkt und unterliegen weiterhin allen Bestimmungen des Lizenzvertrages des Kunden.</w:t>
      </w:r>
      <w:bookmarkStart w:id="1371" w:name="_66_Lync_Server"/>
      <w:bookmarkStart w:id="1372" w:name="_Toc336338327"/>
      <w:bookmarkStart w:id="1373" w:name="Srv_57OfficeCommSvrOnlineStd"/>
      <w:bookmarkEnd w:id="1371"/>
    </w:p>
    <w:p w:rsidR="00586FCE" w:rsidRPr="00C83DF5" w:rsidRDefault="00586FCE" w:rsidP="003D0252">
      <w:pPr>
        <w:rPr>
          <w:lang w:val="de-DE"/>
        </w:rPr>
      </w:pPr>
      <w:bookmarkStart w:id="1374" w:name="Srv_56MicrosoftDynamicsCRM2011"/>
      <w:bookmarkStart w:id="1375" w:name="Srv_67MicrosoftDynamicsCRM2011"/>
    </w:p>
    <w:p w:rsidR="002512D3" w:rsidRPr="00C83DF5" w:rsidRDefault="002512D3">
      <w:pPr>
        <w:rPr>
          <w:lang w:val="de-DE"/>
        </w:rPr>
      </w:pPr>
    </w:p>
    <w:p w:rsidR="00253288" w:rsidRPr="00C83DF5" w:rsidRDefault="00A560B6" w:rsidP="00D47417">
      <w:pPr>
        <w:pStyle w:val="Heading3"/>
        <w:rPr>
          <w:lang w:val="de-DE"/>
        </w:rPr>
      </w:pPr>
      <w:bookmarkStart w:id="1376" w:name="_72_Microsoft_Dynamics"/>
      <w:bookmarkStart w:id="1377" w:name="_Toc370983438"/>
      <w:bookmarkEnd w:id="1376"/>
      <w:r w:rsidRPr="00C83DF5">
        <w:rPr>
          <w:rFonts w:ascii="Tahoma" w:hAnsi="Tahoma"/>
          <w:color w:val="F66400"/>
          <w:sz w:val="22"/>
          <w:vertAlign w:val="superscript"/>
          <w:lang w:val="de-DE"/>
        </w:rPr>
        <w:t>70</w:t>
      </w:r>
      <w:r w:rsidRPr="00C83DF5">
        <w:rPr>
          <w:rFonts w:ascii="Tahoma" w:hAnsi="Tahoma"/>
          <w:color w:val="F66400"/>
          <w:sz w:val="22"/>
          <w:lang w:val="de-DE"/>
        </w:rPr>
        <w:t xml:space="preserve"> Microsoft Dynamics AX 2012</w:t>
      </w:r>
      <w:bookmarkEnd w:id="1372"/>
      <w:r w:rsidRPr="00C83DF5">
        <w:rPr>
          <w:rFonts w:ascii="Tahoma" w:hAnsi="Tahoma"/>
          <w:color w:val="F66400"/>
          <w:sz w:val="22"/>
          <w:lang w:val="de-DE"/>
        </w:rPr>
        <w:t xml:space="preserve"> R2</w:t>
      </w:r>
      <w:bookmarkEnd w:id="1377"/>
    </w:p>
    <w:p w:rsidR="003D0252" w:rsidRPr="00C83DF5" w:rsidRDefault="003D0252" w:rsidP="003D0252">
      <w:pPr>
        <w:rPr>
          <w:lang w:val="de-DE"/>
        </w:rPr>
      </w:pPr>
    </w:p>
    <w:p w:rsidR="00047874" w:rsidRPr="00C83DF5" w:rsidRDefault="00860CF0" w:rsidP="007B699C">
      <w:pPr>
        <w:spacing w:after="60"/>
        <w:ind w:left="734" w:hanging="14"/>
        <w:rPr>
          <w:lang w:val="de-DE"/>
        </w:rPr>
      </w:pPr>
      <w:r w:rsidRPr="00C83DF5">
        <w:rPr>
          <w:rFonts w:cs="Tahoma"/>
          <w:b/>
          <w:bCs/>
          <w:szCs w:val="20"/>
          <w:lang w:val="de-DE"/>
        </w:rPr>
        <w:t>Lokalisierungen und Übersetzungen</w:t>
      </w:r>
    </w:p>
    <w:p w:rsidR="00253288" w:rsidRPr="00C83DF5" w:rsidRDefault="00047874" w:rsidP="00467635">
      <w:pPr>
        <w:ind w:left="734" w:hanging="14"/>
        <w:rPr>
          <w:lang w:val="de-DE"/>
        </w:rPr>
      </w:pPr>
      <w:r w:rsidRPr="00C83DF5">
        <w:rPr>
          <w:rFonts w:cs="Tahoma"/>
          <w:color w:val="000000"/>
          <w:szCs w:val="20"/>
          <w:lang w:val="de-DE"/>
        </w:rPr>
        <w:t>Microsoft Dynamics AX wird von Microsoft lokalisiert, übersetzt und unterstützt sowie in</w:t>
      </w:r>
      <w:r w:rsidR="0071474B">
        <w:rPr>
          <w:rFonts w:cs="Tahoma"/>
          <w:color w:val="000000"/>
          <w:szCs w:val="20"/>
          <w:lang w:val="de-DE"/>
        </w:rPr>
        <w:t> </w:t>
      </w:r>
      <w:r w:rsidRPr="00C83DF5">
        <w:rPr>
          <w:rFonts w:cs="Tahoma"/>
          <w:color w:val="000000"/>
          <w:szCs w:val="20"/>
          <w:lang w:val="de-DE"/>
        </w:rPr>
        <w:t>ausgewählten</w:t>
      </w:r>
      <w:r w:rsidR="0071474B">
        <w:rPr>
          <w:rFonts w:cs="Tahoma"/>
          <w:color w:val="000000"/>
          <w:szCs w:val="20"/>
          <w:lang w:val="de-DE"/>
        </w:rPr>
        <w:t> </w:t>
      </w:r>
      <w:r w:rsidRPr="00C83DF5">
        <w:rPr>
          <w:rFonts w:cs="Tahoma"/>
          <w:color w:val="000000"/>
          <w:szCs w:val="20"/>
          <w:lang w:val="de-DE"/>
        </w:rPr>
        <w:t xml:space="preserve">Ländern und Sprachen allgemein zur Verfügung gestellt. Unter </w:t>
      </w:r>
      <w:r w:rsidR="00467635" w:rsidRPr="00467635">
        <w:rPr>
          <w:rFonts w:cs="Tahoma"/>
          <w:color w:val="000000"/>
          <w:szCs w:val="20"/>
          <w:lang w:val="de-DE"/>
        </w:rPr>
        <w:t>http://www.microsoft.com/en-us/dynamics/erp-buy-ax-software.aspx</w:t>
      </w:r>
      <w:r w:rsidRPr="00C83DF5">
        <w:rPr>
          <w:rFonts w:cs="Tahoma"/>
          <w:color w:val="000000"/>
          <w:szCs w:val="20"/>
          <w:lang w:val="de-DE"/>
        </w:rPr>
        <w:t xml:space="preserve"> können Sie sich über die</w:t>
      </w:r>
      <w:r w:rsidR="0071474B">
        <w:rPr>
          <w:rFonts w:cs="Tahoma"/>
          <w:color w:val="000000"/>
          <w:szCs w:val="20"/>
          <w:lang w:val="de-DE"/>
        </w:rPr>
        <w:t> </w:t>
      </w:r>
      <w:r w:rsidRPr="00C83DF5">
        <w:rPr>
          <w:rFonts w:cs="Tahoma"/>
          <w:color w:val="000000"/>
          <w:szCs w:val="20"/>
          <w:lang w:val="de-DE"/>
        </w:rPr>
        <w:t>Verfügbarkeit von Microsoft-Übersetzungen und -Lokalisierungen informieren.</w:t>
      </w:r>
    </w:p>
    <w:p w:rsidR="00860CF0" w:rsidRPr="00C83DF5" w:rsidRDefault="00860CF0" w:rsidP="00737831">
      <w:pPr>
        <w:ind w:left="720"/>
        <w:rPr>
          <w:lang w:val="de-DE"/>
        </w:rPr>
      </w:pPr>
    </w:p>
    <w:p w:rsidR="00860CF0" w:rsidRPr="00C83DF5" w:rsidRDefault="00860CF0" w:rsidP="00737831">
      <w:pPr>
        <w:pStyle w:val="PURBody-Indented"/>
        <w:spacing w:after="0"/>
        <w:ind w:left="720"/>
        <w:rPr>
          <w:lang w:val="de-DE"/>
        </w:rPr>
      </w:pPr>
      <w:r w:rsidRPr="00C83DF5">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w:t>
      </w:r>
      <w:r w:rsidR="00E71F46" w:rsidRPr="00C83DF5">
        <w:rPr>
          <w:rFonts w:ascii="Tahoma" w:hAnsi="Tahoma" w:cs="Tahoma"/>
          <w:color w:val="000000"/>
          <w:sz w:val="18"/>
          <w:lang w:val="de-DE"/>
        </w:rPr>
        <w:t xml:space="preserve"> </w:t>
      </w:r>
      <w:r w:rsidRPr="00C83DF5">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E71F46" w:rsidRPr="00C83DF5">
        <w:rPr>
          <w:rFonts w:ascii="Tahoma" w:hAnsi="Tahoma" w:cs="Tahoma"/>
          <w:color w:val="000000"/>
          <w:sz w:val="18"/>
          <w:lang w:val="de-DE"/>
        </w:rPr>
        <w:t xml:space="preserve"> </w:t>
      </w:r>
      <w:r w:rsidRPr="00C83DF5">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 die sie erstellt wurden, und in dem Microsoft solche Software kommerziell verfügbar macht, genutzt werden.</w:t>
      </w:r>
      <w:r w:rsidR="00E71F46" w:rsidRPr="00C83DF5">
        <w:rPr>
          <w:rFonts w:ascii="Tahoma" w:hAnsi="Tahoma" w:cs="Tahoma"/>
          <w:color w:val="000000"/>
          <w:sz w:val="18"/>
          <w:lang w:val="de-DE"/>
        </w:rPr>
        <w:t xml:space="preserve"> </w:t>
      </w:r>
      <w:r w:rsidRPr="00C83DF5">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rsidR="00047874" w:rsidRPr="00C83DF5" w:rsidRDefault="00047874" w:rsidP="00E62BC4">
      <w:pPr>
        <w:ind w:left="720" w:hanging="180"/>
        <w:rPr>
          <w:lang w:val="de-DE"/>
        </w:rPr>
      </w:pPr>
    </w:p>
    <w:p w:rsidR="00253288" w:rsidRPr="00C83DF5" w:rsidRDefault="00047874" w:rsidP="007B699C">
      <w:pPr>
        <w:spacing w:after="60"/>
        <w:ind w:left="734" w:hanging="187"/>
        <w:rPr>
          <w:lang w:val="de-DE"/>
        </w:rPr>
      </w:pPr>
      <w:r w:rsidRPr="00C83DF5">
        <w:rPr>
          <w:rFonts w:cs="Tahoma"/>
          <w:b/>
          <w:bCs/>
          <w:szCs w:val="20"/>
          <w:lang w:val="de-DE"/>
        </w:rPr>
        <w:t>CAL-Nutzungsrechte</w:t>
      </w:r>
    </w:p>
    <w:p w:rsidR="00047874" w:rsidRPr="00C83DF5" w:rsidRDefault="00047874" w:rsidP="00E62BC4">
      <w:pPr>
        <w:ind w:left="720" w:hanging="180"/>
        <w:rPr>
          <w:lang w:val="de-DE"/>
        </w:rPr>
      </w:pPr>
      <w:r w:rsidRPr="00C83DF5">
        <w:rPr>
          <w:rFonts w:eastAsia="Calibri" w:cs="Tahoma"/>
          <w:szCs w:val="18"/>
          <w:lang w:val="de-DE"/>
        </w:rPr>
        <w:t>Die unter den verschiedenen CALs für Microsoft Dynamics AX 2012 R2 zulässigen Verwendungszwecke sind nachstehend dargelegt:</w:t>
      </w:r>
    </w:p>
    <w:p w:rsidR="00047874" w:rsidRPr="00C83DF5" w:rsidRDefault="00047874" w:rsidP="00944DAD">
      <w:pPr>
        <w:ind w:firstLine="540"/>
        <w:rPr>
          <w:lang w:val="de-DE"/>
        </w:rPr>
      </w:pPr>
    </w:p>
    <w:p w:rsidR="00047874" w:rsidRPr="00C83DF5" w:rsidRDefault="00047874" w:rsidP="00346F4B">
      <w:pPr>
        <w:numPr>
          <w:ilvl w:val="1"/>
          <w:numId w:val="66"/>
        </w:numPr>
        <w:tabs>
          <w:tab w:val="clear" w:pos="1440"/>
          <w:tab w:val="num" w:pos="900"/>
        </w:tabs>
        <w:autoSpaceDE w:val="0"/>
        <w:autoSpaceDN w:val="0"/>
        <w:adjustRightInd w:val="0"/>
        <w:ind w:left="900" w:right="720"/>
      </w:pPr>
      <w:r w:rsidRPr="00C83DF5">
        <w:rPr>
          <w:rFonts w:eastAsia="Calibri" w:cs="Tahoma"/>
          <w:b/>
          <w:szCs w:val="18"/>
        </w:rPr>
        <w:t>Self-Service-CAL (Basis-CAL)</w:t>
      </w:r>
    </w:p>
    <w:p w:rsidR="00047874" w:rsidRPr="00C83DF5" w:rsidRDefault="00047874" w:rsidP="00346F4B">
      <w:pPr>
        <w:numPr>
          <w:ilvl w:val="1"/>
          <w:numId w:val="88"/>
        </w:numPr>
        <w:tabs>
          <w:tab w:val="left" w:pos="1260"/>
        </w:tabs>
        <w:autoSpaceDE w:val="0"/>
        <w:autoSpaceDN w:val="0"/>
        <w:adjustRightInd w:val="0"/>
        <w:ind w:left="1260" w:right="720" w:hanging="360"/>
      </w:pPr>
      <w:r w:rsidRPr="00C83DF5">
        <w:rPr>
          <w:rFonts w:eastAsia="Calibri" w:cs="Tahoma"/>
          <w:szCs w:val="18"/>
        </w:rPr>
        <w:t>Erstellen von Spesenabrechnungen</w:t>
      </w:r>
    </w:p>
    <w:p w:rsidR="00047874" w:rsidRPr="00C83DF5" w:rsidRDefault="00047874" w:rsidP="00346F4B">
      <w:pPr>
        <w:numPr>
          <w:ilvl w:val="1"/>
          <w:numId w:val="88"/>
        </w:numPr>
        <w:tabs>
          <w:tab w:val="left" w:pos="1260"/>
        </w:tabs>
        <w:autoSpaceDE w:val="0"/>
        <w:autoSpaceDN w:val="0"/>
        <w:adjustRightInd w:val="0"/>
        <w:ind w:left="1260" w:right="720" w:hanging="360"/>
      </w:pPr>
      <w:r w:rsidRPr="00C83DF5">
        <w:rPr>
          <w:rFonts w:eastAsia="Calibri" w:cs="Tahoma"/>
          <w:szCs w:val="18"/>
        </w:rPr>
        <w:t>Verwalten persönlicher Daten wie Leistungsbeitritte</w:t>
      </w:r>
    </w:p>
    <w:p w:rsidR="00047874" w:rsidRPr="00C83DF5" w:rsidRDefault="00047874" w:rsidP="00DC57A7">
      <w:pPr>
        <w:numPr>
          <w:ilvl w:val="1"/>
          <w:numId w:val="88"/>
        </w:numPr>
        <w:tabs>
          <w:tab w:val="left" w:pos="1260"/>
        </w:tabs>
        <w:autoSpaceDE w:val="0"/>
        <w:autoSpaceDN w:val="0"/>
        <w:adjustRightInd w:val="0"/>
        <w:ind w:left="1260" w:hanging="360"/>
        <w:rPr>
          <w:lang w:val="de-DE"/>
        </w:rPr>
      </w:pPr>
      <w:r w:rsidRPr="00C83DF5">
        <w:rPr>
          <w:rFonts w:eastAsia="Calibri" w:cs="Tahoma"/>
          <w:szCs w:val="18"/>
          <w:lang w:val="de-DE"/>
        </w:rPr>
        <w:t>Erstellen von Zeiterfassungs- und Anwesenheitseinträgen wie Registrierung der Arbeitsstunden, Erfassung von Arbeitsbeginn und -Ende</w:t>
      </w:r>
    </w:p>
    <w:p w:rsidR="00047874" w:rsidRPr="00C83DF5" w:rsidRDefault="00047874" w:rsidP="00346F4B">
      <w:pPr>
        <w:numPr>
          <w:ilvl w:val="1"/>
          <w:numId w:val="88"/>
        </w:numPr>
        <w:tabs>
          <w:tab w:val="left" w:pos="1260"/>
        </w:tabs>
        <w:autoSpaceDE w:val="0"/>
        <w:autoSpaceDN w:val="0"/>
        <w:adjustRightInd w:val="0"/>
        <w:ind w:left="1260" w:right="720" w:hanging="360"/>
      </w:pPr>
      <w:r w:rsidRPr="00C83DF5">
        <w:rPr>
          <w:rFonts w:eastAsia="Calibri" w:cs="Tahoma"/>
          <w:szCs w:val="18"/>
        </w:rPr>
        <w:lastRenderedPageBreak/>
        <w:t>Eingeben von Mitarbeiter-Serviceanforderungen</w:t>
      </w:r>
    </w:p>
    <w:p w:rsidR="00047874" w:rsidRPr="00C83DF5" w:rsidRDefault="00047874" w:rsidP="00DC57A7">
      <w:pPr>
        <w:numPr>
          <w:ilvl w:val="1"/>
          <w:numId w:val="88"/>
        </w:numPr>
        <w:tabs>
          <w:tab w:val="left" w:pos="1260"/>
        </w:tabs>
        <w:autoSpaceDE w:val="0"/>
        <w:autoSpaceDN w:val="0"/>
        <w:adjustRightInd w:val="0"/>
        <w:ind w:left="1260" w:hanging="360"/>
        <w:rPr>
          <w:lang w:val="de-DE"/>
        </w:rPr>
      </w:pPr>
      <w:r w:rsidRPr="00C83DF5">
        <w:rPr>
          <w:rFonts w:eastAsia="Calibri" w:cs="Tahoma"/>
          <w:szCs w:val="18"/>
          <w:lang w:val="de-DE"/>
        </w:rPr>
        <w:t>Erstellen von indirekten Beschaffungsanforderungen für Produkte oder Dienstleistungen für den Mitarbeiter, wie Reisen, Büroausstattung, Büromaterial, und/oder Erstellen von Anforderungen zum</w:t>
      </w:r>
      <w:r w:rsidR="00DC57A7">
        <w:rPr>
          <w:rFonts w:eastAsia="Calibri" w:cs="Tahoma"/>
          <w:szCs w:val="18"/>
          <w:lang w:val="de-DE"/>
        </w:rPr>
        <w:t> </w:t>
      </w:r>
      <w:r w:rsidRPr="00C83DF5">
        <w:rPr>
          <w:rFonts w:eastAsia="Calibri" w:cs="Tahoma"/>
          <w:szCs w:val="18"/>
          <w:lang w:val="de-DE"/>
        </w:rPr>
        <w:t>Hinzufügen oder Anmelden von Anbietern.</w:t>
      </w:r>
      <w:r w:rsidRPr="00C83DF5">
        <w:rPr>
          <w:rFonts w:eastAsia="Calibri" w:cs="Tahoma"/>
          <w:szCs w:val="18"/>
          <w:lang w:val="de-DE"/>
        </w:rPr>
        <w:br/>
      </w:r>
    </w:p>
    <w:p w:rsidR="00047874" w:rsidRPr="00C83DF5" w:rsidRDefault="00047874" w:rsidP="00346F4B">
      <w:pPr>
        <w:numPr>
          <w:ilvl w:val="0"/>
          <w:numId w:val="88"/>
        </w:numPr>
        <w:autoSpaceDE w:val="0"/>
        <w:autoSpaceDN w:val="0"/>
        <w:adjustRightInd w:val="0"/>
        <w:ind w:left="900" w:right="720"/>
        <w:rPr>
          <w:lang w:val="de-DE"/>
        </w:rPr>
      </w:pPr>
      <w:r w:rsidRPr="00C83DF5">
        <w:rPr>
          <w:rFonts w:eastAsia="Calibri" w:cs="Tahoma"/>
          <w:b/>
          <w:szCs w:val="18"/>
          <w:lang w:val="de-DE"/>
        </w:rPr>
        <w:t>Aufgaben-CAL (Self-Service-CAL + Zusätzliche Aufgaben-CAL)</w:t>
      </w:r>
    </w:p>
    <w:p w:rsidR="00B10F79" w:rsidRPr="00C83DF5" w:rsidRDefault="00B10F79" w:rsidP="00346F4B">
      <w:pPr>
        <w:numPr>
          <w:ilvl w:val="1"/>
          <w:numId w:val="88"/>
        </w:numPr>
        <w:ind w:left="1260" w:right="720" w:hanging="360"/>
        <w:rPr>
          <w:lang w:val="de-DE"/>
        </w:rPr>
      </w:pPr>
      <w:r w:rsidRPr="00C83DF5">
        <w:rPr>
          <w:rFonts w:eastAsia="Calibri" w:cs="Tahoma"/>
          <w:szCs w:val="18"/>
          <w:lang w:val="de-DE"/>
        </w:rPr>
        <w:t>Umfasst Nutzungsrechte von Self-Service-CAL</w:t>
      </w:r>
    </w:p>
    <w:p w:rsidR="00047874" w:rsidRPr="00C83DF5" w:rsidRDefault="00B10F79" w:rsidP="00DC57A7">
      <w:pPr>
        <w:numPr>
          <w:ilvl w:val="1"/>
          <w:numId w:val="88"/>
        </w:numPr>
        <w:ind w:left="1260" w:hanging="360"/>
      </w:pPr>
      <w:r w:rsidRPr="00C83DF5">
        <w:rPr>
          <w:rFonts w:eastAsia="Calibri" w:cs="Tahoma"/>
          <w:szCs w:val="18"/>
        </w:rPr>
        <w:t>Eingeben der berechenbaren Zeit</w:t>
      </w:r>
    </w:p>
    <w:p w:rsidR="00047874" w:rsidRPr="00C83DF5" w:rsidRDefault="00B10F79" w:rsidP="00DC57A7">
      <w:pPr>
        <w:numPr>
          <w:ilvl w:val="1"/>
          <w:numId w:val="88"/>
        </w:numPr>
        <w:ind w:left="1260" w:hanging="360"/>
      </w:pPr>
      <w:r w:rsidRPr="00C83DF5">
        <w:rPr>
          <w:rFonts w:eastAsia="Calibri" w:cs="Tahoma"/>
          <w:szCs w:val="18"/>
        </w:rPr>
        <w:t>Eingeben der berechenbaren Ausgaben</w:t>
      </w:r>
    </w:p>
    <w:p w:rsidR="00047874" w:rsidRPr="00C83DF5" w:rsidRDefault="00B10F79" w:rsidP="00DC57A7">
      <w:pPr>
        <w:numPr>
          <w:ilvl w:val="1"/>
          <w:numId w:val="88"/>
        </w:numPr>
        <w:ind w:left="1260" w:hanging="360"/>
        <w:rPr>
          <w:lang w:val="de-DE"/>
        </w:rPr>
      </w:pPr>
      <w:r w:rsidRPr="00C83DF5">
        <w:rPr>
          <w:rFonts w:eastAsia="Calibri" w:cs="Tahoma"/>
          <w:szCs w:val="18"/>
          <w:lang w:val="de-DE"/>
        </w:rPr>
        <w:t>Verwaltung der Leistungsbeurteilungen und der jährlichen Beurteilungen, Zielsetzungen und Kompetenzen</w:t>
      </w:r>
    </w:p>
    <w:p w:rsidR="00047874" w:rsidRPr="00C83DF5" w:rsidRDefault="00B10F79" w:rsidP="00DC57A7">
      <w:pPr>
        <w:numPr>
          <w:ilvl w:val="1"/>
          <w:numId w:val="88"/>
        </w:numPr>
        <w:ind w:left="1260" w:hanging="360"/>
        <w:rPr>
          <w:lang w:val="de-DE"/>
        </w:rPr>
      </w:pPr>
      <w:r w:rsidRPr="00C83DF5">
        <w:rPr>
          <w:rFonts w:eastAsia="Calibri" w:cs="Tahoma"/>
          <w:szCs w:val="18"/>
          <w:lang w:val="de-DE"/>
        </w:rPr>
        <w:t>Betreiben eines Point-of-Sale-Geräts im Einzelhandel</w:t>
      </w:r>
    </w:p>
    <w:p w:rsidR="00047874" w:rsidRPr="00C83DF5" w:rsidRDefault="00B10F79" w:rsidP="00DC57A7">
      <w:pPr>
        <w:numPr>
          <w:ilvl w:val="1"/>
          <w:numId w:val="88"/>
        </w:numPr>
        <w:ind w:left="1260" w:hanging="360"/>
        <w:rPr>
          <w:lang w:val="de-DE"/>
        </w:rPr>
      </w:pPr>
      <w:r w:rsidRPr="00C83DF5">
        <w:rPr>
          <w:rFonts w:eastAsia="Calibri" w:cs="Tahoma"/>
          <w:szCs w:val="18"/>
          <w:lang w:val="de-DE"/>
        </w:rPr>
        <w:t>Genehmigen von Anbieterrechnungen für die indirekte Beschaffung</w:t>
      </w:r>
    </w:p>
    <w:p w:rsidR="00047874" w:rsidRPr="00C83DF5" w:rsidRDefault="00047874" w:rsidP="00DC57A7">
      <w:pPr>
        <w:numPr>
          <w:ilvl w:val="1"/>
          <w:numId w:val="88"/>
        </w:numPr>
        <w:ind w:left="1260" w:hanging="360"/>
        <w:rPr>
          <w:lang w:val="de-DE"/>
        </w:rPr>
      </w:pPr>
      <w:r w:rsidRPr="00C83DF5">
        <w:rPr>
          <w:rFonts w:eastAsia="Calibri" w:cs="Tahoma"/>
          <w:szCs w:val="18"/>
          <w:lang w:val="de-DE"/>
        </w:rPr>
        <w:t>Aufgaben-CAL-Nutzer können keine Workflow-Genehmigungen vornehmen.</w:t>
      </w:r>
      <w:r w:rsidRPr="00C83DF5">
        <w:rPr>
          <w:szCs w:val="18"/>
          <w:lang w:val="de-DE"/>
        </w:rPr>
        <w:t xml:space="preserve"> </w:t>
      </w:r>
    </w:p>
    <w:p w:rsidR="00047874" w:rsidRPr="00C83DF5" w:rsidRDefault="00047874" w:rsidP="00DC57A7">
      <w:pPr>
        <w:autoSpaceDE w:val="0"/>
        <w:autoSpaceDN w:val="0"/>
        <w:adjustRightInd w:val="0"/>
        <w:ind w:left="1260"/>
        <w:rPr>
          <w:lang w:val="de-DE"/>
        </w:rPr>
      </w:pPr>
    </w:p>
    <w:p w:rsidR="00047874" w:rsidRPr="00C83DF5" w:rsidRDefault="00047874" w:rsidP="00DC57A7">
      <w:pPr>
        <w:numPr>
          <w:ilvl w:val="0"/>
          <w:numId w:val="88"/>
        </w:numPr>
        <w:ind w:left="900"/>
        <w:rPr>
          <w:lang w:val="de-DE"/>
        </w:rPr>
      </w:pPr>
      <w:r w:rsidRPr="00C83DF5">
        <w:rPr>
          <w:rFonts w:eastAsia="Calibri" w:cs="Tahoma"/>
          <w:b/>
          <w:szCs w:val="18"/>
          <w:lang w:val="de-DE"/>
        </w:rPr>
        <w:t>Funktions-CAL (Aufgaben-CAL + Zusätzliche Funktions-CAL)</w:t>
      </w:r>
    </w:p>
    <w:p w:rsidR="00B10F79" w:rsidRPr="00C83DF5" w:rsidRDefault="00B10F79" w:rsidP="00DC57A7">
      <w:pPr>
        <w:numPr>
          <w:ilvl w:val="1"/>
          <w:numId w:val="88"/>
        </w:numPr>
        <w:ind w:left="1260" w:hanging="360"/>
      </w:pPr>
      <w:r w:rsidRPr="00C83DF5">
        <w:rPr>
          <w:rFonts w:eastAsia="Calibri" w:cs="Tahoma"/>
          <w:szCs w:val="18"/>
        </w:rPr>
        <w:t>Umfasst Nutzungsrechte von Aufgaben-CAL</w:t>
      </w:r>
    </w:p>
    <w:p w:rsidR="00047874" w:rsidRPr="00C83DF5" w:rsidRDefault="00B10F79" w:rsidP="00DC57A7">
      <w:pPr>
        <w:numPr>
          <w:ilvl w:val="1"/>
          <w:numId w:val="88"/>
        </w:numPr>
        <w:ind w:left="1260" w:hanging="360"/>
        <w:rPr>
          <w:lang w:val="de-DE"/>
        </w:rPr>
      </w:pPr>
      <w:r w:rsidRPr="00C83DF5">
        <w:rPr>
          <w:rFonts w:eastAsia="Calibri" w:cs="Tahoma"/>
          <w:szCs w:val="18"/>
          <w:lang w:val="de-DE"/>
        </w:rPr>
        <w:t>Management einer Produktionseinheit in einem Produktions- oder Fertigungszyklus</w:t>
      </w:r>
    </w:p>
    <w:p w:rsidR="00047874" w:rsidRPr="00C83DF5" w:rsidRDefault="00B10F79" w:rsidP="00DC57A7">
      <w:pPr>
        <w:numPr>
          <w:ilvl w:val="1"/>
          <w:numId w:val="88"/>
        </w:numPr>
        <w:ind w:left="1260" w:hanging="360"/>
      </w:pPr>
      <w:r w:rsidRPr="00C83DF5">
        <w:rPr>
          <w:rFonts w:eastAsia="Calibri" w:cs="Tahoma"/>
          <w:szCs w:val="18"/>
        </w:rPr>
        <w:t>Management von Projekten und Ressourcen</w:t>
      </w:r>
    </w:p>
    <w:p w:rsidR="00047874" w:rsidRPr="00C83DF5" w:rsidRDefault="00B10F79" w:rsidP="00DC57A7">
      <w:pPr>
        <w:numPr>
          <w:ilvl w:val="1"/>
          <w:numId w:val="88"/>
        </w:numPr>
        <w:ind w:left="1260" w:hanging="360"/>
      </w:pPr>
      <w:r w:rsidRPr="00C83DF5">
        <w:rPr>
          <w:rFonts w:eastAsia="Calibri" w:cs="Tahoma"/>
          <w:szCs w:val="18"/>
        </w:rPr>
        <w:t>Management von Personalzyklen</w:t>
      </w:r>
    </w:p>
    <w:p w:rsidR="00047874" w:rsidRPr="00C83DF5" w:rsidRDefault="00B10F79" w:rsidP="00DC57A7">
      <w:pPr>
        <w:numPr>
          <w:ilvl w:val="1"/>
          <w:numId w:val="88"/>
        </w:numPr>
        <w:ind w:left="1260" w:hanging="360"/>
        <w:rPr>
          <w:lang w:val="de-DE"/>
        </w:rPr>
      </w:pPr>
      <w:r w:rsidRPr="00C83DF5">
        <w:rPr>
          <w:rFonts w:eastAsia="Calibri" w:cs="Tahoma"/>
          <w:szCs w:val="18"/>
          <w:lang w:val="de-DE"/>
        </w:rPr>
        <w:t>Management von Budgetübertragungen und organisatorischen Anforderungen</w:t>
      </w:r>
    </w:p>
    <w:p w:rsidR="00047874" w:rsidRPr="00C83DF5" w:rsidRDefault="00B10F79" w:rsidP="00DC57A7">
      <w:pPr>
        <w:numPr>
          <w:ilvl w:val="1"/>
          <w:numId w:val="88"/>
        </w:numPr>
        <w:ind w:left="1260" w:hanging="360"/>
        <w:rPr>
          <w:lang w:val="de-DE"/>
        </w:rPr>
      </w:pPr>
      <w:r w:rsidRPr="00C83DF5">
        <w:rPr>
          <w:rFonts w:eastAsia="Calibri" w:cs="Tahoma"/>
          <w:szCs w:val="18"/>
          <w:lang w:val="de-DE"/>
        </w:rPr>
        <w:t>Erstellen von Stammdatensätzen für Bewerber und Mitarbeiter</w:t>
      </w:r>
    </w:p>
    <w:p w:rsidR="00047874" w:rsidRPr="00C83DF5" w:rsidRDefault="00B10F79" w:rsidP="00DC57A7">
      <w:pPr>
        <w:numPr>
          <w:ilvl w:val="1"/>
          <w:numId w:val="88"/>
        </w:numPr>
        <w:ind w:left="1260" w:hanging="360"/>
        <w:rPr>
          <w:lang w:val="de-DE"/>
        </w:rPr>
      </w:pPr>
      <w:r w:rsidRPr="00C83DF5">
        <w:rPr>
          <w:rFonts w:eastAsia="Calibri" w:cs="Tahoma"/>
          <w:szCs w:val="18"/>
          <w:lang w:val="de-DE"/>
        </w:rPr>
        <w:t>Erstellen einer Ste</w:t>
      </w:r>
      <w:r w:rsidR="00210612">
        <w:rPr>
          <w:rFonts w:eastAsia="Calibri" w:cs="Tahoma"/>
          <w:szCs w:val="18"/>
          <w:lang w:val="de-DE"/>
        </w:rPr>
        <w:t>llen- oder Personalanforderung;</w:t>
      </w:r>
    </w:p>
    <w:p w:rsidR="00047874" w:rsidRPr="00C83DF5" w:rsidRDefault="00B10F79" w:rsidP="00DC57A7">
      <w:pPr>
        <w:numPr>
          <w:ilvl w:val="1"/>
          <w:numId w:val="88"/>
        </w:numPr>
        <w:ind w:left="1260" w:hanging="360"/>
        <w:rPr>
          <w:lang w:val="de-DE"/>
        </w:rPr>
      </w:pPr>
      <w:r w:rsidRPr="00C83DF5">
        <w:rPr>
          <w:rFonts w:eastAsia="Calibri" w:cs="Tahoma"/>
          <w:szCs w:val="18"/>
          <w:lang w:val="de-DE"/>
        </w:rPr>
        <w:t>Eskalieren oder Anfordern der Genehmigung von Rechn</w:t>
      </w:r>
      <w:r w:rsidR="00210612">
        <w:rPr>
          <w:rFonts w:eastAsia="Calibri" w:cs="Tahoma"/>
          <w:szCs w:val="18"/>
          <w:lang w:val="de-DE"/>
        </w:rPr>
        <w:t>ungen in Bezug auf ihre Kunden;</w:t>
      </w:r>
    </w:p>
    <w:p w:rsidR="00047874" w:rsidRPr="00C83DF5" w:rsidRDefault="00B10F79" w:rsidP="00DC57A7">
      <w:pPr>
        <w:numPr>
          <w:ilvl w:val="1"/>
          <w:numId w:val="88"/>
        </w:numPr>
        <w:ind w:left="1260" w:hanging="360"/>
        <w:rPr>
          <w:lang w:val="de-DE"/>
        </w:rPr>
      </w:pPr>
      <w:r w:rsidRPr="00C83DF5">
        <w:rPr>
          <w:rFonts w:eastAsia="Calibri" w:cs="Tahoma"/>
          <w:szCs w:val="18"/>
          <w:lang w:val="de-DE"/>
        </w:rPr>
        <w:t>Genehmigen von Anbieterrechnungen oder Belegen für erbrachte Services</w:t>
      </w:r>
    </w:p>
    <w:p w:rsidR="00047874" w:rsidRPr="00C83DF5" w:rsidRDefault="00B10F79" w:rsidP="00DC57A7">
      <w:pPr>
        <w:numPr>
          <w:ilvl w:val="1"/>
          <w:numId w:val="88"/>
        </w:numPr>
        <w:ind w:left="1440" w:hanging="540"/>
        <w:rPr>
          <w:lang w:val="de-DE"/>
        </w:rPr>
      </w:pPr>
      <w:r w:rsidRPr="00C83DF5">
        <w:rPr>
          <w:rFonts w:eastAsia="Calibri" w:cs="Tahoma"/>
          <w:szCs w:val="18"/>
          <w:lang w:val="de-DE"/>
        </w:rPr>
        <w:t>Erstellen und Verwalten von Stammdatensätzen für Kunden, Anbieter, Produktbestände oder Kataloge und/oder</w:t>
      </w:r>
    </w:p>
    <w:p w:rsidR="00047874" w:rsidRPr="00C83DF5" w:rsidRDefault="00B10F79" w:rsidP="00DC57A7">
      <w:pPr>
        <w:numPr>
          <w:ilvl w:val="1"/>
          <w:numId w:val="88"/>
        </w:numPr>
        <w:ind w:left="1260" w:hanging="360"/>
        <w:rPr>
          <w:lang w:val="de-DE"/>
        </w:rPr>
      </w:pPr>
      <w:r w:rsidRPr="00C83DF5">
        <w:rPr>
          <w:rFonts w:eastAsia="Calibri" w:cs="Tahoma"/>
          <w:szCs w:val="18"/>
          <w:lang w:val="de-DE"/>
        </w:rPr>
        <w:t>Genehmigen von Anforderungen von Self-Service-CAL- oder Aufgaben-CAL-Nutzern.</w:t>
      </w:r>
    </w:p>
    <w:p w:rsidR="00047874" w:rsidRPr="00C83DF5" w:rsidRDefault="00047874" w:rsidP="00DC57A7">
      <w:pPr>
        <w:autoSpaceDE w:val="0"/>
        <w:autoSpaceDN w:val="0"/>
        <w:adjustRightInd w:val="0"/>
        <w:ind w:left="1260" w:hanging="360"/>
        <w:rPr>
          <w:lang w:val="de-DE"/>
        </w:rPr>
      </w:pPr>
    </w:p>
    <w:p w:rsidR="00047874" w:rsidRPr="00C83DF5" w:rsidRDefault="00047874" w:rsidP="00DC57A7">
      <w:pPr>
        <w:numPr>
          <w:ilvl w:val="0"/>
          <w:numId w:val="88"/>
        </w:numPr>
        <w:ind w:left="900"/>
        <w:rPr>
          <w:lang w:val="de-DE"/>
        </w:rPr>
      </w:pPr>
      <w:r w:rsidRPr="00C83DF5">
        <w:rPr>
          <w:rFonts w:eastAsia="Calibri" w:cs="Tahoma"/>
          <w:b/>
          <w:szCs w:val="18"/>
          <w:lang w:val="de-DE"/>
        </w:rPr>
        <w:t>Enterprise CAL (Funktions-CAL + Zusätzliche Enterprise CAL)</w:t>
      </w:r>
    </w:p>
    <w:p w:rsidR="00047874" w:rsidRPr="00C83DF5" w:rsidRDefault="00047874" w:rsidP="00DC57A7">
      <w:pPr>
        <w:numPr>
          <w:ilvl w:val="1"/>
          <w:numId w:val="88"/>
        </w:numPr>
        <w:ind w:left="1260" w:hanging="360"/>
      </w:pPr>
      <w:r w:rsidRPr="00C83DF5">
        <w:rPr>
          <w:rFonts w:eastAsia="Calibri" w:cs="Tahoma"/>
          <w:szCs w:val="18"/>
        </w:rPr>
        <w:t>Volle Nutzungsrechte</w:t>
      </w:r>
    </w:p>
    <w:p w:rsidR="00047874" w:rsidRPr="00C83DF5" w:rsidRDefault="00047874" w:rsidP="00DC57A7">
      <w:pPr>
        <w:autoSpaceDE w:val="0"/>
        <w:autoSpaceDN w:val="0"/>
        <w:adjustRightInd w:val="0"/>
        <w:ind w:left="900"/>
      </w:pPr>
    </w:p>
    <w:p w:rsidR="00047874" w:rsidRPr="00C83DF5" w:rsidRDefault="00047874" w:rsidP="00910744">
      <w:pPr>
        <w:autoSpaceDE w:val="0"/>
        <w:autoSpaceDN w:val="0"/>
        <w:adjustRightInd w:val="0"/>
        <w:ind w:left="720"/>
        <w:rPr>
          <w:lang w:val="de-DE"/>
        </w:rPr>
      </w:pPr>
      <w:r w:rsidRPr="00C83DF5">
        <w:rPr>
          <w:rFonts w:eastAsia="Calibri" w:cs="Tahoma"/>
          <w:szCs w:val="18"/>
          <w:lang w:val="de-DE"/>
        </w:rPr>
        <w:t xml:space="preserve">Weitere Details und Erläuterungen zu den erforderlichen CALs finden Sie unter </w:t>
      </w:r>
      <w:r w:rsidR="00910744" w:rsidRPr="00910744">
        <w:rPr>
          <w:rFonts w:eastAsia="Calibri" w:cs="Tahoma"/>
          <w:szCs w:val="18"/>
          <w:lang w:val="de-DE" w:eastAsia="x-none"/>
        </w:rPr>
        <w:t>http://www.microsoft.com/en-us/dynamics/erp-buy-ax-software.aspx</w:t>
      </w:r>
      <w:r w:rsidRPr="00C83DF5">
        <w:rPr>
          <w:rFonts w:eastAsia="Calibri" w:cs="Tahoma"/>
          <w:szCs w:val="18"/>
          <w:lang w:val="de-DE"/>
        </w:rPr>
        <w:t>.</w:t>
      </w:r>
    </w:p>
    <w:p w:rsidR="00A6185F" w:rsidRPr="00C83DF5" w:rsidRDefault="00A6185F" w:rsidP="00DC57A7">
      <w:pPr>
        <w:ind w:left="720" w:hanging="180"/>
        <w:rPr>
          <w:lang w:val="de-DE"/>
        </w:rPr>
      </w:pPr>
    </w:p>
    <w:p w:rsidR="00A6185F" w:rsidRPr="00C83DF5" w:rsidRDefault="00A6185F" w:rsidP="00DC57A7">
      <w:pPr>
        <w:spacing w:after="60"/>
        <w:ind w:left="734" w:hanging="194"/>
        <w:rPr>
          <w:lang w:val="de-DE"/>
        </w:rPr>
      </w:pPr>
      <w:r w:rsidRPr="00C83DF5">
        <w:rPr>
          <w:rFonts w:cs="Tahoma"/>
          <w:b/>
          <w:bCs/>
          <w:lang w:val="de-DE"/>
        </w:rPr>
        <w:t>Ergänzende Lizenzbestimmungen</w:t>
      </w:r>
    </w:p>
    <w:p w:rsidR="00A6185F" w:rsidRPr="009D33C8" w:rsidRDefault="00A6185F" w:rsidP="00DC57A7">
      <w:pPr>
        <w:pStyle w:val="PURBody-Indented"/>
        <w:spacing w:after="0"/>
        <w:ind w:left="547"/>
        <w:rPr>
          <w:lang w:val="de-DE"/>
        </w:rPr>
      </w:pPr>
      <w:r w:rsidRPr="009D33C8">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w:t>
      </w:r>
      <w:r w:rsidR="00DC57A7" w:rsidRPr="009D33C8">
        <w:rPr>
          <w:rFonts w:ascii="Tahoma" w:eastAsia="Calibri" w:hAnsi="Tahoma" w:cs="Tahoma"/>
          <w:sz w:val="18"/>
          <w:szCs w:val="18"/>
          <w:lang w:val="de-DE"/>
        </w:rPr>
        <w:t> </w:t>
      </w:r>
      <w:r w:rsidRPr="009D33C8">
        <w:rPr>
          <w:rFonts w:ascii="Tahoma" w:eastAsia="Calibri" w:hAnsi="Tahoma" w:cs="Tahoma"/>
          <w:sz w:val="18"/>
          <w:szCs w:val="18"/>
          <w:lang w:val="de-DE"/>
        </w:rPr>
        <w:t>Sie</w:t>
      </w:r>
      <w:r w:rsidR="00DC57A7" w:rsidRPr="009D33C8">
        <w:rPr>
          <w:rFonts w:ascii="Tahoma" w:eastAsia="Calibri" w:hAnsi="Tahoma" w:cs="Tahoma"/>
          <w:sz w:val="18"/>
          <w:szCs w:val="18"/>
          <w:lang w:val="de-DE"/>
        </w:rPr>
        <w:t> </w:t>
      </w:r>
      <w:r w:rsidRPr="009D33C8">
        <w:rPr>
          <w:rFonts w:ascii="Tahoma" w:eastAsia="Calibri" w:hAnsi="Tahoma" w:cs="Tahoma"/>
          <w:sz w:val="18"/>
          <w:szCs w:val="18"/>
          <w:lang w:val="de-DE"/>
        </w:rPr>
        <w:t xml:space="preserve">hier finden: </w:t>
      </w:r>
      <w:hyperlink r:id="rId49" w:history="1">
        <w:r w:rsidRPr="009D33C8">
          <w:rPr>
            <w:rFonts w:ascii="Tahoma" w:eastAsia="Calibri" w:hAnsi="Tahoma" w:cs="Tahoma"/>
            <w:sz w:val="18"/>
            <w:szCs w:val="18"/>
            <w:lang w:val="de-DE"/>
          </w:rPr>
          <w:t>http://www.microsoft.com/en-us/dynamics/erp-buy-ax-software.aspx</w:t>
        </w:r>
      </w:hyperlink>
      <w:r w:rsidRPr="009D33C8">
        <w:rPr>
          <w:rFonts w:ascii="Tahoma" w:eastAsia="Calibri" w:hAnsi="Tahoma" w:cs="Tahoma"/>
          <w:sz w:val="18"/>
          <w:szCs w:val="18"/>
          <w:lang w:val="de-DE"/>
        </w:rPr>
        <w:t>.</w:t>
      </w:r>
    </w:p>
    <w:p w:rsidR="0085774C" w:rsidRPr="007025E3" w:rsidRDefault="0085774C" w:rsidP="00DC57A7">
      <w:pPr>
        <w:autoSpaceDE w:val="0"/>
        <w:autoSpaceDN w:val="0"/>
        <w:adjustRightInd w:val="0"/>
        <w:ind w:left="900"/>
        <w:rPr>
          <w:lang w:val="de-DE"/>
        </w:rPr>
      </w:pPr>
    </w:p>
    <w:p w:rsidR="0085774C" w:rsidRPr="007025E3" w:rsidRDefault="0085774C" w:rsidP="00DC57A7">
      <w:pPr>
        <w:autoSpaceDE w:val="0"/>
        <w:autoSpaceDN w:val="0"/>
        <w:adjustRightInd w:val="0"/>
        <w:ind w:left="900"/>
        <w:rPr>
          <w:lang w:val="de-DE"/>
        </w:rPr>
      </w:pPr>
    </w:p>
    <w:p w:rsidR="000F4095" w:rsidRPr="00C83DF5" w:rsidRDefault="000F4095" w:rsidP="000F4095">
      <w:pPr>
        <w:pStyle w:val="Heading3"/>
        <w:keepNext/>
        <w:rPr>
          <w:lang w:val="de-DE"/>
        </w:rPr>
      </w:pPr>
      <w:bookmarkStart w:id="1378" w:name="_71_Microsoft_Dynamics_1"/>
      <w:bookmarkStart w:id="1379" w:name="_Toc357763716"/>
      <w:bookmarkStart w:id="1380" w:name="_Toc370983439"/>
      <w:bookmarkEnd w:id="1378"/>
      <w:r w:rsidRPr="00C83DF5">
        <w:rPr>
          <w:rFonts w:ascii="Tahoma" w:hAnsi="Tahoma"/>
          <w:color w:val="F66400"/>
          <w:sz w:val="22"/>
          <w:vertAlign w:val="superscript"/>
          <w:lang w:val="de-DE"/>
        </w:rPr>
        <w:t>71</w:t>
      </w:r>
      <w:r w:rsidRPr="00C83DF5">
        <w:rPr>
          <w:rFonts w:ascii="Tahoma" w:hAnsi="Tahoma"/>
          <w:color w:val="F66400"/>
          <w:sz w:val="22"/>
          <w:lang w:val="de-DE"/>
        </w:rPr>
        <w:t xml:space="preserve"> Microsoft Dynamics CRM 201</w:t>
      </w:r>
      <w:bookmarkEnd w:id="1379"/>
      <w:r w:rsidRPr="00C83DF5">
        <w:rPr>
          <w:rFonts w:ascii="Tahoma" w:hAnsi="Tahoma"/>
          <w:color w:val="F66400"/>
          <w:sz w:val="22"/>
          <w:lang w:val="de-DE"/>
        </w:rPr>
        <w:t>3</w:t>
      </w:r>
      <w:bookmarkEnd w:id="1380"/>
    </w:p>
    <w:p w:rsidR="000F4095" w:rsidRPr="00C83DF5" w:rsidRDefault="000F4095" w:rsidP="000F4095">
      <w:pPr>
        <w:keepNext/>
        <w:rPr>
          <w:lang w:val="de-DE"/>
        </w:rPr>
      </w:pPr>
    </w:p>
    <w:p w:rsidR="007E430D" w:rsidRPr="00C83DF5" w:rsidRDefault="007E430D" w:rsidP="007E430D">
      <w:pPr>
        <w:spacing w:after="60"/>
        <w:ind w:left="720"/>
        <w:rPr>
          <w:lang w:val="de-DE"/>
        </w:rPr>
      </w:pPr>
      <w:r w:rsidRPr="00C83DF5">
        <w:rPr>
          <w:rFonts w:cs="Tahoma"/>
          <w:b/>
          <w:bCs/>
          <w:color w:val="000000" w:themeColor="text1"/>
          <w:szCs w:val="18"/>
          <w:lang w:val="de-DE"/>
        </w:rPr>
        <w:t>Hinweis zur Verfügbarkeit und zu den Nutzungsrechten für die Vorabversion</w:t>
      </w:r>
    </w:p>
    <w:p w:rsidR="007E430D" w:rsidRPr="00C83DF5" w:rsidRDefault="007E430D" w:rsidP="007E430D">
      <w:pPr>
        <w:ind w:left="720"/>
        <w:rPr>
          <w:lang w:val="de-DE"/>
        </w:rPr>
      </w:pPr>
      <w:r w:rsidRPr="00C83DF5">
        <w:rPr>
          <w:rFonts w:cs="Tahoma"/>
          <w:color w:val="000000" w:themeColor="text1"/>
          <w:szCs w:val="18"/>
          <w:lang w:val="de-DE"/>
        </w:rPr>
        <w:t>Microsoft Dynamics CRM 2013 steht voraussichtlich Ende Oktober/November 2013 zum Download im Center für Volumenlizenz-Services zur Verfügung. Neue und bestehende Kunden mit gültigen Lizenzen für Microsoft Dynamics CRM Server 2013 und Microsoft Dynamics CRM Workgroup Server 2013 sind gemäß ihren Rechten zur Nutzung von früheren Versionen berechtigt, Microsoft Dynamics CRM Server 2011 bzw. Microsoft Dynamics CRM Workgroup Server 2011 herunterzuladen und zu nutzen.</w:t>
      </w:r>
    </w:p>
    <w:p w:rsidR="007E430D" w:rsidRDefault="007E430D" w:rsidP="007E430D">
      <w:pPr>
        <w:ind w:left="720"/>
        <w:rPr>
          <w:lang w:val="de-DE"/>
        </w:rPr>
      </w:pPr>
    </w:p>
    <w:p w:rsidR="00EF6E9B" w:rsidRDefault="00EF6E9B" w:rsidP="007E430D">
      <w:pPr>
        <w:ind w:left="720"/>
        <w:rPr>
          <w:lang w:val="de-DE"/>
        </w:rPr>
      </w:pPr>
    </w:p>
    <w:p w:rsidR="00EF6E9B" w:rsidRDefault="00EF6E9B" w:rsidP="007E430D">
      <w:pPr>
        <w:ind w:left="720"/>
        <w:rPr>
          <w:lang w:val="de-DE"/>
        </w:rPr>
      </w:pPr>
    </w:p>
    <w:p w:rsidR="00EF6E9B" w:rsidRDefault="00EF6E9B" w:rsidP="007E430D">
      <w:pPr>
        <w:ind w:left="720"/>
        <w:rPr>
          <w:lang w:val="de-DE"/>
        </w:rPr>
      </w:pPr>
    </w:p>
    <w:p w:rsidR="00EF6E9B" w:rsidRDefault="00EF6E9B" w:rsidP="007E430D">
      <w:pPr>
        <w:ind w:left="720"/>
        <w:rPr>
          <w:lang w:val="de-DE"/>
        </w:rPr>
      </w:pPr>
    </w:p>
    <w:p w:rsidR="00EF6E9B" w:rsidRDefault="00EF6E9B" w:rsidP="007E430D">
      <w:pPr>
        <w:ind w:left="720"/>
        <w:rPr>
          <w:lang w:val="de-DE"/>
        </w:rPr>
      </w:pPr>
    </w:p>
    <w:p w:rsidR="00EF6E9B" w:rsidRPr="00C83DF5" w:rsidRDefault="00EF6E9B" w:rsidP="007E430D">
      <w:pPr>
        <w:ind w:left="720"/>
        <w:rPr>
          <w:lang w:val="de-DE"/>
        </w:rPr>
      </w:pPr>
    </w:p>
    <w:p w:rsidR="000F4095" w:rsidRPr="00C83DF5" w:rsidRDefault="000F4095" w:rsidP="000F4095">
      <w:pPr>
        <w:keepNext/>
        <w:spacing w:after="60"/>
        <w:ind w:left="720"/>
        <w:rPr>
          <w:lang w:val="de-DE"/>
        </w:rPr>
      </w:pPr>
      <w:r w:rsidRPr="00C83DF5">
        <w:rPr>
          <w:rFonts w:cs="Tahoma"/>
          <w:b/>
          <w:bCs/>
          <w:color w:val="000000"/>
          <w:szCs w:val="20"/>
          <w:lang w:val="de-DE"/>
        </w:rPr>
        <w:lastRenderedPageBreak/>
        <w:t>Software Assurance-Migrationspfad für Microsoft Dynamics CRM 2013</w:t>
      </w:r>
    </w:p>
    <w:p w:rsidR="000F4095" w:rsidRPr="00C83DF5" w:rsidRDefault="000F4095" w:rsidP="000F4095">
      <w:pPr>
        <w:ind w:left="720"/>
        <w:rPr>
          <w:lang w:val="de-DE"/>
        </w:rPr>
      </w:pPr>
      <w:r w:rsidRPr="00C83DF5">
        <w:rPr>
          <w:rFonts w:cs="Tahoma"/>
          <w:color w:val="000000"/>
          <w:szCs w:val="20"/>
          <w:lang w:val="de-DE"/>
        </w:rPr>
        <w:t>Kunden, die ihre Microsoft Dynamics CRM 2013-Lizenzen erworben haben und zum 1. Oktober 2013 oder später über aktive Software Assurance für diese Lizenzen verfügen, sind berechtigt, diese Lizenzen wie nachstehend aufgeführt upzugraden:</w:t>
      </w:r>
    </w:p>
    <w:p w:rsidR="000F4095" w:rsidRPr="00C83DF5" w:rsidRDefault="000F4095" w:rsidP="000F4095">
      <w:pPr>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C83DF5" w:rsidTr="00343766">
        <w:tc>
          <w:tcPr>
            <w:tcW w:w="4248" w:type="dxa"/>
            <w:tcBorders>
              <w:top w:val="single" w:sz="4" w:space="0" w:color="000000"/>
              <w:bottom w:val="single" w:sz="6" w:space="0" w:color="000000"/>
            </w:tcBorders>
            <w:shd w:val="clear" w:color="auto" w:fill="FABF8F"/>
          </w:tcPr>
          <w:p w:rsidR="000F4095" w:rsidRPr="00C83DF5" w:rsidRDefault="000F4095" w:rsidP="00343766">
            <w:pPr>
              <w:jc w:val="center"/>
              <w:rPr>
                <w:rFonts w:cs="Tahoma"/>
                <w:b/>
                <w:color w:val="000000"/>
                <w:szCs w:val="20"/>
                <w:lang w:val="de-DE"/>
              </w:rPr>
            </w:pPr>
            <w:r w:rsidRPr="00C83DF5">
              <w:rPr>
                <w:rFonts w:cs="Tahoma"/>
                <w:b/>
                <w:color w:val="000000"/>
                <w:szCs w:val="20"/>
                <w:lang w:val="de-DE"/>
              </w:rPr>
              <w:t>Qualifizierende Microsoft Dynamics CRM 2011-Lizenzen</w:t>
            </w:r>
          </w:p>
        </w:tc>
        <w:tc>
          <w:tcPr>
            <w:tcW w:w="4212" w:type="dxa"/>
            <w:tcBorders>
              <w:top w:val="single" w:sz="4" w:space="0" w:color="000000"/>
              <w:bottom w:val="single" w:sz="6" w:space="0" w:color="000000"/>
            </w:tcBorders>
            <w:shd w:val="clear" w:color="auto" w:fill="FABF8F"/>
          </w:tcPr>
          <w:p w:rsidR="000F4095" w:rsidRPr="00C83DF5" w:rsidRDefault="000F4095" w:rsidP="00343766">
            <w:pPr>
              <w:jc w:val="center"/>
              <w:rPr>
                <w:rFonts w:cs="Tahoma"/>
                <w:b/>
                <w:color w:val="000000"/>
                <w:szCs w:val="20"/>
              </w:rPr>
            </w:pPr>
            <w:r w:rsidRPr="00C83DF5">
              <w:rPr>
                <w:rFonts w:cs="Tahoma"/>
                <w:b/>
                <w:color w:val="000000"/>
                <w:szCs w:val="20"/>
              </w:rPr>
              <w:t>Entsprechende CRM 2013-Lizenzen</w:t>
            </w:r>
          </w:p>
        </w:tc>
      </w:tr>
      <w:tr w:rsidR="000F4095" w:rsidRPr="00C83DF5" w:rsidTr="00343766">
        <w:tc>
          <w:tcPr>
            <w:tcW w:w="4248" w:type="dxa"/>
            <w:tcBorders>
              <w:top w:val="single" w:sz="6" w:space="0" w:color="000000"/>
            </w:tcBorders>
            <w:shd w:val="clear" w:color="auto" w:fill="FFFFFF"/>
          </w:tcPr>
          <w:p w:rsidR="000F4095" w:rsidRPr="00C83DF5" w:rsidRDefault="000F4095" w:rsidP="00343766">
            <w:pPr>
              <w:rPr>
                <w:rFonts w:cs="Tahoma"/>
                <w:color w:val="000000"/>
                <w:szCs w:val="20"/>
              </w:rPr>
            </w:pPr>
            <w:r w:rsidRPr="00C83DF5">
              <w:rPr>
                <w:rFonts w:cs="Tahoma"/>
                <w:color w:val="000000"/>
                <w:szCs w:val="20"/>
              </w:rPr>
              <w:t>1 Microsoft Dynamics CRM 2011 Server</w:t>
            </w:r>
          </w:p>
        </w:tc>
        <w:tc>
          <w:tcPr>
            <w:tcW w:w="4212" w:type="dxa"/>
            <w:tcBorders>
              <w:top w:val="single" w:sz="6" w:space="0" w:color="000000"/>
            </w:tcBorders>
            <w:shd w:val="clear" w:color="auto" w:fill="FFFFFF"/>
          </w:tcPr>
          <w:p w:rsidR="000F4095" w:rsidRPr="00C83DF5" w:rsidRDefault="000F4095" w:rsidP="00343766">
            <w:pPr>
              <w:rPr>
                <w:rFonts w:cs="Tahoma"/>
                <w:color w:val="000000"/>
                <w:szCs w:val="20"/>
              </w:rPr>
            </w:pPr>
            <w:r w:rsidRPr="00C83DF5">
              <w:rPr>
                <w:rFonts w:cs="Tahoma"/>
                <w:color w:val="000000"/>
                <w:szCs w:val="20"/>
              </w:rPr>
              <w:t>1 Microsoft Dynamics CRM Server 2013</w:t>
            </w:r>
          </w:p>
        </w:tc>
      </w:tr>
      <w:tr w:rsidR="000F4095" w:rsidRPr="00C83DF5" w:rsidTr="00343766">
        <w:tc>
          <w:tcPr>
            <w:tcW w:w="4248" w:type="dxa"/>
            <w:tcBorders>
              <w:top w:val="single" w:sz="6" w:space="0" w:color="000000"/>
            </w:tcBorders>
            <w:shd w:val="clear" w:color="auto" w:fill="FFFFFF"/>
          </w:tcPr>
          <w:p w:rsidR="000F4095" w:rsidRPr="00C83DF5" w:rsidRDefault="000F4095" w:rsidP="00EF6E9B">
            <w:pPr>
              <w:rPr>
                <w:rFonts w:cs="Tahoma"/>
                <w:color w:val="000000"/>
                <w:szCs w:val="20"/>
              </w:rPr>
            </w:pPr>
            <w:r w:rsidRPr="00C83DF5">
              <w:rPr>
                <w:rFonts w:cs="Tahoma"/>
                <w:color w:val="000000"/>
                <w:szCs w:val="20"/>
              </w:rPr>
              <w:t>1 Microsoft Dynamics CRM Workgroup Server</w:t>
            </w:r>
            <w:r w:rsidR="00EF6E9B">
              <w:rPr>
                <w:rFonts w:cs="Tahoma"/>
                <w:color w:val="000000"/>
                <w:szCs w:val="20"/>
              </w:rPr>
              <w:t> </w:t>
            </w:r>
            <w:r w:rsidRPr="00C83DF5">
              <w:rPr>
                <w:rFonts w:cs="Tahoma"/>
                <w:color w:val="000000"/>
                <w:szCs w:val="20"/>
              </w:rPr>
              <w:t>2011</w:t>
            </w:r>
          </w:p>
        </w:tc>
        <w:tc>
          <w:tcPr>
            <w:tcW w:w="4212" w:type="dxa"/>
            <w:tcBorders>
              <w:top w:val="single" w:sz="6" w:space="0" w:color="000000"/>
            </w:tcBorders>
            <w:shd w:val="clear" w:color="auto" w:fill="FFFFFF"/>
          </w:tcPr>
          <w:p w:rsidR="000F4095" w:rsidRPr="00C83DF5" w:rsidRDefault="000F4095" w:rsidP="00EF6E9B">
            <w:pPr>
              <w:rPr>
                <w:rFonts w:cs="Tahoma"/>
                <w:color w:val="000000"/>
                <w:szCs w:val="20"/>
              </w:rPr>
            </w:pPr>
            <w:r w:rsidRPr="00C83DF5">
              <w:rPr>
                <w:rFonts w:cs="Tahoma"/>
                <w:color w:val="000000"/>
                <w:szCs w:val="20"/>
              </w:rPr>
              <w:t>1 Microsoft Dynamics CRM Workgroup Server</w:t>
            </w:r>
            <w:r w:rsidR="00EF6E9B">
              <w:rPr>
                <w:rFonts w:cs="Tahoma"/>
                <w:color w:val="000000"/>
                <w:szCs w:val="20"/>
              </w:rPr>
              <w:t> </w:t>
            </w:r>
            <w:r w:rsidRPr="00C83DF5">
              <w:rPr>
                <w:rFonts w:cs="Tahoma"/>
                <w:color w:val="000000"/>
                <w:szCs w:val="20"/>
              </w:rPr>
              <w:t>2013</w:t>
            </w:r>
          </w:p>
        </w:tc>
      </w:tr>
      <w:tr w:rsidR="000F4095" w:rsidRPr="004D388E" w:rsidTr="00343766">
        <w:trPr>
          <w:trHeight w:val="804"/>
        </w:trPr>
        <w:tc>
          <w:tcPr>
            <w:tcW w:w="4248" w:type="dxa"/>
            <w:tcBorders>
              <w:top w:val="single" w:sz="6" w:space="0" w:color="000000"/>
            </w:tcBorders>
            <w:shd w:val="clear" w:color="auto" w:fill="FFFFFF"/>
          </w:tcPr>
          <w:p w:rsidR="000F4095" w:rsidRPr="00C83DF5" w:rsidRDefault="000F4095" w:rsidP="00EF6E9B">
            <w:pPr>
              <w:rPr>
                <w:rFonts w:cs="Tahoma"/>
                <w:color w:val="000000"/>
                <w:szCs w:val="20"/>
              </w:rPr>
            </w:pPr>
            <w:r w:rsidRPr="00C83DF5">
              <w:rPr>
                <w:rFonts w:cs="Tahoma"/>
                <w:color w:val="000000"/>
                <w:szCs w:val="20"/>
              </w:rPr>
              <w:t>1 CAL für Microsoft Dynamics CRM 2011 Employee</w:t>
            </w:r>
            <w:r w:rsidR="00EF6E9B">
              <w:rPr>
                <w:rFonts w:cs="Tahoma"/>
                <w:color w:val="000000"/>
                <w:szCs w:val="20"/>
              </w:rPr>
              <w:t> </w:t>
            </w:r>
            <w:r w:rsidRPr="00C83DF5">
              <w:rPr>
                <w:rFonts w:cs="Tahoma"/>
                <w:color w:val="000000"/>
                <w:szCs w:val="20"/>
              </w:rPr>
              <w:t>Self Service</w:t>
            </w:r>
          </w:p>
        </w:tc>
        <w:tc>
          <w:tcPr>
            <w:tcW w:w="4212" w:type="dxa"/>
            <w:tcBorders>
              <w:top w:val="single" w:sz="6" w:space="0" w:color="000000"/>
            </w:tcBorders>
            <w:shd w:val="clear" w:color="auto" w:fill="FFFFFF"/>
          </w:tcPr>
          <w:p w:rsidR="000F4095" w:rsidRPr="00C83DF5" w:rsidRDefault="000F4095" w:rsidP="00EF6E9B">
            <w:r w:rsidRPr="00C83DF5">
              <w:rPr>
                <w:rFonts w:cs="Tahoma"/>
                <w:color w:val="000000"/>
                <w:szCs w:val="20"/>
              </w:rPr>
              <w:t xml:space="preserve">1 </w:t>
            </w:r>
            <w:r w:rsidRPr="00C83DF5">
              <w:t>CAL für Microsoft Dynamics CRM 2013 Essential</w:t>
            </w:r>
            <w:r w:rsidR="00EF6E9B">
              <w:t> </w:t>
            </w:r>
            <w:r w:rsidRPr="00C83DF5">
              <w:t>ODER</w:t>
            </w:r>
          </w:p>
          <w:p w:rsidR="000F4095" w:rsidRPr="00C83DF5" w:rsidRDefault="000F4095" w:rsidP="00343766">
            <w:pPr>
              <w:rPr>
                <w:rFonts w:cs="Tahoma"/>
                <w:color w:val="000000"/>
                <w:szCs w:val="20"/>
                <w:lang w:val="de-DE"/>
              </w:rPr>
            </w:pPr>
            <w:r w:rsidRPr="00C83DF5">
              <w:rPr>
                <w:rFonts w:cs="Tahoma"/>
                <w:color w:val="000000"/>
                <w:szCs w:val="20"/>
                <w:lang w:val="de-DE"/>
              </w:rPr>
              <w:t xml:space="preserve">1 </w:t>
            </w:r>
            <w:r w:rsidRPr="00C83DF5">
              <w:rPr>
                <w:lang w:val="de-DE"/>
              </w:rPr>
              <w:t xml:space="preserve">CAL für Microsoft Dynamics CRM 2013 Essential </w:t>
            </w:r>
            <w:r w:rsidRPr="00C83DF5">
              <w:rPr>
                <w:rFonts w:cs="Tahoma"/>
                <w:color w:val="000000"/>
                <w:szCs w:val="20"/>
                <w:lang w:val="de-DE"/>
              </w:rPr>
              <w:t xml:space="preserve">und 1 </w:t>
            </w:r>
            <w:r w:rsidRPr="00C83DF5">
              <w:rPr>
                <w:lang w:val="de-DE"/>
              </w:rPr>
              <w:t>Zusätzliche CAL zur Grundlegenden Verwendung von Microsoft Dynamics CRM 2013</w:t>
            </w:r>
          </w:p>
        </w:tc>
      </w:tr>
      <w:tr w:rsidR="000F4095" w:rsidRPr="004D388E" w:rsidTr="00343766">
        <w:tc>
          <w:tcPr>
            <w:tcW w:w="4248" w:type="dxa"/>
            <w:tcBorders>
              <w:top w:val="single" w:sz="6" w:space="0" w:color="000000"/>
            </w:tcBorders>
            <w:shd w:val="clear" w:color="auto" w:fill="FFFFFF"/>
          </w:tcPr>
          <w:p w:rsidR="000F4095" w:rsidRPr="00C83DF5" w:rsidRDefault="000F4095" w:rsidP="00343766">
            <w:pPr>
              <w:rPr>
                <w:rFonts w:cs="Tahoma"/>
                <w:color w:val="000000"/>
                <w:szCs w:val="20"/>
                <w:lang w:val="de-DE"/>
              </w:rPr>
            </w:pPr>
            <w:r w:rsidRPr="00C83DF5">
              <w:rPr>
                <w:rFonts w:cs="Tahoma"/>
                <w:color w:val="000000"/>
                <w:szCs w:val="20"/>
                <w:lang w:val="de-DE"/>
              </w:rPr>
              <w:t>1 Zusätzliche CAL zur Eingeschränkten Verwendung von Microsoft Dynamics CRM 2011</w:t>
            </w:r>
          </w:p>
        </w:tc>
        <w:tc>
          <w:tcPr>
            <w:tcW w:w="4212" w:type="dxa"/>
            <w:tcBorders>
              <w:top w:val="single" w:sz="6" w:space="0" w:color="000000"/>
            </w:tcBorders>
            <w:shd w:val="clear" w:color="auto" w:fill="FFFFFF"/>
          </w:tcPr>
          <w:p w:rsidR="000F4095" w:rsidRPr="00C83DF5" w:rsidRDefault="000F4095" w:rsidP="00343766">
            <w:pPr>
              <w:rPr>
                <w:lang w:val="de-DE"/>
              </w:rPr>
            </w:pPr>
            <w:r w:rsidRPr="00C83DF5">
              <w:rPr>
                <w:rFonts w:cs="Tahoma"/>
                <w:color w:val="000000"/>
                <w:szCs w:val="20"/>
                <w:lang w:val="de-DE"/>
              </w:rPr>
              <w:t xml:space="preserve">1 </w:t>
            </w:r>
            <w:r w:rsidRPr="00C83DF5">
              <w:rPr>
                <w:lang w:val="de-DE"/>
              </w:rPr>
              <w:t>Zusätzliche CAL zur Grundlegenden Verwendung von Microsoft Dynamics CRM 2013</w:t>
            </w:r>
          </w:p>
        </w:tc>
      </w:tr>
      <w:tr w:rsidR="000F4095" w:rsidRPr="004D388E" w:rsidTr="00343766">
        <w:trPr>
          <w:trHeight w:val="471"/>
        </w:trPr>
        <w:tc>
          <w:tcPr>
            <w:tcW w:w="4248" w:type="dxa"/>
            <w:tcBorders>
              <w:top w:val="single" w:sz="6" w:space="0" w:color="000000"/>
            </w:tcBorders>
            <w:shd w:val="clear" w:color="auto" w:fill="FFFFFF"/>
          </w:tcPr>
          <w:p w:rsidR="000F4095" w:rsidRPr="00C83DF5" w:rsidRDefault="000F4095" w:rsidP="00343766">
            <w:pPr>
              <w:rPr>
                <w:rFonts w:cs="Tahoma"/>
                <w:color w:val="000000"/>
                <w:szCs w:val="20"/>
                <w:lang w:val="de-DE"/>
              </w:rPr>
            </w:pPr>
            <w:r w:rsidRPr="00C83DF5">
              <w:rPr>
                <w:rFonts w:cs="Tahoma"/>
                <w:color w:val="000000"/>
                <w:szCs w:val="20"/>
                <w:lang w:val="de-DE"/>
              </w:rPr>
              <w:t>1 Zusätzliche CAL zur Vollständigen Verwendung von Microsoft Dynamics CRM 2011</w:t>
            </w:r>
          </w:p>
        </w:tc>
        <w:tc>
          <w:tcPr>
            <w:tcW w:w="4212" w:type="dxa"/>
            <w:tcBorders>
              <w:top w:val="single" w:sz="6" w:space="0" w:color="000000"/>
            </w:tcBorders>
            <w:shd w:val="clear" w:color="auto" w:fill="FFFFFF"/>
          </w:tcPr>
          <w:p w:rsidR="000F4095" w:rsidRPr="00C83DF5" w:rsidRDefault="000F4095" w:rsidP="00343766">
            <w:pPr>
              <w:rPr>
                <w:rFonts w:cs="Tahoma"/>
                <w:color w:val="000000"/>
                <w:szCs w:val="20"/>
                <w:lang w:val="de-DE"/>
              </w:rPr>
            </w:pPr>
            <w:r w:rsidRPr="00C83DF5">
              <w:rPr>
                <w:lang w:val="de-DE"/>
              </w:rPr>
              <w:t>1 Zusätzliche CAL zur Professionellen Verwendung von Microsoft Dynamics CRM 2013</w:t>
            </w:r>
          </w:p>
        </w:tc>
      </w:tr>
      <w:tr w:rsidR="000F4095" w:rsidRPr="004D388E" w:rsidTr="00343766">
        <w:tc>
          <w:tcPr>
            <w:tcW w:w="4248" w:type="dxa"/>
            <w:tcBorders>
              <w:top w:val="single" w:sz="6" w:space="0" w:color="000000"/>
            </w:tcBorders>
            <w:shd w:val="clear" w:color="auto" w:fill="FFFFFF"/>
          </w:tcPr>
          <w:p w:rsidR="000F4095" w:rsidRPr="00C83DF5" w:rsidRDefault="000F4095" w:rsidP="00EF6E9B">
            <w:pPr>
              <w:rPr>
                <w:rFonts w:cs="Tahoma"/>
                <w:color w:val="000000"/>
                <w:szCs w:val="20"/>
              </w:rPr>
            </w:pPr>
            <w:r w:rsidRPr="00C83DF5">
              <w:rPr>
                <w:rFonts w:cs="Tahoma"/>
                <w:color w:val="000000"/>
                <w:szCs w:val="20"/>
              </w:rPr>
              <w:t>1 Externer Connector für Microsoft Dynamics CRM</w:t>
            </w:r>
            <w:r w:rsidR="00EF6E9B">
              <w:rPr>
                <w:rFonts w:cs="Tahoma"/>
                <w:color w:val="000000"/>
                <w:szCs w:val="20"/>
              </w:rPr>
              <w:t> </w:t>
            </w:r>
            <w:r w:rsidRPr="00C83DF5">
              <w:rPr>
                <w:rFonts w:cs="Tahoma"/>
                <w:color w:val="000000"/>
                <w:szCs w:val="20"/>
              </w:rPr>
              <w:t>2011</w:t>
            </w:r>
          </w:p>
        </w:tc>
        <w:tc>
          <w:tcPr>
            <w:tcW w:w="4212" w:type="dxa"/>
            <w:tcBorders>
              <w:top w:val="single" w:sz="6" w:space="0" w:color="000000"/>
            </w:tcBorders>
            <w:shd w:val="clear" w:color="auto" w:fill="FFFFFF"/>
          </w:tcPr>
          <w:p w:rsidR="000F4095" w:rsidRPr="00C83DF5" w:rsidRDefault="000F4095" w:rsidP="00343766">
            <w:pPr>
              <w:rPr>
                <w:rFonts w:cs="Tahoma"/>
                <w:color w:val="000000"/>
                <w:szCs w:val="20"/>
                <w:lang w:val="de-DE"/>
              </w:rPr>
            </w:pPr>
            <w:r w:rsidRPr="00C83DF5">
              <w:rPr>
                <w:rFonts w:cs="Tahoma"/>
                <w:color w:val="000000"/>
                <w:szCs w:val="20"/>
                <w:lang w:val="de-DE"/>
              </w:rPr>
              <w:t>Keine. In der Serverlizenz für CRM 2013 sind Nutzungsrechte für den Externen Connector enthalten</w:t>
            </w:r>
          </w:p>
        </w:tc>
      </w:tr>
    </w:tbl>
    <w:p w:rsidR="000F4095" w:rsidRPr="00C83DF5" w:rsidRDefault="000F4095" w:rsidP="000F4095">
      <w:pPr>
        <w:rPr>
          <w:lang w:val="de-DE"/>
        </w:rPr>
      </w:pPr>
    </w:p>
    <w:p w:rsidR="000F4095" w:rsidRPr="00C83DF5" w:rsidRDefault="000F4095" w:rsidP="001A1A7A">
      <w:pPr>
        <w:ind w:left="720"/>
        <w:rPr>
          <w:lang w:val="de-DE"/>
        </w:rPr>
      </w:pPr>
      <w:r w:rsidRPr="00C83DF5">
        <w:rPr>
          <w:rFonts w:cs="Tahoma"/>
          <w:color w:val="000000"/>
          <w:szCs w:val="20"/>
          <w:lang w:val="de-DE"/>
        </w:rPr>
        <w:t>Das Recht der Kunden zur Nutzung von Microsoft Dynamics CRM 2013 wird durch diesen Hinweis auf die Produktbedingungen sowie den Nachweis der entsprechenden Lizenzen und Software Assurance für Microsoft Dynamics CRM 2013 belegt. Das Recht eines Kunden zur Nutzung von Microsoft Dynamics CRM 2013 laut diesem Migrationsangebot unterliegt den Bestimmungen des Volumenlizenzvertrages des Kunden.</w:t>
      </w:r>
      <w:r w:rsidR="00E71F46" w:rsidRPr="00C83DF5">
        <w:rPr>
          <w:rFonts w:cs="Tahoma"/>
          <w:color w:val="000000"/>
          <w:szCs w:val="20"/>
          <w:lang w:val="de-DE"/>
        </w:rPr>
        <w:t xml:space="preserve"> </w:t>
      </w:r>
      <w:r w:rsidRPr="00C83DF5">
        <w:rPr>
          <w:rFonts w:cs="Tahoma"/>
          <w:color w:val="000000"/>
          <w:szCs w:val="20"/>
          <w:lang w:val="de-DE"/>
        </w:rPr>
        <w:t>Dieses</w:t>
      </w:r>
      <w:r w:rsidRPr="00C83DF5">
        <w:rPr>
          <w:rStyle w:val="CommentReference"/>
          <w:szCs w:val="20"/>
          <w:lang w:val="de-DE"/>
        </w:rPr>
        <w:t xml:space="preserve"> </w:t>
      </w:r>
      <w:r w:rsidRPr="00C83DF5">
        <w:rPr>
          <w:rFonts w:cs="Tahoma"/>
          <w:color w:val="000000"/>
          <w:szCs w:val="20"/>
          <w:lang w:val="de-DE"/>
        </w:rPr>
        <w:t>Recht gilt bis zum Ablauf oder zur Beendigung des Rechts zur Nutzung von Microsoft Dynamics CRM 2011 gemäß den zugehörigen qualifizierenden Microsoft Dynamics CRM 2011-Lizenzen.</w:t>
      </w:r>
      <w:r w:rsidR="00E71F46" w:rsidRPr="00C83DF5">
        <w:rPr>
          <w:rFonts w:cs="Tahoma"/>
          <w:color w:val="000000"/>
          <w:szCs w:val="20"/>
          <w:lang w:val="de-DE"/>
        </w:rPr>
        <w:t xml:space="preserve"> </w:t>
      </w:r>
      <w:r w:rsidRPr="00C83DF5">
        <w:rPr>
          <w:rFonts w:cs="Tahoma"/>
          <w:color w:val="000000"/>
          <w:szCs w:val="20"/>
          <w:lang w:val="de-DE"/>
        </w:rPr>
        <w:t>Nach</w:t>
      </w:r>
      <w:r w:rsidR="001A1A7A">
        <w:rPr>
          <w:rFonts w:cs="Tahoma"/>
          <w:color w:val="000000"/>
          <w:szCs w:val="20"/>
          <w:lang w:val="de-DE"/>
        </w:rPr>
        <w:t> </w:t>
      </w:r>
      <w:r w:rsidRPr="00C83DF5">
        <w:rPr>
          <w:rFonts w:cs="Tahoma"/>
          <w:color w:val="000000"/>
          <w:szCs w:val="20"/>
          <w:lang w:val="de-DE"/>
        </w:rPr>
        <w:t>Ablauf von Software Assurance für die Microsoft Dynamics CRM 2011-Lizenzen kann der Kunde diese für die gewährten Microsoft Dynamics CRM 2013-Lizenzen verlängern.</w:t>
      </w:r>
      <w:r w:rsidR="00E71F46" w:rsidRPr="00C83DF5">
        <w:rPr>
          <w:rFonts w:cs="Tahoma"/>
          <w:color w:val="000000"/>
          <w:szCs w:val="20"/>
          <w:lang w:val="de-DE"/>
        </w:rPr>
        <w:t xml:space="preserve"> </w:t>
      </w:r>
    </w:p>
    <w:p w:rsidR="000F4095" w:rsidRPr="007025E3" w:rsidRDefault="000F4095" w:rsidP="000F4095">
      <w:pPr>
        <w:ind w:left="720"/>
        <w:rPr>
          <w:rFonts w:cs="Tahoma"/>
          <w:color w:val="000000"/>
          <w:szCs w:val="20"/>
          <w:lang w:val="de-DE"/>
        </w:rPr>
      </w:pPr>
    </w:p>
    <w:p w:rsidR="000F4095" w:rsidRPr="00C83DF5" w:rsidRDefault="000F4095" w:rsidP="000F4095">
      <w:pPr>
        <w:pStyle w:val="EndnoteText"/>
        <w:ind w:left="720"/>
        <w:rPr>
          <w:lang w:val="de-DE"/>
        </w:rPr>
      </w:pPr>
      <w:r w:rsidRPr="00C83DF5">
        <w:rPr>
          <w:rFonts w:ascii="Tahoma" w:hAnsi="Tahoma" w:cs="Tahoma"/>
          <w:bCs/>
          <w:sz w:val="18"/>
          <w:szCs w:val="18"/>
          <w:lang w:val="de-DE"/>
        </w:rPr>
        <w:t>Bei Kunden mit Konzernvertrag, die zu diesen oben beschriebenen zusätzlichen Lizenzen und Rechten berechtigt sind, gelten Microsoft Dynamics CRM 2011-Lizenzen, die während der aktuellen Laufzeit des Beitritts unter dem jährlichen True Up-Prozess erworben wurden, ebenfalls als qualifizierende Lizenzen.</w:t>
      </w:r>
    </w:p>
    <w:p w:rsidR="000F4095" w:rsidRPr="007025E3" w:rsidRDefault="000F4095" w:rsidP="000F4095">
      <w:pPr>
        <w:pStyle w:val="EndnoteText"/>
        <w:ind w:left="720"/>
        <w:rPr>
          <w:rFonts w:ascii="Tahoma" w:hAnsi="Tahoma" w:cs="Tahoma"/>
          <w:bCs/>
          <w:color w:val="000000"/>
          <w:sz w:val="18"/>
          <w:szCs w:val="18"/>
          <w:lang w:val="de-DE"/>
        </w:rPr>
      </w:pPr>
    </w:p>
    <w:p w:rsidR="000F4095" w:rsidRPr="00C83DF5" w:rsidRDefault="000F4095" w:rsidP="000F4095">
      <w:pPr>
        <w:pStyle w:val="EndnoteText"/>
        <w:ind w:left="720"/>
        <w:rPr>
          <w:highlight w:val="yellow"/>
          <w:lang w:val="de-DE"/>
        </w:rPr>
      </w:pPr>
      <w:r w:rsidRPr="00C83DF5">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E71F46" w:rsidRPr="00C83DF5">
        <w:rPr>
          <w:rFonts w:ascii="Tahoma" w:hAnsi="Tahoma" w:cs="Tahoma"/>
          <w:bCs/>
          <w:color w:val="000000"/>
          <w:sz w:val="18"/>
          <w:szCs w:val="18"/>
          <w:lang w:val="de-DE"/>
        </w:rPr>
        <w:t xml:space="preserve"> </w:t>
      </w:r>
      <w:r w:rsidRPr="00C83DF5">
        <w:rPr>
          <w:rFonts w:ascii="Tahoma" w:hAnsi="Tahoma" w:cs="Tahoma"/>
          <w:bCs/>
          <w:color w:val="000000"/>
          <w:sz w:val="18"/>
          <w:szCs w:val="18"/>
          <w:lang w:val="de-DE"/>
        </w:rPr>
        <w:t xml:space="preserve">Diese Rechte werden erst nach Ausübung der </w:t>
      </w:r>
      <w:r w:rsidR="00A35064">
        <w:rPr>
          <w:rFonts w:ascii="Tahoma" w:hAnsi="Tahoma" w:cs="Tahoma"/>
          <w:bCs/>
          <w:color w:val="000000"/>
          <w:sz w:val="18"/>
          <w:szCs w:val="18"/>
          <w:lang w:val="de-DE"/>
        </w:rPr>
        <w:br/>
      </w:r>
      <w:r w:rsidRPr="00C83DF5">
        <w:rPr>
          <w:rFonts w:ascii="Tahoma" w:hAnsi="Tahoma" w:cs="Tahoma"/>
          <w:bCs/>
          <w:color w:val="000000"/>
          <w:sz w:val="18"/>
          <w:szCs w:val="18"/>
          <w:lang w:val="de-DE"/>
        </w:rPr>
        <w:t>Buy-Out-Option zeitlich unbeschränkt und unterliegen weiterhin allen Bestimmungen des Lizenzvertrages des Kunden.</w:t>
      </w:r>
    </w:p>
    <w:p w:rsidR="000F4095" w:rsidRPr="007025E3" w:rsidRDefault="000F4095" w:rsidP="000F4095">
      <w:pPr>
        <w:ind w:left="720"/>
        <w:rPr>
          <w:rFonts w:cs="Tahoma"/>
          <w:color w:val="000000"/>
          <w:szCs w:val="20"/>
          <w:lang w:val="de-DE"/>
        </w:rPr>
      </w:pPr>
    </w:p>
    <w:p w:rsidR="000F4095" w:rsidRPr="00C83DF5" w:rsidRDefault="000F4095" w:rsidP="000F4095">
      <w:pPr>
        <w:spacing w:after="60"/>
        <w:ind w:left="720"/>
        <w:rPr>
          <w:lang w:val="de-DE"/>
        </w:rPr>
      </w:pPr>
      <w:r w:rsidRPr="00C83DF5">
        <w:rPr>
          <w:rFonts w:cs="Tahoma"/>
          <w:b/>
          <w:bCs/>
          <w:szCs w:val="20"/>
          <w:lang w:val="de-DE"/>
        </w:rPr>
        <w:t xml:space="preserve">Downgraderechte für Microsoft Dynamics CRM 2013 </w:t>
      </w:r>
    </w:p>
    <w:p w:rsidR="000F4095" w:rsidRPr="00C83DF5" w:rsidRDefault="000F4095" w:rsidP="000F4095">
      <w:pPr>
        <w:ind w:left="720"/>
        <w:rPr>
          <w:lang w:val="de-DE"/>
        </w:rPr>
      </w:pPr>
      <w:r w:rsidRPr="00C83DF5">
        <w:rPr>
          <w:rFonts w:cs="Tahoma"/>
          <w:szCs w:val="20"/>
          <w:lang w:val="de-DE"/>
        </w:rPr>
        <w:t>Kunden mit Microsoft Dynamics CRM 2013-Lizenzen sind berechtigt, Microsoft Dynamics CRM 2011 anstelle von Microsoft Dynamics CRM 2013 zu verwenden. Ihre Microsoft Dynamics CRM 2013-Lizenzen können wie folgt als CRM 2011-Lizenzen bereitgestellt werden:</w:t>
      </w:r>
    </w:p>
    <w:p w:rsidR="000F4095" w:rsidRPr="007025E3" w:rsidRDefault="000F4095" w:rsidP="000F4095">
      <w:pPr>
        <w:ind w:left="720"/>
        <w:rPr>
          <w:rFonts w:cs="Tahoma"/>
          <w:szCs w:val="20"/>
          <w:lang w:val="de-DE"/>
        </w:rPr>
      </w:pPr>
    </w:p>
    <w:p w:rsidR="001A1A7A" w:rsidRPr="007025E3" w:rsidRDefault="001A1A7A" w:rsidP="001A1A7A">
      <w:pPr>
        <w:ind w:left="900"/>
        <w:rPr>
          <w:rFonts w:cs="Tahoma"/>
          <w:sz w:val="2"/>
          <w:szCs w:val="20"/>
          <w:lang w:val="de-DE"/>
        </w:rPr>
      </w:pPr>
    </w:p>
    <w:p w:rsidR="000F4095" w:rsidRPr="007025E3" w:rsidRDefault="000F4095" w:rsidP="000F4095">
      <w:pPr>
        <w:ind w:left="540"/>
        <w:rPr>
          <w:rFonts w:cs="Tahoma"/>
          <w:sz w:val="4"/>
          <w:szCs w:val="20"/>
          <w:lang w:val="de-DE"/>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4D388E" w:rsidTr="0000794B">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7025E3" w:rsidRDefault="000F4095" w:rsidP="0000794B">
            <w:pPr>
              <w:ind w:left="360"/>
              <w:rPr>
                <w:rFonts w:cs="Tahoma"/>
                <w:b/>
                <w:bCs/>
                <w:szCs w:val="20"/>
                <w:lang w:val="de-DE"/>
              </w:rPr>
            </w:pPr>
            <w:r w:rsidRPr="007025E3">
              <w:rPr>
                <w:rFonts w:cs="Tahoma"/>
                <w:b/>
                <w:bCs/>
                <w:szCs w:val="20"/>
                <w:lang w:val="de-DE"/>
              </w:rPr>
              <w:t>Qualifizierende Microsoft Dynamics CRM 2013-Lizenz</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C83DF5" w:rsidRDefault="000F4095" w:rsidP="00756435">
            <w:pPr>
              <w:ind w:left="360"/>
              <w:rPr>
                <w:rFonts w:cs="Tahoma"/>
                <w:b/>
                <w:bCs/>
                <w:szCs w:val="20"/>
                <w:lang w:val="de-DE"/>
              </w:rPr>
            </w:pPr>
            <w:r w:rsidRPr="00C83DF5">
              <w:rPr>
                <w:rFonts w:cs="Tahoma"/>
                <w:b/>
                <w:bCs/>
                <w:szCs w:val="20"/>
                <w:lang w:val="de-DE"/>
              </w:rPr>
              <w:t>Entsprechende Microsoft Dynamics CRM</w:t>
            </w:r>
            <w:r w:rsidR="00756435">
              <w:rPr>
                <w:rFonts w:cs="Tahoma"/>
                <w:b/>
                <w:bCs/>
                <w:szCs w:val="20"/>
                <w:lang w:val="de-DE"/>
              </w:rPr>
              <w:t> </w:t>
            </w:r>
            <w:r w:rsidRPr="00C83DF5">
              <w:rPr>
                <w:rFonts w:cs="Tahoma"/>
                <w:b/>
                <w:bCs/>
                <w:szCs w:val="20"/>
                <w:lang w:val="de-DE"/>
              </w:rPr>
              <w:t>2011-Lizenzen</w:t>
            </w:r>
          </w:p>
        </w:tc>
      </w:tr>
      <w:tr w:rsidR="000F4095" w:rsidRPr="00C83DF5"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C83DF5" w:rsidRDefault="000F4095" w:rsidP="0000794B">
            <w:pPr>
              <w:rPr>
                <w:rFonts w:cs="Tahoma"/>
                <w:szCs w:val="20"/>
              </w:rPr>
            </w:pPr>
            <w:r w:rsidRPr="00C83DF5">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C83DF5" w:rsidRDefault="000F4095" w:rsidP="0000794B">
            <w:pPr>
              <w:pStyle w:val="ColorfulList-Accent11"/>
              <w:spacing w:line="276" w:lineRule="auto"/>
              <w:ind w:left="288" w:right="162" w:hanging="180"/>
              <w:rPr>
                <w:rFonts w:ascii="Tahoma" w:hAnsi="Tahoma" w:cs="Tahoma"/>
                <w:sz w:val="18"/>
                <w:szCs w:val="20"/>
              </w:rPr>
            </w:pPr>
            <w:r w:rsidRPr="00C83DF5">
              <w:rPr>
                <w:rFonts w:ascii="Tahoma" w:hAnsi="Tahoma" w:cs="Tahoma"/>
                <w:color w:val="000000"/>
                <w:sz w:val="18"/>
                <w:szCs w:val="20"/>
              </w:rPr>
              <w:t>Microsoft Dynamics CRM 2011 Server</w:t>
            </w:r>
          </w:p>
        </w:tc>
      </w:tr>
      <w:tr w:rsidR="000F4095" w:rsidRPr="00C83DF5"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C83DF5" w:rsidRDefault="000F4095" w:rsidP="0000794B">
            <w:pPr>
              <w:rPr>
                <w:rFonts w:cs="Tahoma"/>
                <w:szCs w:val="20"/>
              </w:rPr>
            </w:pPr>
            <w:r w:rsidRPr="00C83DF5">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C83DF5" w:rsidRDefault="000F4095" w:rsidP="0000794B">
            <w:pPr>
              <w:pStyle w:val="ColorfulList-Accent11"/>
              <w:spacing w:line="276" w:lineRule="auto"/>
              <w:ind w:left="288" w:right="162" w:hanging="180"/>
              <w:rPr>
                <w:rFonts w:ascii="Tahoma" w:hAnsi="Tahoma" w:cs="Tahoma"/>
                <w:sz w:val="18"/>
                <w:szCs w:val="20"/>
              </w:rPr>
            </w:pPr>
            <w:r w:rsidRPr="00C83DF5">
              <w:rPr>
                <w:rFonts w:ascii="Tahoma" w:hAnsi="Tahoma" w:cs="Tahoma"/>
                <w:color w:val="000000"/>
                <w:sz w:val="18"/>
                <w:szCs w:val="20"/>
              </w:rPr>
              <w:t>Microsoft Dynamics CRM Workgroup Server 2011</w:t>
            </w:r>
          </w:p>
        </w:tc>
      </w:tr>
      <w:tr w:rsidR="000F4095" w:rsidRPr="00C83DF5"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C83DF5" w:rsidRDefault="000F4095" w:rsidP="0000794B">
            <w:pPr>
              <w:rPr>
                <w:rFonts w:cs="Tahoma"/>
                <w:color w:val="000000"/>
                <w:szCs w:val="20"/>
              </w:rPr>
            </w:pPr>
            <w:r w:rsidRPr="00C83DF5">
              <w:t>CAL für Microsoft Dynamics CRM 2013 Essential</w:t>
            </w:r>
          </w:p>
        </w:tc>
        <w:tc>
          <w:tcPr>
            <w:tcW w:w="4242" w:type="dxa"/>
            <w:tcBorders>
              <w:top w:val="nil"/>
              <w:left w:val="nil"/>
              <w:bottom w:val="single" w:sz="8" w:space="0" w:color="000000"/>
              <w:right w:val="single" w:sz="8" w:space="0" w:color="000000"/>
            </w:tcBorders>
            <w:vAlign w:val="center"/>
          </w:tcPr>
          <w:p w:rsidR="000F4095" w:rsidRPr="00C83DF5" w:rsidRDefault="000F4095" w:rsidP="0000794B">
            <w:pPr>
              <w:pStyle w:val="ColorfulList-Accent11"/>
              <w:spacing w:line="276" w:lineRule="auto"/>
              <w:ind w:left="115" w:right="158"/>
              <w:rPr>
                <w:rFonts w:ascii="Tahoma" w:hAnsi="Tahoma" w:cs="Tahoma"/>
                <w:sz w:val="18"/>
                <w:szCs w:val="20"/>
              </w:rPr>
            </w:pPr>
            <w:r w:rsidRPr="00C83DF5">
              <w:rPr>
                <w:rFonts w:ascii="Tahoma" w:hAnsi="Tahoma"/>
                <w:sz w:val="18"/>
                <w:szCs w:val="22"/>
              </w:rPr>
              <w:t>CAL für Microsoft Dynamics CRM 2011 Employee Self Service</w:t>
            </w:r>
          </w:p>
        </w:tc>
      </w:tr>
      <w:tr w:rsidR="000F4095" w:rsidRPr="004D388E"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C83DF5" w:rsidRDefault="000F4095" w:rsidP="0000794B">
            <w:pPr>
              <w:keepNext/>
              <w:keepLines/>
              <w:rPr>
                <w:rFonts w:cs="Tahoma"/>
                <w:color w:val="000000"/>
                <w:szCs w:val="20"/>
                <w:lang w:val="de-DE"/>
              </w:rPr>
            </w:pPr>
            <w:r w:rsidRPr="00C83DF5">
              <w:rPr>
                <w:lang w:val="de-DE"/>
              </w:rPr>
              <w:lastRenderedPageBreak/>
              <w:t>Zusätzliche CAL zur Grundlegenden Verwendung von Microsoft Dynamics CRM 2013</w:t>
            </w:r>
          </w:p>
        </w:tc>
        <w:tc>
          <w:tcPr>
            <w:tcW w:w="4242" w:type="dxa"/>
            <w:tcBorders>
              <w:top w:val="nil"/>
              <w:left w:val="nil"/>
              <w:bottom w:val="single" w:sz="8" w:space="0" w:color="000000"/>
              <w:right w:val="single" w:sz="8" w:space="0" w:color="000000"/>
            </w:tcBorders>
            <w:vAlign w:val="center"/>
          </w:tcPr>
          <w:p w:rsidR="000F4095" w:rsidRPr="00C83DF5" w:rsidRDefault="000F4095" w:rsidP="0000794B">
            <w:pPr>
              <w:pStyle w:val="ColorfulList-Accent11"/>
              <w:spacing w:line="276" w:lineRule="auto"/>
              <w:ind w:left="115" w:right="158"/>
              <w:rPr>
                <w:rFonts w:ascii="Tahoma" w:hAnsi="Tahoma" w:cs="Tahoma"/>
                <w:color w:val="000000"/>
                <w:sz w:val="18"/>
                <w:szCs w:val="20"/>
                <w:lang w:val="de-DE"/>
              </w:rPr>
            </w:pPr>
            <w:r w:rsidRPr="00C83DF5">
              <w:rPr>
                <w:rFonts w:ascii="Tahoma" w:hAnsi="Tahoma" w:cs="Tahoma"/>
                <w:color w:val="000000"/>
                <w:sz w:val="18"/>
                <w:szCs w:val="20"/>
                <w:lang w:val="de-DE"/>
              </w:rPr>
              <w:t>Zusätzliche CAL zur Eingeschränkten Verwendung von Microsoft Dynamics CRM 2011</w:t>
            </w:r>
          </w:p>
        </w:tc>
      </w:tr>
      <w:tr w:rsidR="000F4095" w:rsidRPr="004D388E"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C83DF5" w:rsidRDefault="000F4095" w:rsidP="00343766">
            <w:pPr>
              <w:rPr>
                <w:rFonts w:cs="Tahoma"/>
                <w:color w:val="000000"/>
                <w:szCs w:val="20"/>
                <w:lang w:val="de-DE"/>
              </w:rPr>
            </w:pPr>
            <w:r w:rsidRPr="00C83DF5">
              <w:rPr>
                <w:lang w:val="de-DE"/>
              </w:rPr>
              <w:t>Zusätzliche CAL zur Professionellen Verwendung von Microsoft Dynamics CRM 2013</w:t>
            </w:r>
          </w:p>
        </w:tc>
        <w:tc>
          <w:tcPr>
            <w:tcW w:w="4242" w:type="dxa"/>
            <w:tcBorders>
              <w:top w:val="nil"/>
              <w:left w:val="nil"/>
              <w:bottom w:val="single" w:sz="8" w:space="0" w:color="000000"/>
              <w:right w:val="single" w:sz="8" w:space="0" w:color="000000"/>
            </w:tcBorders>
          </w:tcPr>
          <w:p w:rsidR="000F4095" w:rsidRPr="00C83DF5" w:rsidRDefault="000F4095" w:rsidP="0000794B">
            <w:pPr>
              <w:pStyle w:val="ColorfulList-Accent11"/>
              <w:spacing w:line="276" w:lineRule="auto"/>
              <w:ind w:left="115" w:right="158"/>
              <w:rPr>
                <w:rFonts w:ascii="Tahoma" w:hAnsi="Tahoma" w:cs="Tahoma"/>
                <w:color w:val="000000"/>
                <w:sz w:val="18"/>
                <w:szCs w:val="20"/>
                <w:lang w:val="de-DE"/>
              </w:rPr>
            </w:pPr>
            <w:r w:rsidRPr="00C83DF5">
              <w:rPr>
                <w:rFonts w:ascii="Tahoma" w:hAnsi="Tahoma" w:cs="Tahoma"/>
                <w:color w:val="000000"/>
                <w:sz w:val="18"/>
                <w:szCs w:val="20"/>
                <w:lang w:val="de-DE"/>
              </w:rPr>
              <w:t>Zusätzliche CAL zur Vollständigen Verwendung von Microsoft Dynamics CRM 2011</w:t>
            </w:r>
          </w:p>
        </w:tc>
      </w:tr>
    </w:tbl>
    <w:p w:rsidR="000F4095" w:rsidRPr="00C83DF5" w:rsidRDefault="000F4095" w:rsidP="000F4095">
      <w:pPr>
        <w:rPr>
          <w:lang w:val="de-DE"/>
        </w:rPr>
      </w:pPr>
      <w:r w:rsidRPr="00C83DF5">
        <w:rPr>
          <w:rFonts w:cs="Tahoma"/>
          <w:szCs w:val="20"/>
          <w:lang w:val="de-DE"/>
        </w:rPr>
        <w:t xml:space="preserve"> </w:t>
      </w:r>
    </w:p>
    <w:p w:rsidR="000F4095" w:rsidRPr="00C83DF5" w:rsidRDefault="000F4095" w:rsidP="000F4095">
      <w:pPr>
        <w:spacing w:after="60"/>
        <w:ind w:left="720"/>
        <w:rPr>
          <w:lang w:val="de-DE"/>
        </w:rPr>
      </w:pPr>
      <w:r w:rsidRPr="00C83DF5">
        <w:rPr>
          <w:rFonts w:cs="Tahoma"/>
          <w:b/>
          <w:bCs/>
          <w:color w:val="000000"/>
          <w:szCs w:val="20"/>
          <w:lang w:val="de-DE"/>
        </w:rPr>
        <w:t>Client-Zugriffslizenz-Optionen</w:t>
      </w:r>
    </w:p>
    <w:p w:rsidR="000F4095" w:rsidRPr="00C83DF5" w:rsidRDefault="000F4095" w:rsidP="000F4095">
      <w:pPr>
        <w:ind w:left="720"/>
        <w:rPr>
          <w:lang w:val="de-DE"/>
        </w:rPr>
      </w:pPr>
      <w:r w:rsidRPr="00C83DF5">
        <w:rPr>
          <w:rFonts w:cs="Tahoma"/>
          <w:color w:val="000000"/>
          <w:szCs w:val="20"/>
          <w:lang w:val="de-DE"/>
        </w:rPr>
        <w:t>Die unter den verschiedenen CALs für Microsoft Dynamics CRM 2013 zulässigen Verwendungszwecke sind in der Tabelle unten dargelegt.</w:t>
      </w:r>
      <w:r w:rsidR="00E71F46" w:rsidRPr="00C83DF5">
        <w:rPr>
          <w:rFonts w:cs="Tahoma"/>
          <w:color w:val="000000"/>
          <w:szCs w:val="20"/>
          <w:lang w:val="de-DE"/>
        </w:rPr>
        <w:t xml:space="preserve"> </w:t>
      </w:r>
      <w:r w:rsidRPr="00C83DF5">
        <w:rPr>
          <w:rFonts w:cs="Tahoma"/>
          <w:color w:val="000000"/>
          <w:szCs w:val="20"/>
          <w:lang w:val="de-DE"/>
        </w:rPr>
        <w:t>Die Beschränkte CAL und die Unbeschränkte CAL sind Angebote, die mehrere Lizenzen umfassen.</w:t>
      </w:r>
    </w:p>
    <w:p w:rsidR="000F4095" w:rsidRPr="00C83DF5" w:rsidRDefault="000F4095" w:rsidP="000F4095">
      <w:pPr>
        <w:ind w:left="720"/>
        <w:rPr>
          <w:lang w:val="de-DE"/>
        </w:rPr>
      </w:pPr>
    </w:p>
    <w:tbl>
      <w:tblPr>
        <w:tblW w:w="8326"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847"/>
        <w:gridCol w:w="516"/>
        <w:gridCol w:w="720"/>
        <w:gridCol w:w="270"/>
        <w:gridCol w:w="2070"/>
        <w:gridCol w:w="869"/>
        <w:gridCol w:w="540"/>
        <w:gridCol w:w="810"/>
      </w:tblGrid>
      <w:tr w:rsidR="00BF2FFA" w:rsidRPr="00C83DF5" w:rsidTr="00A35064">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b/>
                <w:bCs/>
                <w:color w:val="FFFFFF" w:themeColor="background1"/>
                <w:sz w:val="14"/>
                <w:szCs w:val="16"/>
              </w:rPr>
            </w:pPr>
            <w:r w:rsidRPr="00C83DF5">
              <w:rPr>
                <w:rFonts w:ascii="Segoe UI" w:eastAsia="Times New Roman" w:hAnsi="Segoe UI" w:cs="Segoe UI"/>
                <w:b/>
                <w:bCs/>
                <w:color w:val="FFFFFF" w:themeColor="background1"/>
                <w:sz w:val="14"/>
                <w:szCs w:val="16"/>
              </w:rPr>
              <w:t>Nutzungsrecht</w:t>
            </w:r>
          </w:p>
        </w:tc>
        <w:tc>
          <w:tcPr>
            <w:tcW w:w="84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C83DF5" w:rsidRDefault="00BF2FFA" w:rsidP="004E6530">
            <w:pPr>
              <w:spacing w:before="20" w:after="20"/>
              <w:jc w:val="center"/>
              <w:rPr>
                <w:rFonts w:ascii="Segoe UI" w:eastAsia="Times New Roman" w:hAnsi="Segoe UI" w:cs="Segoe UI"/>
                <w:b/>
                <w:bCs/>
                <w:color w:val="FFFFFF" w:themeColor="background1"/>
                <w:sz w:val="10"/>
                <w:szCs w:val="10"/>
              </w:rPr>
            </w:pPr>
            <w:r w:rsidRPr="00C83DF5">
              <w:rPr>
                <w:rFonts w:ascii="Segoe UI" w:eastAsia="Times New Roman" w:hAnsi="Segoe UI" w:cs="Segoe UI"/>
                <w:b/>
                <w:bCs/>
                <w:color w:val="FFFFFF" w:themeColor="background1"/>
                <w:sz w:val="10"/>
                <w:szCs w:val="10"/>
              </w:rPr>
              <w:t>Professional</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C83DF5" w:rsidRDefault="00BF2FFA" w:rsidP="004E6530">
            <w:pPr>
              <w:spacing w:before="20" w:after="20"/>
              <w:jc w:val="center"/>
              <w:rPr>
                <w:rFonts w:ascii="Segoe UI" w:eastAsia="Times New Roman" w:hAnsi="Segoe UI" w:cs="Segoe UI"/>
                <w:b/>
                <w:bCs/>
                <w:color w:val="FFFFFF" w:themeColor="background1"/>
                <w:sz w:val="10"/>
                <w:szCs w:val="10"/>
              </w:rPr>
            </w:pPr>
            <w:r w:rsidRPr="00C83DF5">
              <w:rPr>
                <w:rFonts w:ascii="Segoe UI" w:eastAsia="Times New Roman" w:hAnsi="Segoe UI" w:cs="Segoe UI"/>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C83DF5" w:rsidRDefault="00BF2FFA" w:rsidP="004E6530">
            <w:pPr>
              <w:spacing w:before="20" w:after="20"/>
              <w:jc w:val="center"/>
              <w:rPr>
                <w:rFonts w:ascii="Segoe UI" w:eastAsia="Times New Roman" w:hAnsi="Segoe UI" w:cs="Segoe UI"/>
                <w:b/>
                <w:bCs/>
                <w:color w:val="FFFFFF" w:themeColor="background1"/>
                <w:sz w:val="10"/>
                <w:szCs w:val="10"/>
              </w:rPr>
            </w:pPr>
            <w:r w:rsidRPr="00C83DF5">
              <w:rPr>
                <w:rFonts w:ascii="Segoe UI" w:eastAsia="Times New Roman" w:hAnsi="Segoe UI" w:cs="Segoe UI"/>
                <w:b/>
                <w:bCs/>
                <w:color w:val="FFFFFF" w:themeColor="background1"/>
                <w:sz w:val="10"/>
                <w:szCs w:val="10"/>
              </w:rPr>
              <w:t>Essential</w:t>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b/>
                <w:bCs/>
                <w:color w:val="FFFFFF" w:themeColor="background1"/>
                <w:sz w:val="14"/>
                <w:szCs w:val="16"/>
              </w:rPr>
            </w:pPr>
          </w:p>
        </w:tc>
        <w:tc>
          <w:tcPr>
            <w:tcW w:w="207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C83DF5" w:rsidRDefault="00BF2FFA" w:rsidP="004E6530">
            <w:pPr>
              <w:spacing w:before="20" w:after="20"/>
              <w:rPr>
                <w:rFonts w:ascii="Segoe UI" w:eastAsia="Times New Roman" w:hAnsi="Segoe UI" w:cs="Segoe UI"/>
                <w:b/>
                <w:bCs/>
                <w:color w:val="FFFFFF" w:themeColor="background1"/>
                <w:sz w:val="14"/>
                <w:szCs w:val="16"/>
              </w:rPr>
            </w:pPr>
            <w:r w:rsidRPr="00C83DF5">
              <w:rPr>
                <w:rFonts w:ascii="Segoe UI" w:eastAsia="Times New Roman" w:hAnsi="Segoe UI" w:cs="Segoe UI"/>
                <w:b/>
                <w:bCs/>
                <w:color w:val="FFFFFF" w:themeColor="background1"/>
                <w:sz w:val="14"/>
                <w:szCs w:val="16"/>
              </w:rPr>
              <w:t>Nutzungsrecht</w:t>
            </w:r>
          </w:p>
        </w:tc>
        <w:tc>
          <w:tcPr>
            <w:tcW w:w="86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C83DF5" w:rsidRDefault="00BF2FFA" w:rsidP="004E6530">
            <w:pPr>
              <w:spacing w:before="20" w:after="20"/>
              <w:jc w:val="center"/>
              <w:rPr>
                <w:rFonts w:ascii="Segoe UI" w:eastAsia="Times New Roman" w:hAnsi="Segoe UI" w:cs="Segoe UI"/>
                <w:b/>
                <w:bCs/>
                <w:color w:val="FFFFFF" w:themeColor="background1"/>
                <w:sz w:val="14"/>
                <w:szCs w:val="16"/>
              </w:rPr>
            </w:pPr>
            <w:r w:rsidRPr="00C83DF5">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C83DF5" w:rsidRDefault="00BF2FFA" w:rsidP="004E6530">
            <w:pPr>
              <w:spacing w:before="20" w:after="20"/>
              <w:jc w:val="center"/>
              <w:rPr>
                <w:rFonts w:ascii="Segoe UI" w:eastAsia="Times New Roman" w:hAnsi="Segoe UI" w:cs="Segoe UI"/>
                <w:b/>
                <w:bCs/>
                <w:color w:val="FFFFFF" w:themeColor="background1"/>
                <w:sz w:val="14"/>
                <w:szCs w:val="16"/>
              </w:rPr>
            </w:pPr>
            <w:r w:rsidRPr="00C83DF5">
              <w:rPr>
                <w:rFonts w:ascii="Segoe UI" w:eastAsia="Times New Roman" w:hAnsi="Segoe UI" w:cs="Segoe UI"/>
                <w:b/>
                <w:bCs/>
                <w:color w:val="FFFFFF" w:themeColor="background1"/>
                <w:sz w:val="10"/>
                <w:szCs w:val="10"/>
              </w:rPr>
              <w:t>Basic</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C83DF5" w:rsidRDefault="00BF2FFA" w:rsidP="004E6530">
            <w:pPr>
              <w:spacing w:before="20" w:after="20"/>
              <w:jc w:val="center"/>
              <w:rPr>
                <w:rFonts w:ascii="Segoe UI" w:eastAsia="Times New Roman" w:hAnsi="Segoe UI" w:cs="Segoe UI"/>
                <w:b/>
                <w:bCs/>
                <w:color w:val="FFFFFF" w:themeColor="background1"/>
                <w:sz w:val="14"/>
                <w:szCs w:val="16"/>
              </w:rPr>
            </w:pPr>
            <w:r w:rsidRPr="00C83DF5">
              <w:rPr>
                <w:rFonts w:ascii="Segoe UI" w:eastAsia="Times New Roman" w:hAnsi="Segoe UI" w:cs="Segoe UI"/>
                <w:b/>
                <w:bCs/>
                <w:color w:val="FFFFFF" w:themeColor="background1"/>
                <w:sz w:val="10"/>
                <w:szCs w:val="10"/>
              </w:rPr>
              <w:t>Essential</w:t>
            </w:r>
          </w:p>
        </w:tc>
      </w:tr>
      <w:tr w:rsidR="00BF2FFA" w:rsidRPr="00C83DF5" w:rsidTr="00A35064">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Ankündigungen anzeigen</w:t>
            </w:r>
          </w:p>
        </w:tc>
        <w:tc>
          <w:tcPr>
            <w:tcW w:w="847" w:type="dxa"/>
            <w:tcBorders>
              <w:top w:val="single" w:sz="4" w:space="0" w:color="FFFFFF" w:themeColor="background1"/>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2EAA54B" wp14:editId="0ED413C7">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FFFFFF" w:themeColor="background1"/>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907717C" wp14:editId="2D99AB1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7B4573BC" wp14:editId="3275E01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Kontakte</w:t>
            </w:r>
          </w:p>
        </w:tc>
        <w:tc>
          <w:tcPr>
            <w:tcW w:w="869" w:type="dxa"/>
            <w:tcBorders>
              <w:top w:val="single" w:sz="4" w:space="0" w:color="FFFFFF" w:themeColor="background1"/>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6F22C8AA" wp14:editId="24791AB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501D8BC" wp14:editId="42E4755F">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Gespeicherte Ansichten verwalten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1778584" wp14:editId="714A082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027628F" wp14:editId="41FCF02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1F96BB3A" wp14:editId="7499617B">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7B5C05">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Bewertung, Routing und Zuweisung von</w:t>
            </w:r>
            <w:r w:rsidR="007B5C05">
              <w:rPr>
                <w:rFonts w:ascii="Segoe UI" w:eastAsia="Times New Roman" w:hAnsi="Segoe UI" w:cs="Segoe UI"/>
                <w:color w:val="000000"/>
                <w:sz w:val="13"/>
                <w:szCs w:val="13"/>
                <w:lang w:val="de-DE"/>
              </w:rPr>
              <w:t> </w:t>
            </w:r>
            <w:r w:rsidRPr="00C83DF5">
              <w:rPr>
                <w:rFonts w:ascii="Segoe UI" w:eastAsia="Times New Roman" w:hAnsi="Segoe UI" w:cs="Segoe UI"/>
                <w:color w:val="000000"/>
                <w:sz w:val="13"/>
                <w:szCs w:val="13"/>
                <w:lang w:val="de-DE"/>
              </w:rPr>
              <w:t>Leads</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B3D9B7A" wp14:editId="4582717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847830D" wp14:editId="2A7B52A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Beziehungen zwischen Datensätzen verwenden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81DBA36" wp14:editId="077D8DA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hAnsi="Segoe UI" w:cs="Segoe UI"/>
                <w:noProof/>
                <w:sz w:val="12"/>
                <w:szCs w:val="16"/>
              </w:rPr>
              <w:drawing>
                <wp:inline distT="0" distB="0" distL="0" distR="0" wp14:anchorId="76AFDF96" wp14:editId="542165DE">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hAnsi="Segoe UI" w:cs="Segoe UI"/>
                <w:noProof/>
                <w:sz w:val="12"/>
                <w:szCs w:val="16"/>
              </w:rPr>
              <w:drawing>
                <wp:inline distT="0" distB="0" distL="0" distR="0" wp14:anchorId="204DD08A" wp14:editId="6445FE4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Lead-Erfassung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6C38897C" wp14:editId="4FFF53E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141C611" wp14:editId="23584029">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Persönliche Ansichten erstellen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0BA23166" wp14:editId="684DDAF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0DD6F9F3" wp14:editId="0B3F912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hAnsi="Segoe UI" w:cs="Segoe UI"/>
                <w:noProof/>
                <w:sz w:val="12"/>
                <w:szCs w:val="16"/>
              </w:rPr>
              <w:drawing>
                <wp:inline distT="0" distB="0" distL="0" distR="0" wp14:anchorId="20B16A81" wp14:editId="514F93B4">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Eine Kundenbeziehung bei einem Konto hinzufügen oder entfernen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4E24D1C" wp14:editId="28B51A8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6C710CC" wp14:editId="5DDC299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7B5C05">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Suchfunktion „Erweiterte</w:t>
            </w:r>
            <w:r w:rsidR="007B5C05">
              <w:rPr>
                <w:rFonts w:ascii="Segoe UI" w:eastAsia="Times New Roman" w:hAnsi="Segoe UI" w:cs="Segoe UI"/>
                <w:color w:val="000000"/>
                <w:sz w:val="13"/>
                <w:szCs w:val="13"/>
              </w:rPr>
              <w:t> </w:t>
            </w:r>
            <w:r w:rsidRPr="00C83DF5">
              <w:rPr>
                <w:rFonts w:ascii="Segoe UI" w:eastAsia="Times New Roman" w:hAnsi="Segoe UI" w:cs="Segoe UI"/>
                <w:color w:val="000000"/>
                <w:sz w:val="13"/>
                <w:szCs w:val="13"/>
              </w:rPr>
              <w:t>Suche“</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62346AA2" wp14:editId="0FEBAE7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F907DAB" wp14:editId="4531E7AE">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hAnsi="Segoe UI" w:cs="Segoe UI"/>
                <w:noProof/>
                <w:sz w:val="12"/>
                <w:szCs w:val="16"/>
              </w:rPr>
              <w:drawing>
                <wp:inline distT="0" distB="0" distL="0" distR="0" wp14:anchorId="2691E0E5" wp14:editId="456D6D22">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Eine Geschäftsmöglichkeit mit einem Konto verknüpfen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200972F" wp14:editId="3BB493C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99631DB" wp14:editId="32035C0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Suche</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45ED43BE" wp14:editId="3A4C9E6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286588BF" wp14:editId="5A3BCB1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hAnsi="Segoe UI" w:cs="Segoe UI"/>
                <w:noProof/>
                <w:sz w:val="12"/>
                <w:szCs w:val="16"/>
              </w:rPr>
              <w:drawing>
                <wp:inline distT="0" distB="0" distL="0" distR="0" wp14:anchorId="42EC45E5" wp14:editId="7D422FAA">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6B345A">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Qualifizierung und Umwandlung eines Leads</w:t>
            </w:r>
            <w:r w:rsidR="006B345A">
              <w:rPr>
                <w:rFonts w:ascii="Segoe UI" w:eastAsia="Times New Roman" w:hAnsi="Segoe UI" w:cs="Segoe UI"/>
                <w:color w:val="000000"/>
                <w:sz w:val="13"/>
                <w:szCs w:val="13"/>
                <w:lang w:val="de-DE"/>
              </w:rPr>
              <w:t> </w:t>
            </w:r>
            <w:r w:rsidRPr="00C83DF5">
              <w:rPr>
                <w:rFonts w:ascii="Segoe UI" w:eastAsia="Times New Roman" w:hAnsi="Segoe UI" w:cs="Segoe UI"/>
                <w:color w:val="000000"/>
                <w:sz w:val="13"/>
                <w:szCs w:val="13"/>
                <w:lang w:val="de-DE"/>
              </w:rPr>
              <w:t>in</w:t>
            </w:r>
            <w:r w:rsidR="006B345A">
              <w:rPr>
                <w:rFonts w:ascii="Segoe UI" w:eastAsia="Times New Roman" w:hAnsi="Segoe UI" w:cs="Segoe UI"/>
                <w:color w:val="000000"/>
                <w:sz w:val="13"/>
                <w:szCs w:val="13"/>
                <w:lang w:val="de-DE"/>
              </w:rPr>
              <w:t> </w:t>
            </w:r>
            <w:r w:rsidRPr="00C83DF5">
              <w:rPr>
                <w:rFonts w:ascii="Segoe UI" w:eastAsia="Times New Roman" w:hAnsi="Segoe UI" w:cs="Segoe UI"/>
                <w:color w:val="000000"/>
                <w:sz w:val="13"/>
                <w:szCs w:val="13"/>
                <w:lang w:val="de-DE"/>
              </w:rPr>
              <w:t>ein</w:t>
            </w:r>
            <w:r w:rsidR="007B5C05">
              <w:rPr>
                <w:rFonts w:ascii="Segoe UI" w:eastAsia="Times New Roman" w:hAnsi="Segoe UI" w:cs="Segoe UI"/>
                <w:color w:val="000000"/>
                <w:sz w:val="13"/>
                <w:szCs w:val="13"/>
                <w:lang w:val="de-DE"/>
              </w:rPr>
              <w:t> </w:t>
            </w:r>
            <w:r w:rsidRPr="00C83DF5">
              <w:rPr>
                <w:rFonts w:ascii="Segoe UI" w:eastAsia="Times New Roman" w:hAnsi="Segoe UI" w:cs="Segoe UI"/>
                <w:color w:val="000000"/>
                <w:sz w:val="13"/>
                <w:szCs w:val="13"/>
                <w:lang w:val="de-DE"/>
              </w:rPr>
              <w:t>Konto</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6F2B85EA" wp14:editId="73BD574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1C9D63F" wp14:editId="772D032E">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Ein Warteschlangenelement verwenden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14DFE2D1" wp14:editId="6C0D1D0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hAnsi="Segoe UI" w:cs="Segoe UI"/>
                <w:noProof/>
                <w:sz w:val="12"/>
                <w:szCs w:val="16"/>
              </w:rPr>
              <w:drawing>
                <wp:inline distT="0" distB="0" distL="0" distR="0" wp14:anchorId="4E1E883A" wp14:editId="045D0366">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hAnsi="Segoe UI" w:cs="Segoe UI"/>
                <w:noProof/>
                <w:sz w:val="12"/>
                <w:szCs w:val="16"/>
              </w:rPr>
              <w:drawing>
                <wp:inline distT="0" distB="0" distL="0" distR="0" wp14:anchorId="7F5809DC" wp14:editId="6F7F4AC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Konten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163EED7" wp14:editId="71CE530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354BBE5" wp14:editId="34B8F89D">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Daten in Microsoft Excel exportieren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7267042" wp14:editId="58AD69EB">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FC54353" wp14:editId="1DB490A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331E5E24" wp14:editId="2F0E4E2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Daten in Massen importieren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2D8845B" wp14:editId="575A899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Seriendruck ausführen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75E8E8D" wp14:editId="118F7F62">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9168301" wp14:editId="7FACA43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1D25A110" wp14:editId="47A0A1AD">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Überwachung konfigurieren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86752E5" wp14:editId="2EE40E5C">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Dialog starten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7E0799F0" wp14:editId="04A98713">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hAnsi="Segoe UI" w:cs="Segoe UI"/>
                <w:noProof/>
                <w:sz w:val="12"/>
                <w:szCs w:val="16"/>
              </w:rPr>
              <w:drawing>
                <wp:inline distT="0" distB="0" distL="0" distR="0" wp14:anchorId="76AF932E" wp14:editId="48AE3D2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hAnsi="Segoe UI" w:cs="Segoe UI"/>
                <w:noProof/>
                <w:sz w:val="12"/>
                <w:szCs w:val="16"/>
              </w:rPr>
              <w:drawing>
                <wp:inline distT="0" distB="0" distL="0" distR="0" wp14:anchorId="5F6CDB4E" wp14:editId="6E262CE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hAnsi="Segoe UI" w:cs="Segoe UI"/>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Duplikaterkennungsregeln konfigurieren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994A302" wp14:editId="663E5386">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Als Bedarfsgesteuerten Prozess ausführen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001726AE" wp14:editId="1333A36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hAnsi="Segoe UI" w:cs="Segoe UI"/>
                <w:noProof/>
                <w:sz w:val="12"/>
                <w:szCs w:val="16"/>
              </w:rPr>
              <w:drawing>
                <wp:inline distT="0" distB="0" distL="0" distR="0" wp14:anchorId="3F0F5C43" wp14:editId="4B535B49">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hAnsi="Segoe UI" w:cs="Segoe UI"/>
                <w:noProof/>
                <w:sz w:val="12"/>
                <w:szCs w:val="16"/>
              </w:rPr>
              <w:drawing>
                <wp:inline distT="0" distB="0" distL="0" distR="0" wp14:anchorId="57E1EB31" wp14:editId="11089151">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Beziehungen zwischen Entitäten definieren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0BB9417" wp14:editId="072CEAA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Automatisierten Workflow ausführen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sz w:val="12"/>
                <w:szCs w:val="16"/>
              </w:rPr>
            </w:pPr>
            <w:r w:rsidRPr="00C83DF5">
              <w:rPr>
                <w:rFonts w:ascii="Segoe UI" w:eastAsia="Times New Roman" w:hAnsi="Segoe UI" w:cs="Segoe UI"/>
                <w:noProof/>
                <w:color w:val="000000"/>
                <w:sz w:val="12"/>
                <w:szCs w:val="16"/>
              </w:rPr>
              <w:drawing>
                <wp:inline distT="0" distB="0" distL="0" distR="0" wp14:anchorId="613300A0" wp14:editId="7CABF2E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sz w:val="12"/>
                <w:szCs w:val="16"/>
              </w:rPr>
            </w:pPr>
            <w:r w:rsidRPr="00C83DF5">
              <w:rPr>
                <w:rFonts w:ascii="Segoe UI" w:hAnsi="Segoe UI" w:cs="Segoe UI"/>
                <w:noProof/>
                <w:sz w:val="12"/>
                <w:szCs w:val="16"/>
              </w:rPr>
              <w:drawing>
                <wp:inline distT="0" distB="0" distL="0" distR="0" wp14:anchorId="6B92A6FD" wp14:editId="741D29B9">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hAnsi="Segoe UI" w:cs="Segoe UI"/>
                <w:noProof/>
                <w:sz w:val="12"/>
                <w:szCs w:val="16"/>
              </w:rPr>
              <w:drawing>
                <wp:inline distT="0" distB="0" distL="0" distR="0" wp14:anchorId="1DD69B1D" wp14:editId="4D097995">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hAnsi="Segoe UI" w:cs="Segoe UI"/>
                <w:noProof/>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Warteschlangen definieren und konfigurieren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F8A1EFE" wp14:editId="70D3FC9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Artikel lesen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F8F2D77" wp14:editId="02CFEFA6">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E29565E" wp14:editId="12E354A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363368DB" wp14:editId="6D4A5965">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6B345A">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Dialoge definieren und</w:t>
            </w:r>
            <w:r w:rsidR="006B345A">
              <w:rPr>
                <w:rFonts w:ascii="Segoe UI" w:eastAsia="Times New Roman" w:hAnsi="Segoe UI" w:cs="Segoe UI"/>
                <w:color w:val="000000"/>
                <w:sz w:val="13"/>
                <w:szCs w:val="13"/>
              </w:rPr>
              <w:t> </w:t>
            </w:r>
            <w:r w:rsidRPr="00C83DF5">
              <w:rPr>
                <w:rFonts w:ascii="Segoe UI" w:eastAsia="Times New Roman" w:hAnsi="Segoe UI" w:cs="Segoe UI"/>
                <w:color w:val="000000"/>
                <w:sz w:val="13"/>
                <w:szCs w:val="13"/>
              </w:rPr>
              <w:t>konfigurieren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8546E9A" wp14:editId="3A23EDF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Anmerkungen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F6D561B" wp14:editId="708D0BD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6E0B521A" wp14:editId="43598EFB">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5DCEFD70" wp14:editId="68DD8BC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6B345A">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Workflows definieren und</w:t>
            </w:r>
            <w:r w:rsidR="006B345A">
              <w:rPr>
                <w:rFonts w:ascii="Segoe UI" w:eastAsia="Times New Roman" w:hAnsi="Segoe UI" w:cs="Segoe UI"/>
                <w:color w:val="000000"/>
                <w:sz w:val="13"/>
                <w:szCs w:val="13"/>
              </w:rPr>
              <w:t> </w:t>
            </w:r>
            <w:r w:rsidRPr="00C83DF5">
              <w:rPr>
                <w:rFonts w:ascii="Segoe UI" w:eastAsia="Times New Roman" w:hAnsi="Segoe UI" w:cs="Segoe UI"/>
                <w:color w:val="000000"/>
                <w:sz w:val="13"/>
                <w:szCs w:val="13"/>
              </w:rPr>
              <w:t>konfigurieren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6472B54" wp14:editId="4356028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Aktivitätenverwaltung</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5AC5DD8" wp14:editId="50990F05">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AE20DB5" wp14:editId="6D3498E4">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15DA4F41" wp14:editId="731F1DCB">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Systemberichte, Systemdiagramme und Systemdashboards</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0BC6E2E5" wp14:editId="67FB1F4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Zusammenarbeit über Yammer**</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27EB56C3" wp14:editId="0A6C2F4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35DEE8F" wp14:editId="7595E04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11C904A5" wp14:editId="67C3D82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Formulare und Ansichten anpassen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F472794" wp14:editId="47C63E7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Aktivitätsfeeds veröffentlichen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B56618D" wp14:editId="5BE9124C">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76FD0AB" wp14:editId="37A4E88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4C79EDB8" wp14:editId="7CA181C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hAnsi="Segoe UI" w:cs="Segoe UI"/>
                <w:noProof/>
                <w:sz w:val="13"/>
                <w:szCs w:val="13"/>
                <w:lang w:val="de-DE"/>
              </w:rPr>
            </w:pPr>
            <w:r w:rsidRPr="00C83DF5">
              <w:rPr>
                <w:rFonts w:ascii="Segoe UI" w:eastAsia="Times New Roman" w:hAnsi="Segoe UI" w:cs="Segoe UI"/>
                <w:color w:val="000000"/>
                <w:sz w:val="13"/>
                <w:szCs w:val="13"/>
                <w:lang w:val="de-DE"/>
              </w:rPr>
              <w:t xml:space="preserve">Microsoft Dynamics CRM-Formulare, -Entitäten </w:t>
            </w:r>
            <w:r w:rsidR="006B345A">
              <w:rPr>
                <w:rFonts w:ascii="Segoe UI" w:eastAsia="Times New Roman" w:hAnsi="Segoe UI" w:cs="Segoe UI"/>
                <w:color w:val="000000"/>
                <w:sz w:val="13"/>
                <w:szCs w:val="13"/>
                <w:lang w:val="de-DE"/>
              </w:rPr>
              <w:br/>
            </w:r>
            <w:r w:rsidRPr="00C83DF5">
              <w:rPr>
                <w:rFonts w:ascii="Segoe UI" w:eastAsia="Times New Roman" w:hAnsi="Segoe UI" w:cs="Segoe UI"/>
                <w:color w:val="000000"/>
                <w:sz w:val="13"/>
                <w:szCs w:val="13"/>
                <w:lang w:val="de-DE"/>
              </w:rPr>
              <w:t>und -Felder erstellen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AFCE2F8" wp14:editId="329C341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Aktivitätsfeeds verfolgen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2D880538" wp14:editId="563CF02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AD64549" wp14:editId="092CED0C">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1B8E8BA6" wp14:editId="4690322D">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CRM verwalten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24E1BE24" wp14:editId="03484419">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Freigegebener Kalender</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6691E78" wp14:editId="09C29B98">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9D7D0F5" wp14:editId="3777FACF">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10DDA5CB" wp14:editId="222E15B2">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Artikelvorlagen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D0302F0" wp14:editId="579490A5">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Benutzerdefinierte Entitätsdatensätze schreiben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97DF383" wp14:editId="6FF3E62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AD1E9F1" wp14:editId="6208B92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03B4486B" wp14:editId="364AE147">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Artikel erstellen und veröffentlichen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1B1214E" wp14:editId="3357963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Benutzerdefinierte Anwendungsdaten lesen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22B6106" wp14:editId="15360C3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580003C" wp14:editId="2A95DE9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5289ADDC" wp14:editId="06DFAAB1">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Zielverwaltung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DA3ECA4" wp14:editId="24BA2D1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Microsoft Dynamics CRM Mobile Express</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5609935" wp14:editId="35E25587">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6F7FCA0" wp14:editId="32A3652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416BAF7B" wp14:editId="5B37CB43">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hAnsi="Segoe UI" w:cs="Segoe UI"/>
                <w:sz w:val="13"/>
                <w:szCs w:val="13"/>
              </w:rPr>
            </w:pPr>
            <w:r w:rsidRPr="00C83DF5">
              <w:rPr>
                <w:rFonts w:ascii="Segoe UI" w:eastAsia="Times New Roman" w:hAnsi="Segoe UI" w:cs="Segoe UI"/>
                <w:color w:val="000000"/>
                <w:sz w:val="13"/>
                <w:szCs w:val="13"/>
              </w:rPr>
              <w:t>Vertragsvorlagen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hAnsi="Segoe UI" w:cs="Segoe UI"/>
                <w:sz w:val="12"/>
                <w:szCs w:val="16"/>
              </w:rPr>
            </w:pPr>
            <w:r w:rsidRPr="00C83DF5">
              <w:rPr>
                <w:rFonts w:ascii="Segoe UI" w:eastAsia="Times New Roman" w:hAnsi="Segoe UI" w:cs="Segoe UI"/>
                <w:noProof/>
                <w:color w:val="000000"/>
                <w:sz w:val="12"/>
                <w:szCs w:val="16"/>
              </w:rPr>
              <w:drawing>
                <wp:inline distT="0" distB="0" distL="0" distR="0" wp14:anchorId="067DB16B" wp14:editId="1F0C14D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Microsoft Dynamics CRM for iPad &amp; Windows 8</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2D873938" wp14:editId="37AAE20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1ADE15D" wp14:editId="76AB76D0">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2AF9F516" wp14:editId="523C19A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Vertragsverwaltung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66B0A1CF" wp14:editId="213C7E5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lastRenderedPageBreak/>
              <w:t>Microsoft Dynamics CRM für Outlook</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28C84213" wp14:editId="259BA4A7">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F0854A9" wp14:editId="5DA4C7DC">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1594356A" wp14:editId="71D1EBF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Gebietsverwaltung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1D562F03" wp14:editId="0E563646">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C83DF5" w:rsidRDefault="00BF2FFA" w:rsidP="004E6530">
            <w:pPr>
              <w:spacing w:before="20" w:after="20"/>
              <w:rPr>
                <w:rFonts w:ascii="Segoe UI" w:eastAsia="Times New Roman" w:hAnsi="Segoe UI" w:cs="Segoe UI"/>
                <w:color w:val="000000"/>
                <w:sz w:val="13"/>
                <w:szCs w:val="13"/>
              </w:rPr>
            </w:pPr>
            <w:r w:rsidRPr="00C83DF5">
              <w:rPr>
                <w:rFonts w:ascii="Segoe UI" w:eastAsia="Times New Roman" w:hAnsi="Segoe UI" w:cs="Segoe UI"/>
                <w:color w:val="000000"/>
                <w:sz w:val="13"/>
                <w:szCs w:val="13"/>
              </w:rPr>
              <w:t>Microsoft Dynamics CRM-Webanwendung</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C6CC70A" wp14:editId="141C998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283ADA83" wp14:editId="74DDA0D7">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color w:val="000000"/>
                <w:sz w:val="12"/>
                <w:szCs w:val="16"/>
              </w:rPr>
            </w:pPr>
            <w:r w:rsidRPr="00C83DF5">
              <w:rPr>
                <w:rFonts w:ascii="Segoe UI" w:eastAsia="Times New Roman" w:hAnsi="Segoe UI" w:cs="Segoe UI"/>
                <w:noProof/>
                <w:color w:val="000000"/>
                <w:sz w:val="12"/>
                <w:szCs w:val="16"/>
              </w:rPr>
              <w:drawing>
                <wp:inline distT="0" distB="0" distL="0" distR="0" wp14:anchorId="75703C5B" wp14:editId="6DC870C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Vertriebsdokumentation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D9AAC80" wp14:editId="71D8853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Benutzerberichte, Benutzerdiagramme und Benutzerdashboards verwalten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A7C4DBA" wp14:editId="2DBEA70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61A4B7A" wp14:editId="39CE46E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Angebotsverwaltung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98420D5" wp14:editId="1CEC555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Berichte ausführen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192826F" wp14:editId="5CA2AD05">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67D48AB5" wp14:editId="5FDA1F3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Preislisten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DEB61AF" wp14:editId="5A0F49F8">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hAnsi="Segoe UI" w:cs="Segoe UI"/>
                <w:noProof/>
                <w:sz w:val="13"/>
                <w:szCs w:val="13"/>
                <w:lang w:val="de-DE"/>
              </w:rPr>
            </w:pPr>
            <w:r w:rsidRPr="00C83DF5">
              <w:rPr>
                <w:rFonts w:ascii="Segoe UI" w:eastAsia="Times New Roman" w:hAnsi="Segoe UI" w:cs="Segoe UI"/>
                <w:color w:val="000000"/>
                <w:sz w:val="13"/>
                <w:szCs w:val="13"/>
                <w:lang w:val="de-DE"/>
              </w:rPr>
              <w:t>Berichte erstellen, aktualisieren und anpassen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17958F4E" wp14:editId="5FA75F8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3307AC3C" wp14:editId="4867418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Produktverfolgung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C48C52F" wp14:editId="4EC1755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Ankündigungen erstellen und aktualisieren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6EBE64B6" wp14:editId="192A947A">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118ED7A0" wp14:editId="2FF2DDA8">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Bestellungsverwaltung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32E4948" wp14:editId="71BDFB1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hAnsi="Segoe UI" w:cs="Segoe UI"/>
                <w:noProof/>
                <w:sz w:val="13"/>
                <w:szCs w:val="13"/>
                <w:lang w:val="de-DE"/>
              </w:rPr>
            </w:pPr>
            <w:r w:rsidRPr="00C83DF5">
              <w:rPr>
                <w:rFonts w:ascii="Segoe UI" w:eastAsia="Times New Roman" w:hAnsi="Segoe UI" w:cs="Segoe UI"/>
                <w:color w:val="000000"/>
                <w:sz w:val="13"/>
                <w:szCs w:val="13"/>
                <w:lang w:val="de-DE"/>
              </w:rPr>
              <w:t>Microsoft Dynamics CRM-Anwendungsdaten lesen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20557F96" wp14:editId="0B0C713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775F1427" wp14:editId="1595149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Rechnungsverwaltung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34347B6" wp14:editId="1722D1B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Benutzerdashboards</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2DD3D643" wp14:editId="32CF8316">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DE4A60D" wp14:editId="27C3305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Mitbewerberverfolgung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623525B" wp14:editId="141B161F">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hAnsi="Segoe UI" w:cs="Segoe UI"/>
                <w:noProof/>
                <w:sz w:val="13"/>
                <w:szCs w:val="13"/>
              </w:rPr>
            </w:pPr>
            <w:r w:rsidRPr="00C83DF5">
              <w:rPr>
                <w:rFonts w:ascii="Segoe UI" w:eastAsia="Times New Roman" w:hAnsi="Segoe UI" w:cs="Segoe UI"/>
                <w:color w:val="000000"/>
                <w:sz w:val="13"/>
                <w:szCs w:val="13"/>
              </w:rPr>
              <w:t>Benutzerdiagramme</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6E2C6B6A" wp14:editId="3921BEA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E9B5A3D" wp14:editId="08E1CD0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Qualifizierung und Umwandlung eines Leads in eine Geschäftsmöglichkeit</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59822F9F" wp14:editId="7269D08F">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sz w:val="13"/>
                <w:szCs w:val="13"/>
              </w:rPr>
              <w:t>Customer Care Accelerator (CCA) Framework</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6072EA12" wp14:editId="338A9293">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6625E9AA" wp14:editId="57821DE9">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Eine Aktivität in eine Geschäftsmöglichkeit umwandeln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5C256DA" wp14:editId="7B8AAF8D">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Eine Aktivität in einen Fall umwandeln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127DA392" wp14:editId="78F8C884">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B315DCB" wp14:editId="2FE8400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Geschäftsmöglichkeitsverfolgung</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7BED8CE1" wp14:editId="63429E5B">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hAnsi="Segoe UI" w:cs="Segoe UI"/>
                <w:sz w:val="13"/>
                <w:szCs w:val="13"/>
              </w:rPr>
            </w:pPr>
            <w:r w:rsidRPr="00C83DF5">
              <w:rPr>
                <w:rFonts w:ascii="Segoe UI" w:eastAsia="Times New Roman" w:hAnsi="Segoe UI" w:cs="Segoe UI"/>
                <w:color w:val="000000"/>
                <w:sz w:val="13"/>
                <w:szCs w:val="13"/>
              </w:rPr>
              <w:t>Fallverwaltung</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sz w:val="12"/>
                <w:szCs w:val="16"/>
              </w:rPr>
            </w:pPr>
            <w:r w:rsidRPr="00C83DF5">
              <w:rPr>
                <w:rFonts w:ascii="Segoe UI" w:eastAsia="Times New Roman" w:hAnsi="Segoe UI" w:cs="Segoe UI"/>
                <w:noProof/>
                <w:color w:val="000000"/>
                <w:sz w:val="12"/>
                <w:szCs w:val="16"/>
              </w:rPr>
              <w:drawing>
                <wp:inline distT="0" distB="0" distL="0" distR="0" wp14:anchorId="0DC1E466" wp14:editId="6263E0A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sz w:val="12"/>
                <w:szCs w:val="16"/>
              </w:rPr>
            </w:pPr>
            <w:r w:rsidRPr="00C83DF5">
              <w:rPr>
                <w:rFonts w:ascii="Segoe UI" w:eastAsia="Times New Roman" w:hAnsi="Segoe UI" w:cs="Segoe UI"/>
                <w:noProof/>
                <w:color w:val="000000"/>
                <w:sz w:val="12"/>
                <w:szCs w:val="16"/>
              </w:rPr>
              <w:drawing>
                <wp:inline distT="0" distB="0" distL="0" distR="0" wp14:anchorId="2CADC746" wp14:editId="21C29E2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Marketinglisten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4239E9DA" wp14:editId="42CD261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hAnsi="Segoe UI" w:cs="Segoe UI"/>
                <w:noProof/>
                <w:sz w:val="13"/>
                <w:szCs w:val="13"/>
                <w:lang w:val="de-DE"/>
              </w:rPr>
            </w:pPr>
            <w:r w:rsidRPr="00C83DF5">
              <w:rPr>
                <w:rFonts w:ascii="Segoe UI" w:eastAsia="Times New Roman" w:hAnsi="Segoe UI" w:cs="Segoe UI"/>
                <w:color w:val="000000"/>
                <w:sz w:val="13"/>
                <w:szCs w:val="13"/>
                <w:lang w:val="de-DE"/>
              </w:rPr>
              <w:t>Eine Kundenbeziehung bei einem Kontakt hinzufügen oder entfernen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33A13CB" wp14:editId="761646BB">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4FA47B07" wp14:editId="7410A89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Schnellkampagnen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3E1F812B" wp14:editId="59AB14FA">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hAnsi="Segoe UI" w:cs="Segoe UI"/>
                <w:noProof/>
                <w:sz w:val="13"/>
                <w:szCs w:val="13"/>
                <w:lang w:val="de-DE"/>
              </w:rPr>
            </w:pPr>
            <w:r w:rsidRPr="00C83DF5">
              <w:rPr>
                <w:rFonts w:ascii="Segoe UI" w:eastAsia="Times New Roman" w:hAnsi="Segoe UI" w:cs="Segoe UI"/>
                <w:color w:val="000000"/>
                <w:sz w:val="13"/>
                <w:szCs w:val="13"/>
                <w:lang w:val="de-DE"/>
              </w:rPr>
              <w:t>Eine Geschäftsmöglichkeit mit einem Kontakt verknüpfen</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1350AA2B" wp14:editId="189CE3F4">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hAnsi="Segoe UI" w:cs="Segoe UI"/>
                <w:noProof/>
                <w:sz w:val="12"/>
                <w:szCs w:val="16"/>
              </w:rPr>
            </w:pPr>
            <w:r w:rsidRPr="00C83DF5">
              <w:rPr>
                <w:rFonts w:ascii="Segoe UI" w:eastAsia="Times New Roman" w:hAnsi="Segoe UI" w:cs="Segoe UI"/>
                <w:noProof/>
                <w:color w:val="000000"/>
                <w:sz w:val="12"/>
                <w:szCs w:val="16"/>
              </w:rPr>
              <w:drawing>
                <wp:inline distT="0" distB="0" distL="0" distR="0" wp14:anchorId="55E1C12F" wp14:editId="50BD151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r w:rsidRPr="00C83DF5">
              <w:rPr>
                <w:rFonts w:ascii="Segoe UI" w:eastAsia="Times New Roman" w:hAnsi="Segoe UI" w:cs="Segoe UI"/>
                <w:color w:val="000000"/>
                <w:sz w:val="13"/>
                <w:szCs w:val="13"/>
              </w:rPr>
              <w:t>Marketingkampagnen</w:t>
            </w: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0DF1E94" wp14:editId="0AA4B39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r w:rsidR="00BF2FFA" w:rsidRPr="00C83DF5" w:rsidTr="00A3506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lang w:val="de-DE"/>
              </w:rPr>
            </w:pPr>
            <w:r w:rsidRPr="00C83DF5">
              <w:rPr>
                <w:rFonts w:ascii="Segoe UI" w:eastAsia="Times New Roman" w:hAnsi="Segoe UI" w:cs="Segoe UI"/>
                <w:color w:val="000000"/>
                <w:sz w:val="13"/>
                <w:szCs w:val="13"/>
                <w:lang w:val="de-DE"/>
              </w:rPr>
              <w:t>Qualifizierung und Umwandlung eines Leads in einen Kontakt</w:t>
            </w:r>
          </w:p>
        </w:tc>
        <w:tc>
          <w:tcPr>
            <w:tcW w:w="847"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6B8B4914" wp14:editId="597F6EB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center"/>
              <w:rPr>
                <w:rFonts w:ascii="Segoe UI" w:eastAsia="Times New Roman" w:hAnsi="Segoe UI" w:cs="Segoe UI"/>
                <w:noProof/>
                <w:color w:val="000000"/>
                <w:sz w:val="12"/>
                <w:szCs w:val="16"/>
              </w:rPr>
            </w:pPr>
            <w:r w:rsidRPr="00C83DF5">
              <w:rPr>
                <w:rFonts w:ascii="Segoe UI" w:eastAsia="Times New Roman" w:hAnsi="Segoe UI" w:cs="Segoe UI"/>
                <w:noProof/>
                <w:color w:val="000000"/>
                <w:sz w:val="12"/>
                <w:szCs w:val="16"/>
              </w:rPr>
              <w:drawing>
                <wp:inline distT="0" distB="0" distL="0" distR="0" wp14:anchorId="08C6B6F3" wp14:editId="4A654DA9">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C83DF5" w:rsidRDefault="00BF2FFA" w:rsidP="004E6530">
            <w:pPr>
              <w:spacing w:before="20" w:after="20"/>
              <w:jc w:val="center"/>
              <w:rPr>
                <w:rFonts w:ascii="Segoe UI" w:eastAsia="Times New Roman" w:hAnsi="Segoe UI" w:cs="Segoe UI"/>
                <w:noProof/>
                <w:color w:val="000000"/>
                <w:sz w:val="12"/>
                <w:szCs w:val="16"/>
              </w:rPr>
            </w:pPr>
          </w:p>
        </w:tc>
        <w:tc>
          <w:tcPr>
            <w:tcW w:w="207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C83DF5" w:rsidRDefault="00BF2FFA" w:rsidP="004E6530">
            <w:pPr>
              <w:spacing w:before="20" w:after="20"/>
              <w:rPr>
                <w:rFonts w:ascii="Segoe UI" w:eastAsia="Times New Roman" w:hAnsi="Segoe UI" w:cs="Segoe UI"/>
                <w:noProof/>
                <w:color w:val="000000"/>
                <w:sz w:val="13"/>
                <w:szCs w:val="13"/>
              </w:rPr>
            </w:pPr>
          </w:p>
        </w:tc>
        <w:tc>
          <w:tcPr>
            <w:tcW w:w="869" w:type="dxa"/>
            <w:tcBorders>
              <w:top w:val="single" w:sz="4" w:space="0" w:color="A5A5A5" w:themeColor="accent3"/>
              <w:left w:val="nil"/>
              <w:bottom w:val="single" w:sz="4" w:space="0" w:color="A5A5A5" w:themeColor="accent3"/>
              <w:right w:val="nil"/>
            </w:tcBorders>
            <w:vAlign w:val="center"/>
          </w:tcPr>
          <w:p w:rsidR="00BF2FFA" w:rsidRPr="00C83DF5" w:rsidRDefault="00BF2FFA" w:rsidP="004E6530">
            <w:pPr>
              <w:spacing w:before="20" w:after="20"/>
              <w:jc w:val="right"/>
              <w:rPr>
                <w:rFonts w:ascii="Segoe UI" w:eastAsia="Times New Roman" w:hAnsi="Segoe UI" w:cs="Segoe UI"/>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BF2FFA" w:rsidRPr="00C83DF5" w:rsidRDefault="00BF2FFA" w:rsidP="004E6530">
            <w:pPr>
              <w:spacing w:before="20" w:after="20"/>
              <w:jc w:val="center"/>
              <w:rPr>
                <w:rFonts w:ascii="Segoe UI" w:eastAsia="Times New Roman" w:hAnsi="Segoe UI" w:cs="Segoe UI"/>
                <w:noProof/>
                <w:color w:val="000000"/>
                <w:sz w:val="14"/>
                <w:szCs w:val="16"/>
              </w:rPr>
            </w:pPr>
          </w:p>
        </w:tc>
      </w:tr>
    </w:tbl>
    <w:p w:rsidR="000F4095" w:rsidRPr="00C83DF5" w:rsidRDefault="000F4095" w:rsidP="00BF2FFA">
      <w:pPr>
        <w:spacing w:before="80"/>
        <w:ind w:left="900"/>
        <w:rPr>
          <w:lang w:val="de-DE"/>
        </w:rPr>
      </w:pPr>
      <w:r w:rsidRPr="00C83DF5">
        <w:rPr>
          <w:rFonts w:cs="Tahoma"/>
          <w:lang w:val="de-DE"/>
        </w:rPr>
        <w:t xml:space="preserve"> </w:t>
      </w:r>
      <w:r w:rsidRPr="00C83DF5">
        <w:rPr>
          <w:rFonts w:ascii="Segoe UI" w:eastAsia="Times New Roman" w:hAnsi="Segoe UI" w:cs="Segoe UI"/>
          <w:color w:val="000000"/>
          <w:sz w:val="12"/>
          <w:szCs w:val="20"/>
          <w:lang w:val="de-DE"/>
        </w:rPr>
        <w:t>*Aktionen können nur an Datensätzen durchgeführt werden, die zu Entitäten gehören, die in den Nutzungsrechten enthalten sind</w:t>
      </w:r>
    </w:p>
    <w:p w:rsidR="00047874" w:rsidRPr="00C83DF5" w:rsidRDefault="000F4095" w:rsidP="00BF2FFA">
      <w:pPr>
        <w:ind w:left="900"/>
        <w:rPr>
          <w:lang w:val="de-DE"/>
        </w:rPr>
      </w:pPr>
      <w:r w:rsidRPr="00C83DF5">
        <w:rPr>
          <w:rFonts w:ascii="Segoe UI" w:eastAsia="Times New Roman" w:hAnsi="Segoe UI" w:cs="Segoe UI"/>
          <w:color w:val="000000"/>
          <w:sz w:val="12"/>
          <w:szCs w:val="20"/>
          <w:lang w:val="de-DE"/>
        </w:rPr>
        <w:t>**Für die Nutzung von Yammer innerhalb der Microsoft Dynamics CRM-Anwendung ist eine (separat erworbene) Lizenz für Yammer Enterprise erforderlich</w:t>
      </w:r>
    </w:p>
    <w:p w:rsidR="000F4095" w:rsidRDefault="000F4095" w:rsidP="000F4095">
      <w:pPr>
        <w:pStyle w:val="Heading3"/>
        <w:keepNext/>
        <w:rPr>
          <w:rFonts w:ascii="Tahoma" w:hAnsi="Tahoma" w:cs="Tahoma"/>
          <w:b w:val="0"/>
          <w:bCs/>
          <w:sz w:val="18"/>
          <w:szCs w:val="18"/>
          <w:lang w:val="de-DE"/>
        </w:rPr>
      </w:pPr>
      <w:bookmarkStart w:id="1381" w:name="_68_Microsoft_Dynamics"/>
      <w:bookmarkStart w:id="1382" w:name="_Toc336338328"/>
      <w:bookmarkEnd w:id="1381"/>
    </w:p>
    <w:p w:rsidR="00F037D5" w:rsidRPr="00F037D5" w:rsidRDefault="00F037D5" w:rsidP="00F037D5">
      <w:pPr>
        <w:rPr>
          <w:lang w:val="de-DE"/>
        </w:rPr>
      </w:pPr>
    </w:p>
    <w:p w:rsidR="0085774C" w:rsidRPr="00C83DF5" w:rsidRDefault="0085774C" w:rsidP="0085774C">
      <w:pPr>
        <w:pStyle w:val="Heading3"/>
        <w:keepNext/>
        <w:rPr>
          <w:lang w:val="de-DE"/>
        </w:rPr>
      </w:pPr>
      <w:bookmarkStart w:id="1383" w:name="_72_Externer_Connector"/>
      <w:bookmarkStart w:id="1384" w:name="_Toc370983440"/>
      <w:bookmarkEnd w:id="1383"/>
      <w:r w:rsidRPr="00C83DF5">
        <w:rPr>
          <w:rFonts w:ascii="Tahoma" w:hAnsi="Tahoma"/>
          <w:color w:val="F66400"/>
          <w:sz w:val="22"/>
          <w:vertAlign w:val="superscript"/>
          <w:lang w:val="de-DE"/>
        </w:rPr>
        <w:t>72</w:t>
      </w:r>
      <w:r w:rsidRPr="00C83DF5">
        <w:rPr>
          <w:rFonts w:ascii="Tahoma" w:hAnsi="Tahoma"/>
          <w:color w:val="F66400"/>
          <w:sz w:val="22"/>
          <w:lang w:val="de-DE"/>
        </w:rPr>
        <w:t xml:space="preserve"> Externer Connector für Microsoft Dynamics CRM 2011</w:t>
      </w:r>
      <w:bookmarkEnd w:id="1384"/>
    </w:p>
    <w:p w:rsidR="000F4095" w:rsidRPr="00C83DF5" w:rsidRDefault="000F4095" w:rsidP="000F4095">
      <w:pPr>
        <w:keepNext/>
        <w:spacing w:after="60"/>
        <w:rPr>
          <w:lang w:val="de-DE"/>
        </w:rPr>
      </w:pPr>
    </w:p>
    <w:p w:rsidR="000F4095" w:rsidRPr="00C83DF5" w:rsidRDefault="000F4095" w:rsidP="000F4095">
      <w:pPr>
        <w:spacing w:after="60"/>
        <w:ind w:left="720"/>
        <w:rPr>
          <w:lang w:val="de-DE"/>
        </w:rPr>
      </w:pPr>
      <w:r w:rsidRPr="00C83DF5">
        <w:rPr>
          <w:b/>
          <w:color w:val="000000"/>
          <w:lang w:val="de-DE"/>
        </w:rPr>
        <w:t>Lizenzgewährungen im Zusammenhang mit dem Ende der Lebensdauer des Externen Connectors für Microsoft Dynamics CRM 2011</w:t>
      </w:r>
    </w:p>
    <w:p w:rsidR="000F4095" w:rsidRPr="00C83DF5" w:rsidRDefault="000F4095" w:rsidP="00F037D5">
      <w:pPr>
        <w:ind w:left="720"/>
        <w:rPr>
          <w:lang w:val="de-DE"/>
        </w:rPr>
      </w:pPr>
      <w:r w:rsidRPr="00C83DF5">
        <w:rPr>
          <w:color w:val="000000"/>
          <w:lang w:val="de-DE"/>
        </w:rPr>
        <w:t>Der Externe Connector für Microsoft Dynamics CRM 2011 wird die letzte Version eines Externen Connectors</w:t>
      </w:r>
      <w:r w:rsidR="00F037D5">
        <w:rPr>
          <w:color w:val="000000"/>
          <w:lang w:val="de-DE"/>
        </w:rPr>
        <w:t> </w:t>
      </w:r>
      <w:r w:rsidRPr="00C83DF5">
        <w:rPr>
          <w:color w:val="000000"/>
          <w:lang w:val="de-DE"/>
        </w:rPr>
        <w:t>für Microsoft Dynamics CRM sein. Volumenlizenzkunden, die am 1. Oktober 2013 oder später über Software Assurance für Externe Connector-Lizenzen für Microsoft Dynamics CRM 2011 verfügen („Qualifizierende Lizenzen“), wird für jede qualifizierende Lizenz für den Externen Connector für Microsoft</w:t>
      </w:r>
      <w:r w:rsidR="00F037D5">
        <w:rPr>
          <w:color w:val="000000"/>
          <w:lang w:val="de-DE"/>
        </w:rPr>
        <w:t> </w:t>
      </w:r>
      <w:r w:rsidRPr="00C83DF5">
        <w:rPr>
          <w:color w:val="000000"/>
          <w:lang w:val="de-DE"/>
        </w:rPr>
        <w:t>Dynamics CRM 2011 eine Lizenz für Microsoft Dynamics CRM 2013 Server gewährt.</w:t>
      </w:r>
    </w:p>
    <w:p w:rsidR="000F4095" w:rsidRPr="00C83DF5" w:rsidRDefault="000F4095" w:rsidP="000F4095">
      <w:pPr>
        <w:spacing w:after="100" w:afterAutospacing="1" w:line="276" w:lineRule="auto"/>
        <w:ind w:left="720"/>
        <w:contextualSpacing/>
        <w:rPr>
          <w:lang w:val="de-DE"/>
        </w:rPr>
      </w:pPr>
    </w:p>
    <w:p w:rsidR="000F4095" w:rsidRPr="00C83DF5" w:rsidRDefault="000F4095" w:rsidP="000F4095">
      <w:pPr>
        <w:ind w:left="720"/>
        <w:rPr>
          <w:lang w:val="de-DE"/>
        </w:rPr>
      </w:pPr>
      <w:r w:rsidRPr="00C83DF5">
        <w:rPr>
          <w:rFonts w:eastAsia="Calibri" w:cs="Tahoma"/>
          <w:szCs w:val="18"/>
          <w:lang w:val="de-DE"/>
        </w:rPr>
        <w:t>Die Software Assurance aus den obigen Gewährungen läuft ab, wenn die entsprechende Software Assurance für die Qualifizierenden Lizenzen abläuft. Nach Ablauf von Software Assurance für die qualifizierenden Lizenzen ist der Kunde berechtigt, Software Assurance im Hinblick auf die gewährten Lizenzen zu verlängern.</w:t>
      </w:r>
    </w:p>
    <w:p w:rsidR="000F4095" w:rsidRDefault="000F4095" w:rsidP="000F4095">
      <w:pPr>
        <w:pStyle w:val="ListParagraph"/>
        <w:contextualSpacing w:val="0"/>
        <w:rPr>
          <w:rFonts w:ascii="Tahoma" w:hAnsi="Tahoma" w:cs="Tahoma"/>
          <w:sz w:val="18"/>
          <w:szCs w:val="18"/>
          <w:lang w:val="de-DE"/>
        </w:rPr>
      </w:pPr>
    </w:p>
    <w:p w:rsidR="007025E3" w:rsidRDefault="007025E3" w:rsidP="000F4095">
      <w:pPr>
        <w:pStyle w:val="ListParagraph"/>
        <w:contextualSpacing w:val="0"/>
        <w:rPr>
          <w:rFonts w:ascii="Tahoma" w:hAnsi="Tahoma" w:cs="Tahoma"/>
          <w:sz w:val="18"/>
          <w:szCs w:val="18"/>
          <w:lang w:val="de-DE"/>
        </w:rPr>
      </w:pPr>
    </w:p>
    <w:p w:rsidR="00A35064" w:rsidRDefault="00A35064" w:rsidP="000F4095">
      <w:pPr>
        <w:pStyle w:val="ListParagraph"/>
        <w:contextualSpacing w:val="0"/>
        <w:rPr>
          <w:rFonts w:ascii="Tahoma" w:hAnsi="Tahoma" w:cs="Tahoma"/>
          <w:sz w:val="18"/>
          <w:szCs w:val="18"/>
          <w:lang w:val="de-DE"/>
        </w:rPr>
      </w:pPr>
    </w:p>
    <w:p w:rsidR="00A35064" w:rsidRDefault="00A35064" w:rsidP="000F4095">
      <w:pPr>
        <w:pStyle w:val="ListParagraph"/>
        <w:contextualSpacing w:val="0"/>
        <w:rPr>
          <w:rFonts w:ascii="Tahoma" w:hAnsi="Tahoma" w:cs="Tahoma"/>
          <w:sz w:val="18"/>
          <w:szCs w:val="18"/>
          <w:lang w:val="de-DE"/>
        </w:rPr>
      </w:pPr>
    </w:p>
    <w:p w:rsidR="00A35064" w:rsidRDefault="00A35064" w:rsidP="000F4095">
      <w:pPr>
        <w:pStyle w:val="ListParagraph"/>
        <w:contextualSpacing w:val="0"/>
        <w:rPr>
          <w:rFonts w:ascii="Tahoma" w:hAnsi="Tahoma" w:cs="Tahoma"/>
          <w:sz w:val="18"/>
          <w:szCs w:val="18"/>
          <w:lang w:val="de-DE"/>
        </w:rPr>
      </w:pPr>
    </w:p>
    <w:p w:rsidR="007025E3" w:rsidRPr="008B3D04" w:rsidRDefault="007025E3" w:rsidP="000F4095">
      <w:pPr>
        <w:pStyle w:val="ListParagraph"/>
        <w:contextualSpacing w:val="0"/>
        <w:rPr>
          <w:rFonts w:ascii="Tahoma" w:hAnsi="Tahoma" w:cs="Tahoma"/>
          <w:sz w:val="18"/>
          <w:szCs w:val="18"/>
          <w:lang w:val="de-DE"/>
        </w:rPr>
      </w:pPr>
    </w:p>
    <w:p w:rsidR="000F4095" w:rsidRPr="00C83DF5" w:rsidRDefault="000F4095" w:rsidP="000F4095">
      <w:pPr>
        <w:pStyle w:val="ListParagraph"/>
        <w:contextualSpacing w:val="0"/>
        <w:rPr>
          <w:lang w:val="de-DE"/>
        </w:rPr>
      </w:pPr>
      <w:r w:rsidRPr="00C83DF5">
        <w:rPr>
          <w:rFonts w:ascii="Tahoma" w:eastAsia="Calibri" w:hAnsi="Tahoma" w:cs="Tahoma"/>
          <w:sz w:val="18"/>
          <w:szCs w:val="18"/>
          <w:lang w:val="de-DE"/>
        </w:rPr>
        <w:lastRenderedPageBreak/>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0F4095" w:rsidRPr="00C83DF5" w:rsidRDefault="000F4095" w:rsidP="007025E3">
      <w:pPr>
        <w:ind w:left="720"/>
        <w:rPr>
          <w:lang w:val="de-DE"/>
        </w:rPr>
      </w:pPr>
    </w:p>
    <w:p w:rsidR="000F4095" w:rsidRPr="00C83DF5" w:rsidRDefault="000F4095" w:rsidP="000F4095">
      <w:pPr>
        <w:pStyle w:val="ListParagraph"/>
        <w:contextualSpacing w:val="0"/>
        <w:rPr>
          <w:lang w:val="de-DE"/>
        </w:rPr>
      </w:pPr>
      <w:r w:rsidRPr="00C83DF5">
        <w:rPr>
          <w:rFonts w:ascii="Tahoma" w:eastAsia="Calibri" w:hAnsi="Tahoma" w:cs="Tahoma"/>
          <w:sz w:val="18"/>
          <w:szCs w:val="18"/>
          <w:lang w:val="de-DE"/>
        </w:rPr>
        <w:t>Für jede Qualifizierende Lizenz, die unter einem Konzern-Abonnement, einem Campus- und School-Abonnement und einer Open Value Subscription erworben wurde, ist der Kunde berechtigt, ein Buy-Out für eine Serverlizenz für Microsoft Dynamics CRM 2013 wie angeboten durchzuführen.</w:t>
      </w:r>
    </w:p>
    <w:p w:rsidR="000F4095" w:rsidRPr="00C83DF5" w:rsidRDefault="000F4095" w:rsidP="000F4095">
      <w:pPr>
        <w:ind w:left="720"/>
        <w:rPr>
          <w:lang w:val="de-DE"/>
        </w:rPr>
      </w:pPr>
    </w:p>
    <w:p w:rsidR="000F4095" w:rsidRPr="00C83DF5" w:rsidRDefault="000F4095" w:rsidP="000F4095">
      <w:pPr>
        <w:ind w:left="720"/>
        <w:rPr>
          <w:lang w:val="de-DE"/>
        </w:rPr>
      </w:pPr>
      <w:r w:rsidRPr="00C83DF5">
        <w:rPr>
          <w:rFonts w:eastAsia="Calibri" w:cs="Tahoma"/>
          <w:szCs w:val="18"/>
          <w:lang w:val="de-DE"/>
        </w:rPr>
        <w:t>Bei Upgrade auf die im Rahmen dieser Gewährung bereitgestellten Serverlizenzen für Microsoft Dynamics CRM 2013 sind die bestehenden Qualifizierenden Lizenzen des Kunden für den Externen Connector für Microsoft Dynamics CRM 2011 nicht mehr gültig.</w:t>
      </w:r>
    </w:p>
    <w:p w:rsidR="00D57009" w:rsidRDefault="00D57009">
      <w:pPr>
        <w:rPr>
          <w:lang w:val="de-DE"/>
        </w:rPr>
      </w:pPr>
    </w:p>
    <w:p w:rsidR="00A948B0" w:rsidRPr="00C83DF5" w:rsidRDefault="00A948B0">
      <w:pPr>
        <w:rPr>
          <w:lang w:val="de-DE"/>
        </w:rPr>
      </w:pPr>
    </w:p>
    <w:p w:rsidR="0034016E" w:rsidRPr="00C83DF5" w:rsidRDefault="0085774C" w:rsidP="0034016E">
      <w:pPr>
        <w:pStyle w:val="Heading3"/>
        <w:rPr>
          <w:lang w:val="de-DE"/>
        </w:rPr>
      </w:pPr>
      <w:bookmarkStart w:id="1385" w:name="_70_Microsoft_Dynamics"/>
      <w:bookmarkStart w:id="1386" w:name="_73_Microsoft_Dynamics"/>
      <w:bookmarkStart w:id="1387" w:name="_69_Office_365"/>
      <w:bookmarkStart w:id="1388" w:name="_69_68_Office"/>
      <w:bookmarkStart w:id="1389" w:name="_71_Office_365_1"/>
      <w:bookmarkStart w:id="1390" w:name="_Toc336338329"/>
      <w:bookmarkStart w:id="1391" w:name="Srv_70Office365PlanE1"/>
      <w:bookmarkStart w:id="1392" w:name="_Toc370983441"/>
      <w:bookmarkEnd w:id="1374"/>
      <w:bookmarkEnd w:id="1375"/>
      <w:bookmarkEnd w:id="1382"/>
      <w:bookmarkEnd w:id="1385"/>
      <w:bookmarkEnd w:id="1386"/>
      <w:bookmarkEnd w:id="1387"/>
      <w:bookmarkEnd w:id="1388"/>
      <w:bookmarkEnd w:id="1389"/>
      <w:r w:rsidRPr="00C83DF5">
        <w:rPr>
          <w:rFonts w:ascii="Tahoma" w:hAnsi="Tahoma"/>
          <w:caps/>
          <w:color w:val="F66400"/>
          <w:sz w:val="22"/>
          <w:vertAlign w:val="superscript"/>
          <w:lang w:val="de-DE"/>
        </w:rPr>
        <w:t>73</w:t>
      </w:r>
      <w:r w:rsidRPr="00C83DF5">
        <w:rPr>
          <w:rFonts w:ascii="Tahoma" w:hAnsi="Tahoma"/>
          <w:color w:val="F66400"/>
          <w:sz w:val="22"/>
          <w:lang w:val="de-DE"/>
        </w:rPr>
        <w:t xml:space="preserve"> Microsoft Dynamics CRM Online</w:t>
      </w:r>
      <w:bookmarkEnd w:id="1392"/>
    </w:p>
    <w:p w:rsidR="0034016E" w:rsidRPr="00C83DF5" w:rsidRDefault="0034016E" w:rsidP="00A948B0">
      <w:pPr>
        <w:rPr>
          <w:lang w:val="de-DE"/>
        </w:rPr>
      </w:pPr>
    </w:p>
    <w:p w:rsidR="0034016E" w:rsidRPr="00C83DF5" w:rsidRDefault="0034016E" w:rsidP="0034016E">
      <w:pPr>
        <w:ind w:left="720"/>
        <w:rPr>
          <w:lang w:val="de-DE"/>
        </w:rPr>
      </w:pPr>
      <w:r w:rsidRPr="00C83DF5">
        <w:rPr>
          <w:rFonts w:cs="Tahoma"/>
          <w:b/>
          <w:color w:val="000000"/>
          <w:szCs w:val="18"/>
          <w:lang w:val="de-DE"/>
        </w:rPr>
        <w:t>Länder, in denen Microsoft Dynamics CRM Online verfügbar ist</w:t>
      </w:r>
    </w:p>
    <w:p w:rsidR="0034016E" w:rsidRPr="00C83DF5" w:rsidRDefault="0034016E" w:rsidP="00A948B0">
      <w:pPr>
        <w:rPr>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C83DF5"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C83DF5" w:rsidRDefault="0034016E" w:rsidP="00343766">
            <w:pPr>
              <w:keepNext/>
              <w:jc w:val="center"/>
              <w:rPr>
                <w:rFonts w:cs="Tahoma"/>
                <w:b/>
                <w:bCs/>
                <w:szCs w:val="20"/>
              </w:rPr>
            </w:pPr>
            <w:r w:rsidRPr="00C83DF5">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C83DF5" w:rsidRDefault="0034016E" w:rsidP="00343766">
            <w:pPr>
              <w:keepNext/>
              <w:jc w:val="center"/>
              <w:rPr>
                <w:rFonts w:cs="Tahoma"/>
                <w:b/>
                <w:bCs/>
                <w:szCs w:val="20"/>
              </w:rPr>
            </w:pPr>
            <w:r w:rsidRPr="00C83DF5">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C83DF5" w:rsidRDefault="0034016E" w:rsidP="00343766">
            <w:pPr>
              <w:keepNext/>
              <w:jc w:val="center"/>
              <w:rPr>
                <w:rFonts w:cs="Tahoma"/>
                <w:b/>
                <w:bCs/>
                <w:szCs w:val="20"/>
              </w:rPr>
            </w:pPr>
            <w:r w:rsidRPr="00C83DF5">
              <w:rPr>
                <w:rFonts w:cs="Tahoma"/>
                <w:b/>
                <w:bCs/>
                <w:szCs w:val="20"/>
              </w:rPr>
              <w:t>Asien-Pazifik</w:t>
            </w:r>
          </w:p>
        </w:tc>
      </w:tr>
      <w:tr w:rsidR="0034016E" w:rsidRPr="00C83DF5"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Tahoma"/>
                <w:color w:val="000000"/>
                <w:szCs w:val="20"/>
              </w:rPr>
            </w:pPr>
            <w:r w:rsidRPr="00C83DF5">
              <w:rPr>
                <w:rFonts w:cs="Arial"/>
              </w:rPr>
              <w:t>Brasilien</w:t>
            </w:r>
          </w:p>
        </w:tc>
        <w:tc>
          <w:tcPr>
            <w:tcW w:w="2670" w:type="dxa"/>
            <w:tcBorders>
              <w:top w:val="nil"/>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Australien</w:t>
            </w: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Tahoma"/>
                <w:color w:val="000000"/>
                <w:szCs w:val="20"/>
              </w:rPr>
            </w:pPr>
            <w:r w:rsidRPr="00C83DF5">
              <w:rPr>
                <w:rFonts w:cs="Arial"/>
              </w:rPr>
              <w:t>Kanada</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Hongkong</w:t>
            </w: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Tahoma"/>
                <w:color w:val="000000"/>
                <w:szCs w:val="20"/>
              </w:rPr>
            </w:pPr>
            <w:r w:rsidRPr="00C83DF5">
              <w:rPr>
                <w:rFonts w:cs="Arial"/>
              </w:rPr>
              <w:t>Kolumbien</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Indien</w:t>
            </w: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r w:rsidRPr="00C83DF5">
              <w:rPr>
                <w:rFonts w:cs="Arial"/>
              </w:rPr>
              <w:t>Costa Rica</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Japan</w:t>
            </w: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r w:rsidRPr="00C83DF5">
              <w:rPr>
                <w:rFonts w:cs="Arial"/>
              </w:rPr>
              <w:t>Chile</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Korea</w:t>
            </w: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r w:rsidRPr="00C83DF5">
              <w:rPr>
                <w:rFonts w:cs="Arial"/>
              </w:rPr>
              <w:t>Mexiko</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Malaysia</w:t>
            </w: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r w:rsidRPr="00C83DF5">
              <w:rPr>
                <w:rFonts w:cs="Arial"/>
              </w:rPr>
              <w:t>Peru</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Neuseeland</w:t>
            </w: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r w:rsidRPr="00C83DF5">
              <w:rPr>
                <w:rFonts w:cs="Arial"/>
              </w:rPr>
              <w:t>Puerto Rico</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r w:rsidRPr="00C83DF5">
              <w:rPr>
                <w:rFonts w:ascii="Tahoma" w:hAnsi="Tahoma" w:cs="Tahoma"/>
                <w:color w:val="000000"/>
                <w:sz w:val="18"/>
                <w:szCs w:val="20"/>
              </w:rPr>
              <w:t>Singapur</w:t>
            </w: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r w:rsidRPr="00C83DF5">
              <w:rPr>
                <w:rFonts w:cs="Arial"/>
              </w:rPr>
              <w:t>Trinidad und Tobago</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r w:rsidRPr="00C83DF5">
              <w:rPr>
                <w:rFonts w:cs="Arial"/>
              </w:rPr>
              <w:t>Vereinigte Staaten</w:t>
            </w: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18"/>
              </w:rPr>
            </w:pPr>
            <w:r w:rsidRPr="00C83DF5">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r w:rsidR="0034016E" w:rsidRPr="00C83DF5"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C83DF5" w:rsidRDefault="0034016E" w:rsidP="00A948B0">
            <w:pPr>
              <w:keepNext/>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C83DF5" w:rsidRDefault="0034016E" w:rsidP="00A948B0">
            <w:pPr>
              <w:pStyle w:val="ColorfulList-Accent11"/>
              <w:keepNext/>
              <w:spacing w:line="276" w:lineRule="auto"/>
              <w:ind w:left="0"/>
              <w:jc w:val="center"/>
              <w:rPr>
                <w:rFonts w:ascii="Tahoma" w:hAnsi="Tahoma" w:cs="Tahoma"/>
                <w:sz w:val="18"/>
                <w:szCs w:val="18"/>
              </w:rPr>
            </w:pPr>
            <w:r w:rsidRPr="00C83DF5">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rsidR="0034016E" w:rsidRPr="00C83DF5" w:rsidRDefault="0034016E" w:rsidP="00A948B0">
            <w:pPr>
              <w:pStyle w:val="ColorfulList-Accent11"/>
              <w:keepNext/>
              <w:spacing w:line="276" w:lineRule="auto"/>
              <w:ind w:left="0"/>
              <w:jc w:val="center"/>
              <w:rPr>
                <w:rFonts w:ascii="Tahoma" w:hAnsi="Tahoma" w:cs="Tahoma"/>
                <w:color w:val="000000"/>
                <w:sz w:val="18"/>
                <w:szCs w:val="20"/>
              </w:rPr>
            </w:pPr>
          </w:p>
        </w:tc>
      </w:tr>
    </w:tbl>
    <w:p w:rsidR="0034016E" w:rsidRPr="00C174CA" w:rsidRDefault="0034016E" w:rsidP="0034016E">
      <w:pPr>
        <w:ind w:left="540"/>
        <w:rPr>
          <w:rFonts w:cs="Tahoma"/>
          <w:bCs/>
          <w:color w:val="000000"/>
          <w:szCs w:val="18"/>
          <w:u w:val="single"/>
        </w:rPr>
      </w:pPr>
    </w:p>
    <w:p w:rsidR="0034016E" w:rsidRPr="00C83DF5" w:rsidRDefault="0034016E" w:rsidP="0034016E">
      <w:pPr>
        <w:spacing w:after="60"/>
        <w:ind w:left="720"/>
      </w:pPr>
      <w:r w:rsidRPr="00C83DF5">
        <w:rPr>
          <w:rFonts w:cs="Tahoma"/>
          <w:b/>
          <w:bCs/>
          <w:color w:val="000000"/>
          <w:szCs w:val="18"/>
        </w:rPr>
        <w:t>Campus- und School-Vertrag</w:t>
      </w:r>
    </w:p>
    <w:p w:rsidR="0034016E" w:rsidRPr="00C83DF5" w:rsidRDefault="0034016E" w:rsidP="0034016E">
      <w:pPr>
        <w:ind w:left="720"/>
        <w:rPr>
          <w:lang w:val="de-DE"/>
        </w:rPr>
      </w:pPr>
      <w:r w:rsidRPr="00C83DF5">
        <w:rPr>
          <w:rFonts w:cs="Tahoma"/>
          <w:color w:val="000000"/>
          <w:szCs w:val="18"/>
          <w:lang w:val="de-DE"/>
        </w:rPr>
        <w:t>Abonnementlizenzen für Microsoft Dynamics CRM Online, die im Rahmen eines Campus- und School-Vertrages verkauft werden, können für die gesamte Einrichtung oder nur Teile davon erworben werden.</w:t>
      </w:r>
      <w:r w:rsidR="00E71F46" w:rsidRPr="00C83DF5">
        <w:rPr>
          <w:rFonts w:cs="Tahoma"/>
          <w:color w:val="000000"/>
          <w:szCs w:val="18"/>
          <w:lang w:val="de-DE"/>
        </w:rPr>
        <w:t xml:space="preserve"> </w:t>
      </w:r>
      <w:r w:rsidRPr="00C83DF5">
        <w:rPr>
          <w:rFonts w:cs="Tahoma"/>
          <w:color w:val="000000"/>
          <w:szCs w:val="18"/>
          <w:lang w:val="de-DE"/>
        </w:rPr>
        <w:t>Abonnementlizenzen müssen für jeden Nutzer einzeln abgeschlossen werden.</w:t>
      </w:r>
      <w:r w:rsidR="00E71F46" w:rsidRPr="00C83DF5">
        <w:rPr>
          <w:rFonts w:cs="Tahoma"/>
          <w:color w:val="000000"/>
          <w:szCs w:val="18"/>
          <w:lang w:val="de-DE"/>
        </w:rPr>
        <w:t xml:space="preserve"> </w:t>
      </w:r>
      <w:r w:rsidRPr="00C83DF5">
        <w:rPr>
          <w:rFonts w:cs="Tahoma"/>
          <w:color w:val="000000"/>
          <w:szCs w:val="18"/>
          <w:lang w:val="de-DE"/>
        </w:rPr>
        <w:t>Wenn zusätzliche Nutzer-Abonnementlizenzen für den Zugriff auf Microsoft Dynamic CRM benötigt werden, muss eine entsprechende Anzahl an Nutzer-ALs bestellt werden.</w:t>
      </w:r>
    </w:p>
    <w:p w:rsidR="0034016E" w:rsidRPr="00C83DF5" w:rsidRDefault="0034016E" w:rsidP="0034016E">
      <w:pPr>
        <w:ind w:left="720"/>
        <w:rPr>
          <w:lang w:val="de-DE"/>
        </w:rPr>
      </w:pPr>
    </w:p>
    <w:p w:rsidR="0034016E" w:rsidRPr="00C83DF5" w:rsidRDefault="0034016E" w:rsidP="0034016E">
      <w:pPr>
        <w:keepNext/>
        <w:spacing w:after="60"/>
        <w:ind w:left="720"/>
        <w:rPr>
          <w:lang w:val="de-DE"/>
        </w:rPr>
      </w:pPr>
      <w:r w:rsidRPr="00C83DF5">
        <w:rPr>
          <w:b/>
          <w:lang w:val="de-DE"/>
        </w:rPr>
        <w:lastRenderedPageBreak/>
        <w:t>Microsoft Dynamics CRM Online – Microsoft Dynamics Marketing Online-Integrationsgewährung</w:t>
      </w:r>
    </w:p>
    <w:p w:rsidR="0034016E" w:rsidRPr="00C83DF5" w:rsidRDefault="0034016E" w:rsidP="0034016E">
      <w:pPr>
        <w:ind w:left="720"/>
        <w:rPr>
          <w:lang w:val="de-DE"/>
        </w:rPr>
      </w:pPr>
      <w:r w:rsidRPr="00C83DF5">
        <w:rPr>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C83DF5">
        <w:rPr>
          <w:bCs/>
          <w:lang w:val="de-DE"/>
        </w:rPr>
        <w:t>MarketingPilot Connector für Microsoft Dynamics CRM-</w:t>
      </w:r>
      <w:r w:rsidRPr="00C83DF5">
        <w:rPr>
          <w:lang w:val="de-DE"/>
        </w:rPr>
        <w:t>Software ausschließlich zum Synchronisieren von Kundendaten. Diese Nutzer benötigen keine Nutzer-AL für Microsoft Dynamics CRM Online. Dieser Verzicht gilt bis zum</w:t>
      </w:r>
      <w:r w:rsidRPr="00C83DF5">
        <w:rPr>
          <w:rFonts w:eastAsia="Calibri"/>
          <w:lang w:val="de-DE"/>
        </w:rPr>
        <w:t xml:space="preserve"> </w:t>
      </w:r>
      <w:r w:rsidRPr="00C83DF5">
        <w:rPr>
          <w:lang w:val="de-DE"/>
        </w:rPr>
        <w:t>30. Juni 2014. Danach behält sich Microsoft das Recht vor, entsprechende Nutzer-ALs zu verlangen.</w:t>
      </w:r>
    </w:p>
    <w:p w:rsidR="00A04495" w:rsidRPr="00C83DF5" w:rsidRDefault="00A04495" w:rsidP="007B1734">
      <w:pPr>
        <w:rPr>
          <w:lang w:val="de-DE"/>
        </w:rPr>
      </w:pPr>
      <w:bookmarkStart w:id="1393" w:name="_66_Microsoft_Dynamics"/>
      <w:bookmarkStart w:id="1394" w:name="_71_Microsoft_Dynamics"/>
      <w:bookmarkStart w:id="1395" w:name="_74_Microsoft_Dynamics"/>
      <w:bookmarkEnd w:id="1393"/>
      <w:bookmarkEnd w:id="1394"/>
      <w:bookmarkEnd w:id="1395"/>
    </w:p>
    <w:p w:rsidR="00F1020A" w:rsidRPr="00C83DF5" w:rsidRDefault="00F1020A" w:rsidP="007B1734">
      <w:pPr>
        <w:rPr>
          <w:lang w:val="de-DE"/>
        </w:rPr>
      </w:pPr>
    </w:p>
    <w:p w:rsidR="00A2524E" w:rsidRPr="00C83DF5" w:rsidRDefault="00A2524E" w:rsidP="00A2524E">
      <w:pPr>
        <w:pStyle w:val="Heading3"/>
        <w:rPr>
          <w:lang w:val="de-DE"/>
        </w:rPr>
      </w:pPr>
      <w:bookmarkStart w:id="1396" w:name="_74_Microsoft_Learning"/>
      <w:bookmarkStart w:id="1397" w:name="_Toc370983442"/>
      <w:bookmarkEnd w:id="1396"/>
      <w:r w:rsidRPr="00C83DF5">
        <w:rPr>
          <w:rFonts w:ascii="Tahoma" w:hAnsi="Tahoma"/>
          <w:caps/>
          <w:color w:val="F66400"/>
          <w:sz w:val="22"/>
          <w:vertAlign w:val="superscript"/>
          <w:lang w:val="de-DE"/>
        </w:rPr>
        <w:t>74</w:t>
      </w:r>
      <w:r w:rsidRPr="00C83DF5">
        <w:rPr>
          <w:rFonts w:ascii="Tahoma" w:hAnsi="Tahoma"/>
          <w:color w:val="F66400"/>
          <w:sz w:val="22"/>
          <w:lang w:val="de-DE"/>
        </w:rPr>
        <w:t xml:space="preserve"> Microsoft Learning MCP Prüfungsgutscheine</w:t>
      </w:r>
      <w:bookmarkEnd w:id="1397"/>
    </w:p>
    <w:p w:rsidR="00A2524E" w:rsidRPr="00DF3F89" w:rsidRDefault="00A2524E" w:rsidP="00A2524E">
      <w:pPr>
        <w:pStyle w:val="EndnoteText"/>
        <w:rPr>
          <w:rFonts w:ascii="Tahoma" w:hAnsi="Tahoma" w:cs="Tahoma"/>
          <w:sz w:val="18"/>
          <w:lang w:val="de-DE"/>
        </w:rPr>
      </w:pPr>
    </w:p>
    <w:p w:rsidR="00A2524E" w:rsidRPr="00C83DF5" w:rsidRDefault="00A2524E" w:rsidP="00A2524E">
      <w:pPr>
        <w:pStyle w:val="EndnoteText"/>
        <w:ind w:left="720"/>
        <w:rPr>
          <w:lang w:val="de-DE"/>
        </w:rPr>
      </w:pPr>
      <w:r w:rsidRPr="00C83DF5">
        <w:rPr>
          <w:rFonts w:ascii="Tahoma" w:hAnsi="Tahoma" w:cs="Tahoma"/>
          <w:sz w:val="18"/>
          <w:lang w:val="de-DE"/>
        </w:rPr>
        <w:t xml:space="preserve">Alle Gutscheine werden sofort bereitgestellt und können jederzeit innerhalb von 12 Monaten ab Kaufdatum verwendet werden. </w:t>
      </w:r>
      <w:r w:rsidRPr="00C83DF5">
        <w:rPr>
          <w:rFonts w:ascii="Tahoma" w:hAnsi="Tahoma" w:cs="Tahoma"/>
          <w:bCs/>
          <w:color w:val="000000"/>
          <w:sz w:val="18"/>
          <w:szCs w:val="20"/>
          <w:lang w:val="de-DE"/>
        </w:rPr>
        <w:t>Preise und Zahlungsbestimmungen für Onlinedienste finden Sie in</w:t>
      </w:r>
      <w:hyperlink w:anchor="_Section_10_–" w:history="1">
        <w:r w:rsidRPr="00E66F0D">
          <w:rPr>
            <w:rStyle w:val="Hyperlink"/>
            <w:rFonts w:ascii="Tahoma" w:hAnsi="Tahoma" w:cs="Tahoma"/>
            <w:sz w:val="18"/>
            <w:u w:val="none"/>
            <w:lang w:val="de-DE"/>
          </w:rPr>
          <w:t xml:space="preserve"> </w:t>
        </w:r>
        <w:r w:rsidRPr="00C83DF5">
          <w:rPr>
            <w:rStyle w:val="Hyperlink"/>
            <w:rFonts w:ascii="Tahoma" w:hAnsi="Tahoma" w:cs="Tahoma"/>
            <w:sz w:val="18"/>
            <w:lang w:val="de-DE"/>
          </w:rPr>
          <w:t>Abschnitt 10</w:t>
        </w:r>
      </w:hyperlink>
      <w:r w:rsidRPr="00C83DF5">
        <w:rPr>
          <w:rFonts w:ascii="Tahoma" w:hAnsi="Tahoma" w:cs="Tahoma"/>
          <w:bCs/>
          <w:color w:val="000000"/>
          <w:sz w:val="18"/>
          <w:szCs w:val="20"/>
          <w:lang w:val="de-DE"/>
        </w:rPr>
        <w:t xml:space="preserve">. </w:t>
      </w:r>
    </w:p>
    <w:p w:rsidR="00A2524E" w:rsidRPr="00DF3F89" w:rsidRDefault="00A2524E" w:rsidP="00A2524E">
      <w:pPr>
        <w:pStyle w:val="EndnoteText"/>
        <w:ind w:left="720"/>
        <w:rPr>
          <w:rFonts w:ascii="Tahoma" w:hAnsi="Tahoma" w:cs="Tahoma"/>
          <w:bCs/>
          <w:color w:val="000000"/>
          <w:sz w:val="18"/>
          <w:szCs w:val="20"/>
          <w:lang w:val="de-DE"/>
        </w:rPr>
      </w:pPr>
    </w:p>
    <w:p w:rsidR="00A2524E" w:rsidRPr="00C83DF5" w:rsidRDefault="00A2524E" w:rsidP="00A2524E">
      <w:pPr>
        <w:spacing w:after="60"/>
        <w:ind w:left="720"/>
        <w:rPr>
          <w:lang w:val="de-DE"/>
        </w:rPr>
      </w:pPr>
      <w:r w:rsidRPr="00C83DF5">
        <w:rPr>
          <w:b/>
          <w:color w:val="000000"/>
          <w:lang w:val="de-DE"/>
        </w:rPr>
        <w:t>Lizenz für Microsoft Office Specialist (MOS)-Zertifizierungsprüfungs-Website</w:t>
      </w:r>
    </w:p>
    <w:p w:rsidR="00A2524E" w:rsidRPr="00C83DF5" w:rsidRDefault="00A2524E" w:rsidP="00E66F0D">
      <w:pPr>
        <w:ind w:left="720"/>
        <w:rPr>
          <w:lang w:val="de-DE"/>
        </w:rPr>
      </w:pPr>
      <w:r w:rsidRPr="00C83DF5">
        <w:rPr>
          <w:color w:val="000000"/>
          <w:lang w:val="de-DE"/>
        </w:rPr>
        <w:t>Sie sind verpflichtet, ein autorisiertes Certiport-Testzentrum zu sein, um die Websitelizenz zu nutzen.</w:t>
      </w:r>
      <w:r w:rsidR="00E71F46" w:rsidRPr="00C83DF5">
        <w:rPr>
          <w:color w:val="000000"/>
          <w:lang w:val="de-DE"/>
        </w:rPr>
        <w:t xml:space="preserve"> </w:t>
      </w:r>
      <w:r w:rsidRPr="00C83DF5">
        <w:rPr>
          <w:color w:val="000000"/>
          <w:lang w:val="de-DE"/>
        </w:rPr>
        <w:t>Wenn</w:t>
      </w:r>
      <w:r w:rsidR="00E66F0D">
        <w:rPr>
          <w:color w:val="000000"/>
          <w:lang w:val="de-DE"/>
        </w:rPr>
        <w:t> </w:t>
      </w:r>
      <w:r w:rsidRPr="00C83DF5">
        <w:rPr>
          <w:color w:val="000000"/>
          <w:lang w:val="de-DE"/>
        </w:rPr>
        <w:t>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A2524E" w:rsidRPr="00DF3F89" w:rsidRDefault="00A2524E" w:rsidP="00A2524E">
      <w:pPr>
        <w:pStyle w:val="EndnoteText"/>
        <w:ind w:left="0"/>
        <w:rPr>
          <w:rFonts w:ascii="Tahoma" w:hAnsi="Tahoma" w:cs="Tahoma"/>
          <w:bCs/>
          <w:color w:val="000000"/>
          <w:sz w:val="18"/>
          <w:szCs w:val="20"/>
          <w:lang w:val="de-DE"/>
        </w:rPr>
      </w:pPr>
    </w:p>
    <w:p w:rsidR="00A2524E" w:rsidRPr="00C83DF5" w:rsidRDefault="00A2524E" w:rsidP="00A2524E">
      <w:pPr>
        <w:spacing w:after="60"/>
        <w:ind w:left="720"/>
        <w:rPr>
          <w:lang w:val="de-DE"/>
        </w:rPr>
      </w:pPr>
      <w:r w:rsidRPr="00C83DF5">
        <w:rPr>
          <w:b/>
          <w:color w:val="000000"/>
          <w:lang w:val="de-DE"/>
        </w:rPr>
        <w:t>Lizenz für Microsoft Technology Associate (MTA)-Zertifizierungsprüfungs-Website</w:t>
      </w:r>
    </w:p>
    <w:p w:rsidR="00A2524E" w:rsidRPr="00C83DF5" w:rsidRDefault="00A2524E" w:rsidP="00E66F0D">
      <w:pPr>
        <w:ind w:left="720"/>
        <w:rPr>
          <w:lang w:val="de-DE"/>
        </w:rPr>
      </w:pPr>
      <w:r w:rsidRPr="00C83DF5">
        <w:rPr>
          <w:color w:val="000000"/>
          <w:lang w:val="de-DE"/>
        </w:rPr>
        <w:t>Sie sind verpflichtet, ein autorisiertes Certiport-Testzentrum zu sein, um die Websitelizenz zu nutzen.</w:t>
      </w:r>
      <w:r w:rsidR="00E71F46" w:rsidRPr="00C83DF5">
        <w:rPr>
          <w:color w:val="000000"/>
          <w:lang w:val="de-DE"/>
        </w:rPr>
        <w:t xml:space="preserve"> </w:t>
      </w:r>
      <w:r w:rsidRPr="00C83DF5">
        <w:rPr>
          <w:color w:val="000000"/>
          <w:lang w:val="de-DE"/>
        </w:rPr>
        <w:t>Wenn</w:t>
      </w:r>
      <w:r w:rsidR="00E66F0D">
        <w:rPr>
          <w:color w:val="000000"/>
          <w:lang w:val="de-DE"/>
        </w:rPr>
        <w:t> </w:t>
      </w:r>
      <w:r w:rsidRPr="00C83DF5">
        <w:rPr>
          <w:color w:val="000000"/>
          <w:lang w:val="de-DE"/>
        </w:rPr>
        <w:t>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2A7214" w:rsidRPr="00C83DF5" w:rsidRDefault="002A7214" w:rsidP="00A2524E">
      <w:pPr>
        <w:ind w:left="720"/>
        <w:rPr>
          <w:lang w:val="de-DE"/>
        </w:rPr>
      </w:pPr>
    </w:p>
    <w:p w:rsidR="002A7214" w:rsidRPr="00C83DF5" w:rsidRDefault="002A7214" w:rsidP="00A2524E">
      <w:pPr>
        <w:ind w:left="720"/>
        <w:rPr>
          <w:lang w:val="de-DE"/>
        </w:rPr>
      </w:pPr>
    </w:p>
    <w:p w:rsidR="00BE7AC3" w:rsidRPr="00C83DF5" w:rsidRDefault="00A560B6" w:rsidP="00BE7AC3">
      <w:pPr>
        <w:pStyle w:val="Heading2"/>
        <w:ind w:left="0"/>
        <w:rPr>
          <w:lang w:val="de-DE"/>
        </w:rPr>
      </w:pPr>
      <w:bookmarkStart w:id="1398" w:name="_70_68_Office"/>
      <w:bookmarkStart w:id="1399" w:name="_75_Office_365"/>
      <w:bookmarkStart w:id="1400" w:name="_71_Office_365"/>
      <w:bookmarkStart w:id="1401" w:name="_69_Office_365_1"/>
      <w:bookmarkStart w:id="1402" w:name="_76_Office_365"/>
      <w:bookmarkStart w:id="1403" w:name="_Toc370983443"/>
      <w:bookmarkEnd w:id="1390"/>
      <w:bookmarkEnd w:id="1391"/>
      <w:bookmarkEnd w:id="1398"/>
      <w:bookmarkEnd w:id="1399"/>
      <w:bookmarkEnd w:id="1400"/>
      <w:bookmarkEnd w:id="1401"/>
      <w:bookmarkEnd w:id="1402"/>
      <w:r w:rsidRPr="00C83DF5">
        <w:rPr>
          <w:rFonts w:ascii="Tahoma" w:hAnsi="Tahoma" w:cs="Tahoma"/>
          <w:caps/>
          <w:color w:val="F66400"/>
          <w:sz w:val="22"/>
          <w:szCs w:val="20"/>
          <w:vertAlign w:val="superscript"/>
          <w:lang w:val="de-DE"/>
        </w:rPr>
        <w:t>75</w:t>
      </w:r>
      <w:r w:rsidRPr="00220721">
        <w:rPr>
          <w:rFonts w:ascii="Tahoma" w:hAnsi="Tahoma" w:cs="Tahoma"/>
          <w:caps/>
          <w:color w:val="F66400"/>
          <w:sz w:val="22"/>
          <w:szCs w:val="20"/>
          <w:lang w:val="de-DE"/>
        </w:rPr>
        <w:t xml:space="preserve"> </w:t>
      </w:r>
      <w:r w:rsidRPr="00C83DF5">
        <w:rPr>
          <w:rFonts w:ascii="Tahoma" w:hAnsi="Tahoma" w:cs="Tahoma"/>
          <w:color w:val="FF6600"/>
          <w:sz w:val="22"/>
          <w:szCs w:val="22"/>
          <w:lang w:val="de-DE"/>
        </w:rPr>
        <w:t>Office 365 Enterprise K1 (Nutzer-AL)</w:t>
      </w:r>
      <w:bookmarkEnd w:id="1403"/>
    </w:p>
    <w:p w:rsidR="00BE7AC3" w:rsidRPr="00C83DF5" w:rsidRDefault="00BE7AC3" w:rsidP="00BE7AC3">
      <w:pPr>
        <w:ind w:left="720"/>
        <w:rPr>
          <w:lang w:val="de-DE"/>
        </w:rPr>
      </w:pPr>
    </w:p>
    <w:p w:rsidR="00BE7AC3" w:rsidRPr="00C83DF5" w:rsidRDefault="00BE7AC3" w:rsidP="00BE7AC3">
      <w:pPr>
        <w:ind w:left="720"/>
        <w:rPr>
          <w:lang w:val="de-DE"/>
        </w:rPr>
      </w:pPr>
      <w:r w:rsidRPr="00C83DF5">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w:t>
      </w:r>
    </w:p>
    <w:p w:rsidR="00BE7AC3" w:rsidRPr="00C83DF5" w:rsidRDefault="00BE7AC3" w:rsidP="00BE7AC3">
      <w:pPr>
        <w:ind w:left="720"/>
        <w:rPr>
          <w:lang w:val="de-DE"/>
        </w:rPr>
      </w:pPr>
    </w:p>
    <w:p w:rsidR="00BE7AC3" w:rsidRPr="00C83DF5" w:rsidRDefault="00BE7AC3" w:rsidP="00220721">
      <w:pPr>
        <w:ind w:left="720"/>
        <w:rPr>
          <w:lang w:val="de-DE"/>
        </w:rPr>
      </w:pPr>
      <w:r w:rsidRPr="00C83DF5">
        <w:rPr>
          <w:rFonts w:cs="Tahoma"/>
          <w:color w:val="000000"/>
          <w:szCs w:val="18"/>
          <w:lang w:val="de-DE"/>
        </w:rPr>
        <w:t>Office 365 Enterprise K1 hieß zuvor Business Productivity Online Deskless Suite (BPOS Deskless).</w:t>
      </w:r>
      <w:r w:rsidR="00E71F46" w:rsidRPr="00C83DF5">
        <w:rPr>
          <w:rFonts w:cs="Tahoma"/>
          <w:color w:val="000000"/>
          <w:szCs w:val="18"/>
          <w:lang w:val="de-DE"/>
        </w:rPr>
        <w:t xml:space="preserve"> </w:t>
      </w:r>
      <w:r w:rsidRPr="00C83DF5">
        <w:rPr>
          <w:rFonts w:cs="Tahoma"/>
          <w:color w:val="000000"/>
          <w:szCs w:val="18"/>
          <w:lang w:val="de-DE"/>
        </w:rPr>
        <w:t>Kunden in</w:t>
      </w:r>
      <w:r w:rsidR="00220721">
        <w:rPr>
          <w:rFonts w:cs="Tahoma"/>
          <w:color w:val="000000"/>
          <w:szCs w:val="18"/>
          <w:lang w:val="de-DE"/>
        </w:rPr>
        <w:t> </w:t>
      </w:r>
      <w:r w:rsidRPr="00C83DF5">
        <w:rPr>
          <w:rFonts w:cs="Tahoma"/>
          <w:color w:val="000000"/>
          <w:szCs w:val="18"/>
          <w:lang w:val="de-DE"/>
        </w:rPr>
        <w:t>Brasilien und Chile, die Office 365 Enterprise K1 erwerben, werden für BPOS Deskless freigeschaltet.</w:t>
      </w:r>
      <w:r w:rsidR="00E71F46" w:rsidRPr="00C83DF5">
        <w:rPr>
          <w:rFonts w:cs="Tahoma"/>
          <w:color w:val="000000"/>
          <w:szCs w:val="18"/>
          <w:lang w:val="de-DE"/>
        </w:rPr>
        <w:t xml:space="preserve"> </w:t>
      </w:r>
      <w:r w:rsidRPr="00C83DF5">
        <w:rPr>
          <w:rFonts w:cs="Tahoma"/>
          <w:color w:val="000000"/>
          <w:szCs w:val="18"/>
          <w:lang w:val="de-DE"/>
        </w:rPr>
        <w:t>Diese Kunden sind berechtigt, später auf Office 365 Enterprise K1 zu migrieren.</w:t>
      </w:r>
    </w:p>
    <w:p w:rsidR="00D57009" w:rsidRPr="00C83DF5" w:rsidRDefault="00D57009">
      <w:pPr>
        <w:rPr>
          <w:lang w:val="de-DE"/>
        </w:rPr>
      </w:pPr>
    </w:p>
    <w:p w:rsidR="00BE7AC3" w:rsidRPr="00C83DF5" w:rsidRDefault="00BE7AC3" w:rsidP="00BE7AC3">
      <w:pPr>
        <w:spacing w:after="60"/>
        <w:ind w:left="720"/>
      </w:pPr>
      <w:r w:rsidRPr="00C83DF5">
        <w:rPr>
          <w:rFonts w:eastAsia="Calibri" w:cs="Tahoma"/>
          <w:b/>
          <w:color w:val="000000"/>
          <w:szCs w:val="18"/>
        </w:rPr>
        <w:t>Government Community Cloud (nur USA)</w:t>
      </w:r>
    </w:p>
    <w:p w:rsidR="00BE7AC3" w:rsidRPr="00C83DF5" w:rsidRDefault="00BE7AC3" w:rsidP="00220721">
      <w:pPr>
        <w:ind w:left="720"/>
        <w:rPr>
          <w:lang w:val="de-DE"/>
        </w:rPr>
      </w:pPr>
      <w:r w:rsidRPr="00C83DF5">
        <w:rPr>
          <w:rFonts w:eastAsia="Calibri" w:cs="Tahoma"/>
          <w:color w:val="000000"/>
          <w:szCs w:val="18"/>
        </w:rPr>
        <w:t>Einige Onlinedienste in der Office 365-Produktfamilie (darunter Office 365 Enterprise K1) werden als Government Community Cloud-Dienste und Non-Government Community Cloud-Dienste angeboten.</w:t>
      </w:r>
      <w:r w:rsidR="00E71F46" w:rsidRPr="00C83DF5">
        <w:rPr>
          <w:rFonts w:eastAsia="Calibri" w:cs="Tahoma"/>
          <w:color w:val="000000"/>
          <w:szCs w:val="18"/>
        </w:rPr>
        <w:t xml:space="preserve"> </w:t>
      </w:r>
      <w:r w:rsidRPr="00C83DF5">
        <w:rPr>
          <w:rFonts w:eastAsia="Calibri" w:cs="Tahoma"/>
          <w:color w:val="000000"/>
          <w:szCs w:val="18"/>
          <w:lang w:val="de-DE"/>
        </w:rPr>
        <w:t>Die</w:t>
      </w:r>
      <w:r w:rsidR="00220721">
        <w:rPr>
          <w:rFonts w:eastAsia="Calibri" w:cs="Tahoma"/>
          <w:color w:val="000000"/>
          <w:szCs w:val="18"/>
          <w:lang w:val="de-DE"/>
        </w:rPr>
        <w:t> </w:t>
      </w:r>
      <w:r w:rsidRPr="00C83DF5">
        <w:rPr>
          <w:rFonts w:eastAsia="Calibri" w:cs="Tahoma"/>
          <w:color w:val="000000"/>
          <w:szCs w:val="18"/>
          <w:lang w:val="de-DE"/>
        </w:rPr>
        <w:t>Bereitstellung an Kunden kann in der einen oder anderen Form erfolgen, jedoch nicht als Kombination aus beidem.</w:t>
      </w:r>
      <w:r w:rsidR="00E71F46" w:rsidRPr="00C83DF5">
        <w:rPr>
          <w:rFonts w:eastAsia="Calibri" w:cs="Tahoma"/>
          <w:color w:val="000000"/>
          <w:szCs w:val="18"/>
          <w:lang w:val="de-DE"/>
        </w:rPr>
        <w:t xml:space="preserve"> </w:t>
      </w:r>
      <w:r w:rsidRPr="00C83DF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71F46" w:rsidRPr="00C83DF5">
        <w:rPr>
          <w:rFonts w:eastAsia="Calibri" w:cs="Tahoma"/>
          <w:color w:val="000000"/>
          <w:szCs w:val="18"/>
          <w:lang w:val="de-DE"/>
        </w:rPr>
        <w:t xml:space="preserve"> </w:t>
      </w:r>
      <w:r w:rsidRPr="00C83DF5">
        <w:rPr>
          <w:rFonts w:eastAsia="Calibri" w:cs="Tahoma"/>
          <w:color w:val="000000"/>
          <w:szCs w:val="18"/>
          <w:lang w:val="de-DE"/>
        </w:rPr>
        <w:t>Diese</w:t>
      </w:r>
      <w:r w:rsidR="00220721">
        <w:rPr>
          <w:rFonts w:eastAsia="Calibri" w:cs="Tahoma"/>
          <w:color w:val="000000"/>
          <w:szCs w:val="18"/>
          <w:lang w:val="de-DE"/>
        </w:rPr>
        <w:t> </w:t>
      </w:r>
      <w:r w:rsidRPr="00C83DF5">
        <w:rPr>
          <w:rFonts w:eastAsia="Calibri" w:cs="Tahoma"/>
          <w:color w:val="000000"/>
          <w:szCs w:val="18"/>
          <w:lang w:val="de-DE"/>
        </w:rPr>
        <w:t>Beschränkung gilt für alle Onlinedienste, die zur Office 365-Produktfamilie gehören, darunter Exchange Online, SharePoint Online und Lync Online.</w:t>
      </w:r>
      <w:r w:rsidR="00E71F46" w:rsidRPr="00C83DF5">
        <w:rPr>
          <w:rFonts w:eastAsia="Calibri" w:cs="Tahoma"/>
          <w:color w:val="000000"/>
          <w:szCs w:val="18"/>
          <w:lang w:val="de-DE"/>
        </w:rPr>
        <w:t xml:space="preserve"> </w:t>
      </w:r>
    </w:p>
    <w:p w:rsidR="00BE7AC3" w:rsidRPr="00C83DF5" w:rsidRDefault="00BE7AC3" w:rsidP="00BE7AC3">
      <w:pPr>
        <w:ind w:left="720"/>
        <w:rPr>
          <w:lang w:val="de-DE"/>
        </w:rPr>
      </w:pPr>
    </w:p>
    <w:p w:rsidR="00BE7AC3" w:rsidRPr="00C83DF5" w:rsidRDefault="00BE7AC3" w:rsidP="00220721">
      <w:pPr>
        <w:ind w:left="720"/>
        <w:rPr>
          <w:lang w:val="de-DE"/>
        </w:rPr>
      </w:pPr>
      <w:r w:rsidRPr="00C83DF5">
        <w:rPr>
          <w:rFonts w:eastAsia="Calibri" w:cs="Tahoma"/>
          <w:color w:val="000000"/>
          <w:szCs w:val="18"/>
          <w:lang w:val="de-DE"/>
        </w:rPr>
        <w:t>Wenn ein Onlinedienst in der Government Community Cloud bereitgestellt wird, bleibt er für die Dauer der</w:t>
      </w:r>
      <w:r w:rsidR="00220721">
        <w:rPr>
          <w:rFonts w:eastAsia="Calibri" w:cs="Tahoma"/>
          <w:color w:val="000000"/>
          <w:szCs w:val="18"/>
          <w:lang w:val="de-DE"/>
        </w:rPr>
        <w:t> </w:t>
      </w:r>
      <w:r w:rsidRPr="00C83DF5">
        <w:rPr>
          <w:rFonts w:eastAsia="Calibri" w:cs="Tahoma"/>
          <w:color w:val="000000"/>
          <w:szCs w:val="18"/>
          <w:lang w:val="de-DE"/>
        </w:rPr>
        <w:t>Abonnementlaufzeit dort.</w:t>
      </w:r>
      <w:r w:rsidR="00E71F46" w:rsidRPr="00C83DF5">
        <w:rPr>
          <w:rFonts w:eastAsia="Calibri" w:cs="Tahoma"/>
          <w:color w:val="000000"/>
          <w:szCs w:val="18"/>
          <w:lang w:val="de-DE"/>
        </w:rPr>
        <w:t xml:space="preserve"> </w:t>
      </w:r>
      <w:r w:rsidRPr="00C83DF5">
        <w:rPr>
          <w:rFonts w:eastAsia="Calibri" w:cs="Tahoma"/>
          <w:color w:val="000000"/>
          <w:szCs w:val="18"/>
          <w:lang w:val="de-DE"/>
        </w:rPr>
        <w:t>Kunden, bei denen es sich um US-amerikanische Verwaltungseinrichtungen auf nationaler, einzelstaatlicher, kommunaler oder Stammesebene handelt, müssen Vertragspartei eines</w:t>
      </w:r>
      <w:r w:rsidR="00220721">
        <w:rPr>
          <w:rFonts w:eastAsia="Calibri" w:cs="Tahoma"/>
          <w:color w:val="000000"/>
          <w:szCs w:val="18"/>
          <w:lang w:val="de-DE"/>
        </w:rPr>
        <w:t> </w:t>
      </w:r>
      <w:r w:rsidRPr="00C83DF5">
        <w:rPr>
          <w:rFonts w:eastAsia="Calibri" w:cs="Tahoma"/>
          <w:color w:val="000000"/>
          <w:szCs w:val="18"/>
          <w:lang w:val="de-DE"/>
        </w:rPr>
        <w:t>Konzernbeitritts oder Konzern-Abonnement-Beitritts für US-Behörden sein, um zum Erwerb von</w:t>
      </w:r>
      <w:r w:rsidR="00220721">
        <w:rPr>
          <w:rFonts w:eastAsia="Calibri" w:cs="Tahoma"/>
          <w:color w:val="000000"/>
          <w:szCs w:val="18"/>
          <w:lang w:val="de-DE"/>
        </w:rPr>
        <w:t> </w:t>
      </w:r>
      <w:r w:rsidRPr="00C83DF5">
        <w:rPr>
          <w:rFonts w:eastAsia="Calibri" w:cs="Tahoma"/>
          <w:color w:val="000000"/>
          <w:szCs w:val="18"/>
          <w:lang w:val="de-DE"/>
        </w:rPr>
        <w:t>Onlinediensten, die als Government Community Cloud bezeichnet werden, berechtigt zu sein.</w:t>
      </w:r>
      <w:r w:rsidR="00E71F46" w:rsidRPr="00C83DF5">
        <w:rPr>
          <w:rFonts w:eastAsia="Calibri" w:cs="Tahoma"/>
          <w:color w:val="000000"/>
          <w:szCs w:val="18"/>
          <w:lang w:val="de-DE"/>
        </w:rPr>
        <w:t xml:space="preserve"> </w:t>
      </w:r>
      <w:r w:rsidRPr="00C83DF5">
        <w:rPr>
          <w:rFonts w:eastAsia="Calibri" w:cs="Tahoma"/>
          <w:color w:val="000000"/>
          <w:szCs w:val="18"/>
          <w:lang w:val="de-DE"/>
        </w:rPr>
        <w:t>Die</w:t>
      </w:r>
      <w:r w:rsidR="00220721">
        <w:rPr>
          <w:rFonts w:eastAsia="Calibri" w:cs="Tahoma"/>
          <w:color w:val="000000"/>
          <w:szCs w:val="18"/>
          <w:lang w:val="de-DE"/>
        </w:rPr>
        <w:t> </w:t>
      </w:r>
      <w:r w:rsidRPr="00C83DF5">
        <w:rPr>
          <w:rFonts w:eastAsia="Calibri" w:cs="Tahoma"/>
          <w:color w:val="000000"/>
          <w:szCs w:val="18"/>
          <w:lang w:val="de-DE"/>
        </w:rPr>
        <w:t>Nutzungsrechte für Government Community Cloud-Dienste entsprechen den Nutzungsrechten ihrer</w:t>
      </w:r>
      <w:r w:rsidR="00220721">
        <w:rPr>
          <w:rFonts w:eastAsia="Calibri" w:cs="Tahoma"/>
          <w:color w:val="000000"/>
          <w:szCs w:val="18"/>
          <w:lang w:val="de-DE"/>
        </w:rPr>
        <w:t> </w:t>
      </w:r>
      <w:r w:rsidRPr="00C83DF5">
        <w:rPr>
          <w:rFonts w:eastAsia="Calibri" w:cs="Tahoma"/>
          <w:color w:val="000000"/>
          <w:szCs w:val="18"/>
          <w:lang w:val="de-DE"/>
        </w:rPr>
        <w:t>mehrinstanzenfähigen Standardäquivalente.</w:t>
      </w:r>
    </w:p>
    <w:p w:rsidR="00BE7AC3" w:rsidRPr="00C83DF5" w:rsidRDefault="00BE7AC3" w:rsidP="00BA1490">
      <w:pPr>
        <w:ind w:left="720"/>
        <w:rPr>
          <w:lang w:val="de-DE"/>
        </w:rPr>
      </w:pPr>
    </w:p>
    <w:p w:rsidR="00F1020A" w:rsidRPr="00C83DF5" w:rsidRDefault="00F1020A" w:rsidP="00BA1490">
      <w:pPr>
        <w:ind w:left="720"/>
        <w:rPr>
          <w:lang w:val="de-DE"/>
        </w:rPr>
      </w:pPr>
    </w:p>
    <w:p w:rsidR="00A83600" w:rsidRPr="00C83DF5" w:rsidRDefault="00A560B6" w:rsidP="00A83600">
      <w:pPr>
        <w:pStyle w:val="Heading2"/>
        <w:ind w:left="0"/>
        <w:rPr>
          <w:lang w:val="de-DE"/>
        </w:rPr>
      </w:pPr>
      <w:bookmarkStart w:id="1404" w:name="_70_Office_365"/>
      <w:bookmarkStart w:id="1405" w:name="_77_Office_365"/>
      <w:bookmarkStart w:id="1406" w:name="_Toc336338330"/>
      <w:bookmarkStart w:id="1407" w:name="Srv_73Office365PlanG2toG4"/>
      <w:bookmarkStart w:id="1408" w:name="_Toc370983444"/>
      <w:bookmarkEnd w:id="1404"/>
      <w:bookmarkEnd w:id="1405"/>
      <w:r w:rsidRPr="00C83DF5">
        <w:rPr>
          <w:rFonts w:ascii="Tahoma" w:hAnsi="Tahoma" w:cs="Tahoma"/>
          <w:caps/>
          <w:color w:val="FF6600"/>
          <w:sz w:val="22"/>
          <w:szCs w:val="22"/>
          <w:vertAlign w:val="superscript"/>
          <w:lang w:val="de-DE"/>
        </w:rPr>
        <w:lastRenderedPageBreak/>
        <w:t>76</w:t>
      </w:r>
      <w:r w:rsidRPr="00C83DF5">
        <w:rPr>
          <w:rFonts w:ascii="Tahoma" w:hAnsi="Tahoma" w:cs="Tahoma"/>
          <w:color w:val="FF6600"/>
          <w:lang w:val="de-DE"/>
        </w:rPr>
        <w:t xml:space="preserve"> </w:t>
      </w:r>
      <w:r w:rsidRPr="00C83DF5">
        <w:rPr>
          <w:rFonts w:ascii="Tahoma" w:hAnsi="Tahoma" w:cs="Tahoma"/>
          <w:color w:val="FF6600"/>
          <w:sz w:val="22"/>
          <w:szCs w:val="22"/>
          <w:lang w:val="de-DE"/>
        </w:rPr>
        <w:t>Office 365 Government G1, G3, G4</w:t>
      </w:r>
      <w:bookmarkEnd w:id="1406"/>
      <w:bookmarkEnd w:id="1408"/>
    </w:p>
    <w:p w:rsidR="00A83600" w:rsidRPr="00DF3F89" w:rsidRDefault="00A83600" w:rsidP="00A83600">
      <w:pPr>
        <w:rPr>
          <w:lang w:val="de-DE"/>
        </w:rPr>
      </w:pPr>
    </w:p>
    <w:bookmarkEnd w:id="1407"/>
    <w:p w:rsidR="00A83600" w:rsidRPr="00C83DF5" w:rsidRDefault="00A83600" w:rsidP="00E62BC4">
      <w:pPr>
        <w:ind w:left="720"/>
        <w:rPr>
          <w:lang w:val="de-DE"/>
        </w:rPr>
      </w:pPr>
      <w:r w:rsidRPr="00C83DF5">
        <w:rPr>
          <w:color w:val="000000"/>
          <w:lang w:val="de-DE"/>
        </w:rPr>
        <w:t>Office 365 Government G1, G3 und G4 bietet Zugriff auf die folgenden Onlinedienste:</w:t>
      </w:r>
    </w:p>
    <w:p w:rsidR="00A83600" w:rsidRPr="00DF3F89" w:rsidRDefault="00A83600" w:rsidP="00A83600">
      <w:pPr>
        <w:rPr>
          <w:color w:val="000000"/>
          <w:lang w:val="de-DE"/>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C83DF5" w:rsidTr="005D753D">
        <w:tc>
          <w:tcPr>
            <w:tcW w:w="2970" w:type="dxa"/>
            <w:shd w:val="clear" w:color="auto" w:fill="FABF8F"/>
          </w:tcPr>
          <w:p w:rsidR="005D753D" w:rsidRPr="00C83DF5" w:rsidRDefault="005D753D" w:rsidP="0050116B">
            <w:pPr>
              <w:keepNext/>
              <w:keepLines/>
              <w:jc w:val="center"/>
              <w:rPr>
                <w:rFonts w:eastAsia="Calibri"/>
                <w:b/>
                <w:color w:val="000000"/>
                <w:sz w:val="20"/>
              </w:rPr>
            </w:pPr>
            <w:r w:rsidRPr="00C83DF5">
              <w:rPr>
                <w:rFonts w:eastAsia="Calibri"/>
                <w:b/>
                <w:color w:val="000000"/>
                <w:sz w:val="20"/>
              </w:rPr>
              <w:t>Office 365 Government G1</w:t>
            </w:r>
          </w:p>
        </w:tc>
        <w:tc>
          <w:tcPr>
            <w:tcW w:w="2970" w:type="dxa"/>
            <w:shd w:val="clear" w:color="auto" w:fill="FABF8F"/>
          </w:tcPr>
          <w:p w:rsidR="005D753D" w:rsidRPr="00C83DF5" w:rsidRDefault="005D753D" w:rsidP="0050116B">
            <w:pPr>
              <w:keepNext/>
              <w:keepLines/>
              <w:jc w:val="center"/>
              <w:rPr>
                <w:rFonts w:eastAsia="Calibri"/>
                <w:b/>
                <w:color w:val="000000"/>
                <w:sz w:val="20"/>
              </w:rPr>
            </w:pPr>
            <w:r w:rsidRPr="00C83DF5">
              <w:rPr>
                <w:rFonts w:eastAsia="Calibri"/>
                <w:b/>
                <w:color w:val="000000"/>
                <w:sz w:val="20"/>
              </w:rPr>
              <w:t>Office 365 Government G3</w:t>
            </w:r>
          </w:p>
        </w:tc>
        <w:tc>
          <w:tcPr>
            <w:tcW w:w="2970" w:type="dxa"/>
            <w:shd w:val="clear" w:color="auto" w:fill="FABF8F"/>
          </w:tcPr>
          <w:p w:rsidR="005D753D" w:rsidRPr="00C83DF5" w:rsidRDefault="005D753D" w:rsidP="0050116B">
            <w:pPr>
              <w:keepNext/>
              <w:keepLines/>
              <w:jc w:val="center"/>
              <w:rPr>
                <w:rFonts w:eastAsia="Calibri"/>
                <w:b/>
                <w:color w:val="000000"/>
                <w:sz w:val="20"/>
              </w:rPr>
            </w:pPr>
            <w:r w:rsidRPr="00C83DF5">
              <w:rPr>
                <w:rFonts w:eastAsia="Calibri"/>
                <w:b/>
                <w:color w:val="000000"/>
                <w:sz w:val="20"/>
              </w:rPr>
              <w:t>Office 365 Government G4</w:t>
            </w:r>
          </w:p>
        </w:tc>
      </w:tr>
      <w:tr w:rsidR="005D753D" w:rsidRPr="00C83DF5" w:rsidTr="005D753D">
        <w:tc>
          <w:tcPr>
            <w:tcW w:w="2970" w:type="dxa"/>
          </w:tcPr>
          <w:p w:rsidR="005D753D" w:rsidRPr="00C83DF5" w:rsidRDefault="005D753D" w:rsidP="00C066F9">
            <w:pPr>
              <w:keepNext/>
              <w:keepLines/>
              <w:ind w:left="180" w:right="186"/>
              <w:rPr>
                <w:rFonts w:eastAsia="Calibri"/>
                <w:color w:val="000000"/>
              </w:rPr>
            </w:pPr>
            <w:r w:rsidRPr="00C83DF5">
              <w:rPr>
                <w:rFonts w:eastAsia="Calibri"/>
                <w:color w:val="000000"/>
              </w:rPr>
              <w:t>Exchange Online Plan 1</w:t>
            </w:r>
          </w:p>
        </w:tc>
        <w:tc>
          <w:tcPr>
            <w:tcW w:w="2970" w:type="dxa"/>
            <w:shd w:val="clear" w:color="auto" w:fill="auto"/>
          </w:tcPr>
          <w:p w:rsidR="005D753D" w:rsidRPr="00C83DF5" w:rsidRDefault="005D753D" w:rsidP="00C066F9">
            <w:pPr>
              <w:keepNext/>
              <w:keepLines/>
              <w:ind w:left="138" w:right="138"/>
              <w:rPr>
                <w:rFonts w:eastAsia="Calibri"/>
                <w:color w:val="000000"/>
              </w:rPr>
            </w:pPr>
            <w:r w:rsidRPr="00C83DF5">
              <w:rPr>
                <w:rFonts w:eastAsia="Calibri"/>
                <w:color w:val="000000"/>
              </w:rPr>
              <w:t xml:space="preserve">Exchange Online Plan 2 </w:t>
            </w:r>
          </w:p>
        </w:tc>
        <w:tc>
          <w:tcPr>
            <w:tcW w:w="2970" w:type="dxa"/>
            <w:shd w:val="clear" w:color="auto" w:fill="auto"/>
          </w:tcPr>
          <w:p w:rsidR="005D753D" w:rsidRPr="00C83DF5" w:rsidRDefault="005D753D" w:rsidP="00C066F9">
            <w:pPr>
              <w:keepNext/>
              <w:keepLines/>
              <w:ind w:left="186" w:right="180"/>
              <w:rPr>
                <w:rFonts w:eastAsia="Calibri"/>
                <w:color w:val="000000"/>
              </w:rPr>
            </w:pPr>
            <w:r w:rsidRPr="00C83DF5">
              <w:rPr>
                <w:rFonts w:eastAsia="Calibri"/>
                <w:color w:val="000000"/>
              </w:rPr>
              <w:t>Exchange Online Plan 2</w:t>
            </w:r>
          </w:p>
        </w:tc>
      </w:tr>
      <w:tr w:rsidR="005D753D" w:rsidRPr="00C83DF5" w:rsidTr="005D753D">
        <w:tc>
          <w:tcPr>
            <w:tcW w:w="2970" w:type="dxa"/>
          </w:tcPr>
          <w:p w:rsidR="005D753D" w:rsidRPr="00C83DF5" w:rsidRDefault="005D753D" w:rsidP="00C066F9">
            <w:pPr>
              <w:keepNext/>
              <w:keepLines/>
              <w:ind w:left="180" w:right="186"/>
              <w:rPr>
                <w:rFonts w:eastAsia="Calibri"/>
                <w:color w:val="000000"/>
              </w:rPr>
            </w:pPr>
            <w:r w:rsidRPr="00C83DF5">
              <w:rPr>
                <w:rFonts w:eastAsia="Calibri"/>
                <w:color w:val="000000"/>
              </w:rPr>
              <w:t>SharePoint Online Plan 1</w:t>
            </w:r>
          </w:p>
        </w:tc>
        <w:tc>
          <w:tcPr>
            <w:tcW w:w="2970" w:type="dxa"/>
            <w:shd w:val="clear" w:color="auto" w:fill="auto"/>
          </w:tcPr>
          <w:p w:rsidR="005D753D" w:rsidRPr="00C83DF5" w:rsidRDefault="005D753D" w:rsidP="00C066F9">
            <w:pPr>
              <w:keepNext/>
              <w:keepLines/>
              <w:ind w:left="138" w:right="138"/>
              <w:rPr>
                <w:rFonts w:eastAsia="Calibri"/>
                <w:color w:val="000000"/>
              </w:rPr>
            </w:pPr>
            <w:r w:rsidRPr="00C83DF5">
              <w:rPr>
                <w:rFonts w:eastAsia="Calibri"/>
                <w:color w:val="000000"/>
              </w:rPr>
              <w:t>SharePoint Online Plan 2</w:t>
            </w:r>
          </w:p>
        </w:tc>
        <w:tc>
          <w:tcPr>
            <w:tcW w:w="2970" w:type="dxa"/>
            <w:shd w:val="clear" w:color="auto" w:fill="auto"/>
          </w:tcPr>
          <w:p w:rsidR="005D753D" w:rsidRPr="00C83DF5" w:rsidRDefault="005D753D" w:rsidP="00C066F9">
            <w:pPr>
              <w:keepNext/>
              <w:keepLines/>
              <w:ind w:left="186" w:right="180"/>
              <w:rPr>
                <w:rFonts w:eastAsia="Calibri"/>
                <w:color w:val="000000"/>
              </w:rPr>
            </w:pPr>
            <w:r w:rsidRPr="00C83DF5">
              <w:rPr>
                <w:rFonts w:eastAsia="Calibri"/>
                <w:color w:val="000000"/>
              </w:rPr>
              <w:t>SharePoint Online Plan 2</w:t>
            </w:r>
          </w:p>
        </w:tc>
      </w:tr>
      <w:tr w:rsidR="005D753D" w:rsidRPr="00C83DF5" w:rsidTr="005D753D">
        <w:tc>
          <w:tcPr>
            <w:tcW w:w="2970" w:type="dxa"/>
          </w:tcPr>
          <w:p w:rsidR="005D753D" w:rsidRPr="00C83DF5" w:rsidRDefault="005D753D" w:rsidP="00C066F9">
            <w:pPr>
              <w:keepNext/>
              <w:keepLines/>
              <w:ind w:left="180" w:right="186"/>
              <w:rPr>
                <w:rFonts w:eastAsia="Calibri"/>
                <w:color w:val="000000"/>
              </w:rPr>
            </w:pPr>
            <w:r w:rsidRPr="00C83DF5">
              <w:rPr>
                <w:rFonts w:eastAsia="Calibri"/>
                <w:color w:val="000000"/>
              </w:rPr>
              <w:t>Lync Online Plan 2</w:t>
            </w:r>
          </w:p>
        </w:tc>
        <w:tc>
          <w:tcPr>
            <w:tcW w:w="2970" w:type="dxa"/>
            <w:shd w:val="clear" w:color="auto" w:fill="auto"/>
          </w:tcPr>
          <w:p w:rsidR="005D753D" w:rsidRPr="00C83DF5" w:rsidRDefault="005D753D" w:rsidP="00C066F9">
            <w:pPr>
              <w:keepNext/>
              <w:keepLines/>
              <w:ind w:left="138" w:right="138"/>
              <w:rPr>
                <w:rFonts w:eastAsia="Calibri"/>
                <w:color w:val="000000"/>
              </w:rPr>
            </w:pPr>
            <w:r w:rsidRPr="00C83DF5">
              <w:rPr>
                <w:rFonts w:eastAsia="Calibri"/>
                <w:color w:val="000000"/>
              </w:rPr>
              <w:t>Lync Online Plan 2</w:t>
            </w:r>
          </w:p>
        </w:tc>
        <w:tc>
          <w:tcPr>
            <w:tcW w:w="2970" w:type="dxa"/>
            <w:shd w:val="clear" w:color="auto" w:fill="auto"/>
          </w:tcPr>
          <w:p w:rsidR="005D753D" w:rsidRPr="00C83DF5" w:rsidRDefault="00BE51ED" w:rsidP="00630ED6">
            <w:pPr>
              <w:keepNext/>
              <w:keepLines/>
              <w:ind w:left="186" w:right="180"/>
              <w:rPr>
                <w:rFonts w:eastAsia="Calibri"/>
                <w:color w:val="000000"/>
              </w:rPr>
            </w:pPr>
            <w:r>
              <w:rPr>
                <w:rFonts w:eastAsia="Calibri"/>
                <w:color w:val="000000"/>
              </w:rPr>
              <w:t>Lync Online Plan 3</w:t>
            </w:r>
          </w:p>
        </w:tc>
      </w:tr>
      <w:tr w:rsidR="005D753D" w:rsidRPr="004D388E" w:rsidTr="005D753D">
        <w:tc>
          <w:tcPr>
            <w:tcW w:w="2970" w:type="dxa"/>
          </w:tcPr>
          <w:p w:rsidR="005D753D" w:rsidRPr="00C83DF5" w:rsidRDefault="005D753D" w:rsidP="00C066F9">
            <w:pPr>
              <w:keepNext/>
              <w:keepLines/>
              <w:ind w:left="180" w:right="186"/>
              <w:rPr>
                <w:rFonts w:eastAsia="Calibri"/>
                <w:color w:val="000000"/>
                <w:lang w:val="de-DE"/>
              </w:rPr>
            </w:pPr>
            <w:r w:rsidRPr="00C83DF5">
              <w:rPr>
                <w:rFonts w:eastAsia="Calibri"/>
                <w:color w:val="000000"/>
                <w:lang w:val="de-DE"/>
              </w:rPr>
              <w:t>Office-Webanwendungen (von Microsoft gehostet)</w:t>
            </w:r>
          </w:p>
        </w:tc>
        <w:tc>
          <w:tcPr>
            <w:tcW w:w="2970" w:type="dxa"/>
            <w:shd w:val="clear" w:color="auto" w:fill="auto"/>
          </w:tcPr>
          <w:p w:rsidR="005D753D" w:rsidRPr="00C83DF5" w:rsidRDefault="005D753D" w:rsidP="00A35064">
            <w:pPr>
              <w:keepNext/>
              <w:keepLines/>
              <w:ind w:left="138" w:right="138"/>
              <w:rPr>
                <w:rFonts w:eastAsia="Calibri"/>
                <w:color w:val="000000"/>
                <w:lang w:val="de-DE"/>
              </w:rPr>
            </w:pPr>
            <w:r w:rsidRPr="00C83DF5">
              <w:rPr>
                <w:rFonts w:eastAsia="Calibri"/>
                <w:color w:val="000000"/>
                <w:lang w:val="de-DE"/>
              </w:rPr>
              <w:t>Office-Webanwendungen (von</w:t>
            </w:r>
            <w:r w:rsidR="00A35064">
              <w:rPr>
                <w:rFonts w:eastAsia="Calibri"/>
                <w:color w:val="000000"/>
                <w:lang w:val="de-DE"/>
              </w:rPr>
              <w:t> </w:t>
            </w:r>
            <w:r w:rsidRPr="00C83DF5">
              <w:rPr>
                <w:rFonts w:eastAsia="Calibri"/>
                <w:color w:val="000000"/>
                <w:lang w:val="de-DE"/>
              </w:rPr>
              <w:t>Microsoft gehostet)</w:t>
            </w:r>
          </w:p>
        </w:tc>
        <w:tc>
          <w:tcPr>
            <w:tcW w:w="2970" w:type="dxa"/>
            <w:shd w:val="clear" w:color="auto" w:fill="auto"/>
          </w:tcPr>
          <w:p w:rsidR="005D753D" w:rsidRPr="00C83DF5" w:rsidRDefault="005D753D" w:rsidP="00C066F9">
            <w:pPr>
              <w:keepNext/>
              <w:keepLines/>
              <w:ind w:left="186" w:right="180"/>
              <w:rPr>
                <w:rFonts w:eastAsia="Calibri"/>
                <w:color w:val="000000"/>
                <w:lang w:val="de-DE"/>
              </w:rPr>
            </w:pPr>
            <w:r w:rsidRPr="00C83DF5">
              <w:rPr>
                <w:rFonts w:eastAsia="Calibri"/>
                <w:color w:val="000000"/>
                <w:lang w:val="de-DE"/>
              </w:rPr>
              <w:t>Office-Webanwendungen (von Microsoft gehostet)</w:t>
            </w:r>
          </w:p>
        </w:tc>
      </w:tr>
      <w:tr w:rsidR="005D753D" w:rsidRPr="00C83DF5" w:rsidTr="005D753D">
        <w:tc>
          <w:tcPr>
            <w:tcW w:w="2970" w:type="dxa"/>
          </w:tcPr>
          <w:p w:rsidR="005D753D" w:rsidRPr="00C83DF5" w:rsidRDefault="005D753D" w:rsidP="00C066F9">
            <w:pPr>
              <w:keepNext/>
              <w:keepLines/>
              <w:ind w:left="180" w:right="186"/>
              <w:rPr>
                <w:rFonts w:eastAsia="Calibri"/>
                <w:color w:val="000000"/>
                <w:lang w:val="de-DE"/>
              </w:rPr>
            </w:pPr>
          </w:p>
        </w:tc>
        <w:tc>
          <w:tcPr>
            <w:tcW w:w="2970" w:type="dxa"/>
            <w:shd w:val="clear" w:color="auto" w:fill="auto"/>
          </w:tcPr>
          <w:p w:rsidR="005D753D" w:rsidRPr="00C83DF5" w:rsidRDefault="005D753D" w:rsidP="00630ED6">
            <w:pPr>
              <w:keepNext/>
              <w:keepLines/>
              <w:ind w:left="138" w:right="138"/>
              <w:rPr>
                <w:rFonts w:eastAsia="Calibri"/>
                <w:color w:val="000000"/>
              </w:rPr>
            </w:pPr>
            <w:r w:rsidRPr="00C83DF5">
              <w:rPr>
                <w:rFonts w:eastAsia="Calibri"/>
                <w:color w:val="000000"/>
              </w:rPr>
              <w:t xml:space="preserve">Office 365 ProPlus </w:t>
            </w:r>
          </w:p>
        </w:tc>
        <w:tc>
          <w:tcPr>
            <w:tcW w:w="2970" w:type="dxa"/>
            <w:shd w:val="clear" w:color="auto" w:fill="auto"/>
          </w:tcPr>
          <w:p w:rsidR="005D753D" w:rsidRPr="00C83DF5" w:rsidRDefault="005D753D" w:rsidP="00630ED6">
            <w:pPr>
              <w:keepNext/>
              <w:keepLines/>
              <w:ind w:left="186" w:right="180"/>
              <w:rPr>
                <w:rFonts w:eastAsia="Calibri"/>
                <w:color w:val="000000"/>
              </w:rPr>
            </w:pPr>
            <w:r w:rsidRPr="00C83DF5">
              <w:rPr>
                <w:rFonts w:eastAsia="Calibri"/>
                <w:color w:val="000000"/>
              </w:rPr>
              <w:t xml:space="preserve">Office 365 ProPlus </w:t>
            </w:r>
          </w:p>
        </w:tc>
      </w:tr>
      <w:tr w:rsidR="005D753D" w:rsidRPr="00C83DF5" w:rsidTr="005D753D">
        <w:tc>
          <w:tcPr>
            <w:tcW w:w="2970" w:type="dxa"/>
          </w:tcPr>
          <w:p w:rsidR="005D753D" w:rsidRPr="00C83DF5" w:rsidRDefault="005D753D" w:rsidP="00C066F9">
            <w:pPr>
              <w:keepNext/>
              <w:keepLines/>
              <w:ind w:left="180" w:right="186"/>
              <w:rPr>
                <w:rFonts w:eastAsia="Calibri"/>
                <w:color w:val="000000"/>
              </w:rPr>
            </w:pPr>
          </w:p>
        </w:tc>
        <w:tc>
          <w:tcPr>
            <w:tcW w:w="2970" w:type="dxa"/>
            <w:shd w:val="clear" w:color="auto" w:fill="auto"/>
          </w:tcPr>
          <w:p w:rsidR="005D753D" w:rsidRPr="00C83DF5" w:rsidRDefault="005D753D" w:rsidP="00630ED6">
            <w:pPr>
              <w:keepNext/>
              <w:keepLines/>
              <w:ind w:left="138" w:right="138"/>
              <w:rPr>
                <w:rFonts w:eastAsia="Calibri"/>
                <w:color w:val="000000"/>
              </w:rPr>
            </w:pPr>
            <w:r w:rsidRPr="00C83DF5">
              <w:rPr>
                <w:rFonts w:eastAsia="Calibri"/>
                <w:color w:val="000000"/>
              </w:rPr>
              <w:t>Windows Azure Active Directory-Rechteverwaltung</w:t>
            </w:r>
          </w:p>
        </w:tc>
        <w:tc>
          <w:tcPr>
            <w:tcW w:w="2970" w:type="dxa"/>
            <w:shd w:val="clear" w:color="auto" w:fill="auto"/>
          </w:tcPr>
          <w:p w:rsidR="005D753D" w:rsidRPr="00C83DF5" w:rsidRDefault="005D753D" w:rsidP="00630ED6">
            <w:pPr>
              <w:keepNext/>
              <w:keepLines/>
              <w:ind w:left="186" w:right="180"/>
              <w:rPr>
                <w:rFonts w:eastAsia="Calibri"/>
                <w:color w:val="000000"/>
              </w:rPr>
            </w:pPr>
            <w:r w:rsidRPr="00C83DF5">
              <w:rPr>
                <w:rFonts w:eastAsia="Calibri"/>
                <w:color w:val="000000"/>
              </w:rPr>
              <w:t>Windows Azure Active Directory-Rechteverwaltung</w:t>
            </w:r>
          </w:p>
        </w:tc>
      </w:tr>
    </w:tbl>
    <w:p w:rsidR="00263B62" w:rsidRPr="00DF3F89" w:rsidRDefault="00263B62" w:rsidP="004528CB">
      <w:pPr>
        <w:pStyle w:val="PURBody"/>
        <w:spacing w:after="0"/>
        <w:ind w:left="540"/>
        <w:rPr>
          <w:rFonts w:ascii="Tahoma" w:hAnsi="Tahoma" w:cs="Tahoma"/>
          <w:i/>
          <w:lang w:val="de-DE"/>
        </w:rPr>
      </w:pPr>
    </w:p>
    <w:p w:rsidR="00A83600" w:rsidRPr="00C83DF5" w:rsidRDefault="00A83600" w:rsidP="00E62BC4">
      <w:pPr>
        <w:ind w:left="720"/>
        <w:rPr>
          <w:lang w:val="de-DE"/>
        </w:rPr>
      </w:pPr>
      <w:r w:rsidRPr="00C83DF5">
        <w:rPr>
          <w:color w:val="000000"/>
          <w:lang w:val="de-DE"/>
        </w:rPr>
        <w:t>Änderungen an dieser Liste sind vorbehalten.</w:t>
      </w:r>
      <w:r w:rsidR="00E71F46" w:rsidRPr="00C83DF5">
        <w:rPr>
          <w:color w:val="000000"/>
          <w:lang w:val="de-DE"/>
        </w:rPr>
        <w:t xml:space="preserve"> </w:t>
      </w:r>
      <w:r w:rsidRPr="00C83DF5">
        <w:rPr>
          <w:color w:val="000000"/>
          <w:lang w:val="de-DE"/>
        </w:rPr>
        <w:t>Die aktuellen Produktbenutzungsrechte sind bei einem Widerspruch zwischen den Lizenzbestimmungen für Office 365 Government G1, G3 oder G4 und diesem Hinweis maßgeblich.</w:t>
      </w:r>
      <w:r w:rsidR="00E71F46" w:rsidRPr="00C83DF5">
        <w:rPr>
          <w:color w:val="000000"/>
          <w:lang w:val="de-DE"/>
        </w:rPr>
        <w:t xml:space="preserve"> </w:t>
      </w:r>
      <w:r w:rsidRPr="00C83DF5">
        <w:rPr>
          <w:color w:val="000000"/>
          <w:lang w:val="de-DE"/>
        </w:rPr>
        <w:t>Zusätzliche Zugriffsrechte auf separat lizenzierte Vor-Ort-Software sind gegebenenfalls in den Produktbenutzungsrechten angegeben.</w:t>
      </w:r>
    </w:p>
    <w:p w:rsidR="00A83600" w:rsidRPr="00DF3F89" w:rsidRDefault="00A83600" w:rsidP="00E62BC4">
      <w:pPr>
        <w:ind w:left="720"/>
        <w:rPr>
          <w:rFonts w:cs="Tahoma"/>
          <w:color w:val="000000"/>
          <w:szCs w:val="18"/>
          <w:lang w:val="de-DE"/>
        </w:rPr>
      </w:pPr>
    </w:p>
    <w:p w:rsidR="00A83600" w:rsidRPr="00C83DF5" w:rsidRDefault="00A83600" w:rsidP="004528CB">
      <w:pPr>
        <w:ind w:left="720"/>
        <w:rPr>
          <w:lang w:val="de-DE"/>
        </w:rPr>
      </w:pPr>
      <w:r w:rsidRPr="00C83DF5">
        <w:rPr>
          <w:color w:val="000000"/>
          <w:lang w:val="de-DE"/>
        </w:rPr>
        <w:t>Für Lync Online Plan 1 und Plan 2 muss Microsoft Lync 2013 (oder Lync für Mac 2011) separat erworben und installiert werden, damit alle Features von Lync Online Plan 1 und Plan 2 zur Verfügung stehen. Als</w:t>
      </w:r>
      <w:r w:rsidR="004528CB">
        <w:rPr>
          <w:color w:val="000000"/>
          <w:lang w:val="de-DE"/>
        </w:rPr>
        <w:t> </w:t>
      </w:r>
      <w:r w:rsidRPr="00C83DF5">
        <w:rPr>
          <w:color w:val="000000"/>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w:t>
      </w:r>
      <w:r w:rsidR="004528CB">
        <w:rPr>
          <w:color w:val="000000"/>
          <w:lang w:val="de-DE"/>
        </w:rPr>
        <w:t> </w:t>
      </w:r>
      <w:r w:rsidRPr="00C83DF5">
        <w:rPr>
          <w:color w:val="000000"/>
          <w:lang w:val="de-DE"/>
        </w:rPr>
        <w:t>Ablauf der zugrunde liegende Abonnementlizenz oder bei Migration auf die nächste Hauptversion von</w:t>
      </w:r>
      <w:r w:rsidR="004528CB">
        <w:rPr>
          <w:color w:val="000000"/>
          <w:lang w:val="de-DE"/>
        </w:rPr>
        <w:t> </w:t>
      </w:r>
      <w:r w:rsidRPr="00C83DF5">
        <w:rPr>
          <w:color w:val="000000"/>
          <w:lang w:val="de-DE"/>
        </w:rPr>
        <w:t>Lync Online, je nachdem, welches Ereignis zuerst eintritt.</w:t>
      </w:r>
      <w:r w:rsidR="00E71F46" w:rsidRPr="00C83DF5">
        <w:rPr>
          <w:color w:val="000000"/>
          <w:lang w:val="de-DE"/>
        </w:rPr>
        <w:t xml:space="preserve"> </w:t>
      </w:r>
      <w:r w:rsidRPr="00C83DF5">
        <w:rPr>
          <w:lang w:val="de-DE"/>
        </w:rPr>
        <w:t>Kunden sind berechtigt, den kostenlosen Lync</w:t>
      </w:r>
      <w:r w:rsidR="004528CB">
        <w:rPr>
          <w:lang w:val="de-DE"/>
        </w:rPr>
        <w:t> </w:t>
      </w:r>
      <w:r w:rsidRPr="00C83DF5">
        <w:rPr>
          <w:lang w:val="de-DE"/>
        </w:rPr>
        <w:t>Basic 2013-Client für ihre Windows-basierten Endbenutzer zu nutzen.</w:t>
      </w:r>
    </w:p>
    <w:p w:rsidR="00A83600" w:rsidRPr="004528CB" w:rsidRDefault="00A83600" w:rsidP="00E62BC4">
      <w:pPr>
        <w:ind w:left="720"/>
        <w:rPr>
          <w:color w:val="000000"/>
          <w:lang w:val="de-DE"/>
        </w:rPr>
      </w:pPr>
    </w:p>
    <w:p w:rsidR="00A83600" w:rsidRPr="00C83DF5" w:rsidRDefault="00A83600" w:rsidP="00E62BC4">
      <w:pPr>
        <w:ind w:left="720"/>
        <w:rPr>
          <w:lang w:val="de-DE"/>
        </w:rPr>
      </w:pPr>
      <w:r w:rsidRPr="00C83DF5">
        <w:rPr>
          <w:rFonts w:eastAsia="Calibri" w:cs="Tahoma"/>
          <w:color w:val="000000"/>
          <w:szCs w:val="18"/>
          <w:lang w:val="de-DE"/>
        </w:rPr>
        <w:t>G1, G3 oder G4 dürfen nicht in derselben Domäne bereitgestellt werden wie bestimmte Non-Government Community Cloud-Dienste.</w:t>
      </w:r>
      <w:r w:rsidR="00E71F46" w:rsidRPr="00C83DF5">
        <w:rPr>
          <w:rFonts w:eastAsia="Calibri" w:cs="Tahoma"/>
          <w:color w:val="000000"/>
          <w:szCs w:val="18"/>
          <w:lang w:val="de-DE"/>
        </w:rPr>
        <w:t xml:space="preserve"> </w:t>
      </w:r>
      <w:r w:rsidRPr="00C83DF5">
        <w:rPr>
          <w:rFonts w:eastAsia="Calibri" w:cs="Tahoma"/>
          <w:color w:val="000000"/>
          <w:szCs w:val="18"/>
          <w:lang w:val="de-DE"/>
        </w:rPr>
        <w:t>Diese Beschränkung gilt für alle Onlinedienste, die zur Office 365-Produktfamilie gehören, darunter Exchange Online, SharePoint Online und Lync Online.</w:t>
      </w:r>
    </w:p>
    <w:p w:rsidR="00A83600" w:rsidRPr="00DF3F89" w:rsidRDefault="00A83600" w:rsidP="00E62BC4">
      <w:pPr>
        <w:ind w:left="720"/>
        <w:rPr>
          <w:rFonts w:eastAsia="Calibri" w:cs="Tahoma"/>
          <w:color w:val="000000"/>
          <w:szCs w:val="18"/>
          <w:lang w:val="de-DE"/>
        </w:rPr>
      </w:pPr>
    </w:p>
    <w:p w:rsidR="00D57009" w:rsidRPr="00C83DF5" w:rsidRDefault="00A83600" w:rsidP="004528CB">
      <w:pPr>
        <w:ind w:left="720"/>
        <w:rPr>
          <w:lang w:val="de-DE"/>
        </w:rPr>
      </w:pPr>
      <w:r w:rsidRPr="00C83DF5">
        <w:rPr>
          <w:rFonts w:eastAsia="Calibri" w:cs="Tahoma"/>
          <w:color w:val="000000"/>
          <w:szCs w:val="18"/>
          <w:lang w:val="de-DE"/>
        </w:rPr>
        <w:t>Wenn ein Onlinedienst in der Government Community Cloud bereitgestellt wird, bleibt er für die Dauer der</w:t>
      </w:r>
      <w:r w:rsidR="004528CB">
        <w:rPr>
          <w:rFonts w:eastAsia="Calibri" w:cs="Tahoma"/>
          <w:color w:val="000000"/>
          <w:szCs w:val="18"/>
          <w:lang w:val="de-DE"/>
        </w:rPr>
        <w:t> </w:t>
      </w:r>
      <w:r w:rsidRPr="00C83DF5">
        <w:rPr>
          <w:rFonts w:eastAsia="Calibri" w:cs="Tahoma"/>
          <w:color w:val="000000"/>
          <w:szCs w:val="18"/>
          <w:lang w:val="de-DE"/>
        </w:rPr>
        <w:t>Abonnementlaufzeit dort.</w:t>
      </w:r>
      <w:r w:rsidR="00E71F46" w:rsidRPr="00C83DF5">
        <w:rPr>
          <w:rFonts w:eastAsia="Calibri" w:cs="Tahoma"/>
          <w:color w:val="000000"/>
          <w:szCs w:val="18"/>
          <w:lang w:val="de-DE"/>
        </w:rPr>
        <w:t xml:space="preserve"> </w:t>
      </w:r>
      <w:r w:rsidRPr="00C83DF5">
        <w:rPr>
          <w:rFonts w:eastAsia="Calibri" w:cs="Tahoma"/>
          <w:color w:val="000000"/>
          <w:szCs w:val="18"/>
          <w:lang w:val="de-DE"/>
        </w:rPr>
        <w:t>Kunden, bei denen es sich um US-amerikanische Verwaltungseinrichtungen auf nationaler, einzelstaatlicher, kommunaler oder Stammesebene handelt, müssen Vertragspartei eines</w:t>
      </w:r>
      <w:r w:rsidR="004528CB">
        <w:rPr>
          <w:rFonts w:eastAsia="Calibri" w:cs="Tahoma"/>
          <w:color w:val="000000"/>
          <w:szCs w:val="18"/>
          <w:lang w:val="de-DE"/>
        </w:rPr>
        <w:t> </w:t>
      </w:r>
      <w:r w:rsidRPr="00C83DF5">
        <w:rPr>
          <w:rFonts w:eastAsia="Calibri" w:cs="Tahoma"/>
          <w:color w:val="000000"/>
          <w:szCs w:val="18"/>
          <w:lang w:val="de-DE"/>
        </w:rPr>
        <w:t>Konzernbeitritts oder Konzern-Abonnement-Beitritts für US-Behörden sein, um zum Erwerb von</w:t>
      </w:r>
      <w:r w:rsidR="004528CB">
        <w:rPr>
          <w:rFonts w:eastAsia="Calibri" w:cs="Tahoma"/>
          <w:color w:val="000000"/>
          <w:szCs w:val="18"/>
          <w:lang w:val="de-DE"/>
        </w:rPr>
        <w:t> </w:t>
      </w:r>
      <w:r w:rsidRPr="00C83DF5">
        <w:rPr>
          <w:rFonts w:eastAsia="Calibri" w:cs="Tahoma"/>
          <w:color w:val="000000"/>
          <w:szCs w:val="18"/>
          <w:lang w:val="de-DE"/>
        </w:rPr>
        <w:t>Onlinediensten, die als Government Community Cloud bezeichnet werden, berechtigt zu sein.</w:t>
      </w:r>
      <w:r w:rsidR="00E71F46" w:rsidRPr="00C83DF5">
        <w:rPr>
          <w:rFonts w:eastAsia="Calibri" w:cs="Tahoma"/>
          <w:color w:val="000000"/>
          <w:szCs w:val="18"/>
          <w:lang w:val="de-DE"/>
        </w:rPr>
        <w:t xml:space="preserve"> </w:t>
      </w:r>
      <w:r w:rsidRPr="00C83DF5">
        <w:rPr>
          <w:rFonts w:eastAsia="Calibri" w:cs="Tahoma"/>
          <w:color w:val="000000"/>
          <w:szCs w:val="18"/>
          <w:lang w:val="de-DE"/>
        </w:rPr>
        <w:t>Die</w:t>
      </w:r>
      <w:r w:rsidR="004528CB">
        <w:rPr>
          <w:rFonts w:eastAsia="Calibri" w:cs="Tahoma"/>
          <w:color w:val="000000"/>
          <w:szCs w:val="18"/>
          <w:lang w:val="de-DE"/>
        </w:rPr>
        <w:t> </w:t>
      </w:r>
      <w:r w:rsidRPr="00C83DF5">
        <w:rPr>
          <w:rFonts w:eastAsia="Calibri" w:cs="Tahoma"/>
          <w:color w:val="000000"/>
          <w:szCs w:val="18"/>
          <w:lang w:val="de-DE"/>
        </w:rPr>
        <w:t>Nutzungsrechte für Government Community Cloud-Dienste entsprechen den Nutzungsrechten ihrer</w:t>
      </w:r>
      <w:r w:rsidR="004528CB">
        <w:rPr>
          <w:rFonts w:eastAsia="Calibri" w:cs="Tahoma"/>
          <w:color w:val="000000"/>
          <w:szCs w:val="18"/>
          <w:lang w:val="de-DE"/>
        </w:rPr>
        <w:t> </w:t>
      </w:r>
      <w:r w:rsidRPr="00C83DF5">
        <w:rPr>
          <w:rFonts w:eastAsia="Calibri" w:cs="Tahoma"/>
          <w:color w:val="000000"/>
          <w:szCs w:val="18"/>
          <w:lang w:val="de-DE"/>
        </w:rPr>
        <w:t>mehrinstanzenfähigen Standardäquivalente, wie in der nachfolgenden Tabelle dargestellt:</w:t>
      </w:r>
    </w:p>
    <w:p w:rsidR="00A83600" w:rsidRPr="00C83DF5" w:rsidRDefault="00A83600" w:rsidP="00A83600">
      <w:pPr>
        <w:ind w:left="900"/>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4D388E" w:rsidTr="003649B5">
        <w:trPr>
          <w:trHeight w:val="503"/>
        </w:trPr>
        <w:tc>
          <w:tcPr>
            <w:tcW w:w="4154" w:type="dxa"/>
            <w:shd w:val="clear" w:color="auto" w:fill="FABF8F"/>
          </w:tcPr>
          <w:p w:rsidR="00A83600" w:rsidRPr="00C83DF5" w:rsidRDefault="00A83600" w:rsidP="00722522">
            <w:pPr>
              <w:rPr>
                <w:rFonts w:eastAsia="Calibri"/>
                <w:b/>
                <w:color w:val="000000"/>
                <w:sz w:val="20"/>
                <w:szCs w:val="20"/>
              </w:rPr>
            </w:pPr>
            <w:r w:rsidRPr="00C83DF5">
              <w:rPr>
                <w:rFonts w:eastAsia="Calibri"/>
                <w:b/>
                <w:color w:val="000000"/>
                <w:sz w:val="20"/>
                <w:szCs w:val="20"/>
              </w:rPr>
              <w:t xml:space="preserve">Office 365 Enterprise E </w:t>
            </w:r>
          </w:p>
        </w:tc>
        <w:tc>
          <w:tcPr>
            <w:tcW w:w="4318" w:type="dxa"/>
            <w:shd w:val="clear" w:color="auto" w:fill="FABF8F"/>
          </w:tcPr>
          <w:p w:rsidR="00A83600" w:rsidRPr="00C83DF5" w:rsidRDefault="00A83600" w:rsidP="00722522">
            <w:pPr>
              <w:rPr>
                <w:rFonts w:eastAsia="Calibri"/>
                <w:b/>
                <w:color w:val="000000"/>
                <w:sz w:val="20"/>
                <w:szCs w:val="20"/>
                <w:lang w:val="de-DE"/>
              </w:rPr>
            </w:pPr>
            <w:r w:rsidRPr="00C83DF5">
              <w:rPr>
                <w:rFonts w:eastAsia="Calibri"/>
                <w:b/>
                <w:color w:val="000000"/>
                <w:sz w:val="20"/>
                <w:szCs w:val="20"/>
                <w:lang w:val="de-DE"/>
              </w:rPr>
              <w:t>Office 365 Government G-Dienst mit entsprechenden Nutzungsrechten</w:t>
            </w:r>
          </w:p>
        </w:tc>
      </w:tr>
      <w:tr w:rsidR="00A83600" w:rsidRPr="00C83DF5" w:rsidTr="00A01320">
        <w:tc>
          <w:tcPr>
            <w:tcW w:w="4154" w:type="dxa"/>
            <w:shd w:val="clear" w:color="auto" w:fill="auto"/>
          </w:tcPr>
          <w:p w:rsidR="00A83600" w:rsidRPr="00C83DF5" w:rsidRDefault="00A83600" w:rsidP="00722522">
            <w:pPr>
              <w:rPr>
                <w:rFonts w:eastAsia="Calibri"/>
                <w:color w:val="000000"/>
              </w:rPr>
            </w:pPr>
            <w:r w:rsidRPr="00C83DF5">
              <w:rPr>
                <w:rFonts w:eastAsia="Calibri"/>
                <w:color w:val="000000"/>
              </w:rPr>
              <w:t>Office 365 Enterprise E1</w:t>
            </w:r>
          </w:p>
        </w:tc>
        <w:tc>
          <w:tcPr>
            <w:tcW w:w="4318" w:type="dxa"/>
            <w:shd w:val="clear" w:color="auto" w:fill="auto"/>
          </w:tcPr>
          <w:p w:rsidR="00A83600" w:rsidRPr="00C83DF5" w:rsidRDefault="00A83600" w:rsidP="00722522">
            <w:pPr>
              <w:rPr>
                <w:rFonts w:eastAsia="Calibri"/>
                <w:color w:val="000000"/>
              </w:rPr>
            </w:pPr>
            <w:r w:rsidRPr="00C83DF5">
              <w:rPr>
                <w:rFonts w:eastAsia="Calibri"/>
                <w:color w:val="000000"/>
              </w:rPr>
              <w:t>Office 365 Government G1</w:t>
            </w:r>
          </w:p>
        </w:tc>
      </w:tr>
      <w:tr w:rsidR="00A83600" w:rsidRPr="00C83DF5" w:rsidTr="00A01320">
        <w:tc>
          <w:tcPr>
            <w:tcW w:w="4154" w:type="dxa"/>
            <w:shd w:val="clear" w:color="auto" w:fill="auto"/>
          </w:tcPr>
          <w:p w:rsidR="00A83600" w:rsidRPr="00C83DF5" w:rsidRDefault="00A83600" w:rsidP="00722522">
            <w:pPr>
              <w:rPr>
                <w:rFonts w:eastAsia="Calibri"/>
                <w:color w:val="000000"/>
              </w:rPr>
            </w:pPr>
            <w:r w:rsidRPr="00C83DF5">
              <w:rPr>
                <w:rFonts w:eastAsia="Calibri"/>
                <w:color w:val="000000"/>
              </w:rPr>
              <w:t>Office 365 Enterprise E3</w:t>
            </w:r>
          </w:p>
        </w:tc>
        <w:tc>
          <w:tcPr>
            <w:tcW w:w="4318" w:type="dxa"/>
            <w:shd w:val="clear" w:color="auto" w:fill="auto"/>
          </w:tcPr>
          <w:p w:rsidR="00A83600" w:rsidRPr="00C83DF5" w:rsidRDefault="00A83600" w:rsidP="00722522">
            <w:pPr>
              <w:rPr>
                <w:rFonts w:eastAsia="Calibri"/>
                <w:color w:val="000000"/>
              </w:rPr>
            </w:pPr>
            <w:r w:rsidRPr="00C83DF5">
              <w:rPr>
                <w:rFonts w:eastAsia="Calibri"/>
                <w:color w:val="000000"/>
              </w:rPr>
              <w:t>Office 365 Government G3</w:t>
            </w:r>
          </w:p>
        </w:tc>
      </w:tr>
      <w:tr w:rsidR="00A83600" w:rsidRPr="00C83DF5" w:rsidTr="00A01320">
        <w:tc>
          <w:tcPr>
            <w:tcW w:w="4154" w:type="dxa"/>
            <w:shd w:val="clear" w:color="auto" w:fill="auto"/>
          </w:tcPr>
          <w:p w:rsidR="00A83600" w:rsidRPr="00C83DF5" w:rsidRDefault="00A83600" w:rsidP="00722522">
            <w:pPr>
              <w:rPr>
                <w:rFonts w:eastAsia="Calibri"/>
                <w:color w:val="000000"/>
              </w:rPr>
            </w:pPr>
            <w:r w:rsidRPr="00C83DF5">
              <w:rPr>
                <w:rFonts w:eastAsia="Calibri"/>
                <w:color w:val="000000"/>
              </w:rPr>
              <w:t>Office 365 Enterprise E4</w:t>
            </w:r>
          </w:p>
        </w:tc>
        <w:tc>
          <w:tcPr>
            <w:tcW w:w="4318" w:type="dxa"/>
            <w:shd w:val="clear" w:color="auto" w:fill="auto"/>
          </w:tcPr>
          <w:p w:rsidR="00A83600" w:rsidRPr="00C83DF5" w:rsidRDefault="00A83600" w:rsidP="00722522">
            <w:pPr>
              <w:rPr>
                <w:rFonts w:eastAsia="Calibri"/>
                <w:color w:val="000000"/>
              </w:rPr>
            </w:pPr>
            <w:r w:rsidRPr="00C83DF5">
              <w:rPr>
                <w:rFonts w:eastAsia="Calibri"/>
                <w:color w:val="000000"/>
              </w:rPr>
              <w:t>Office 365 Government G4</w:t>
            </w:r>
          </w:p>
        </w:tc>
      </w:tr>
    </w:tbl>
    <w:p w:rsidR="004574E9" w:rsidRPr="00C83DF5" w:rsidRDefault="004574E9" w:rsidP="00194DAF"/>
    <w:p w:rsidR="00C737B6" w:rsidRPr="00C83DF5" w:rsidRDefault="00C737B6" w:rsidP="007B699C">
      <w:pPr>
        <w:pStyle w:val="EndnoteText"/>
        <w:ind w:left="0"/>
      </w:pPr>
      <w:bookmarkStart w:id="1409" w:name="_59_Office_Communications"/>
      <w:bookmarkStart w:id="1410" w:name="_57_Office_Communications"/>
      <w:bookmarkStart w:id="1411" w:name="_59_Office_Groove"/>
      <w:bookmarkStart w:id="1412" w:name="Srv_62OfficePerfPointSvr07"/>
      <w:bookmarkEnd w:id="1373"/>
      <w:bookmarkEnd w:id="1409"/>
      <w:bookmarkEnd w:id="1410"/>
      <w:bookmarkEnd w:id="1411"/>
    </w:p>
    <w:p w:rsidR="00F42FD5" w:rsidRPr="00C83DF5" w:rsidRDefault="00A560B6" w:rsidP="00F42FD5">
      <w:pPr>
        <w:pStyle w:val="Heading2"/>
        <w:ind w:left="0"/>
      </w:pPr>
      <w:bookmarkStart w:id="1413" w:name="_68_SharePoint_Online"/>
      <w:bookmarkStart w:id="1414" w:name="_71_SharePoint_Online"/>
      <w:bookmarkStart w:id="1415" w:name="_78_SharePoint_Online"/>
      <w:bookmarkStart w:id="1416" w:name="_77_SharePoint_Online"/>
      <w:bookmarkStart w:id="1417" w:name="_Toc336338334"/>
      <w:bookmarkStart w:id="1418" w:name="Srv_73SharepointOnlinePlan1"/>
      <w:bookmarkStart w:id="1419" w:name="Srv_74SharepointOnlinePlan1"/>
      <w:bookmarkStart w:id="1420" w:name="_Toc370983445"/>
      <w:bookmarkEnd w:id="1413"/>
      <w:bookmarkEnd w:id="1414"/>
      <w:bookmarkEnd w:id="1415"/>
      <w:bookmarkEnd w:id="1416"/>
      <w:r w:rsidRPr="00C83DF5">
        <w:rPr>
          <w:rFonts w:ascii="Tahoma" w:hAnsi="Tahoma" w:cs="Tahoma"/>
          <w:caps/>
          <w:color w:val="FF6600"/>
          <w:sz w:val="22"/>
          <w:vertAlign w:val="superscript"/>
        </w:rPr>
        <w:t>77</w:t>
      </w:r>
      <w:r w:rsidRPr="00F24992">
        <w:rPr>
          <w:rFonts w:ascii="Tahoma" w:hAnsi="Tahoma" w:cs="Tahoma"/>
          <w:color w:val="FF6600"/>
          <w:sz w:val="22"/>
          <w:szCs w:val="22"/>
        </w:rPr>
        <w:t xml:space="preserve"> </w:t>
      </w:r>
      <w:r w:rsidRPr="00C83DF5">
        <w:rPr>
          <w:rFonts w:ascii="Tahoma" w:hAnsi="Tahoma" w:cs="Tahoma"/>
          <w:color w:val="FF6600"/>
          <w:sz w:val="22"/>
          <w:szCs w:val="22"/>
        </w:rPr>
        <w:t>SharePoint Online Plan 1 und 2</w:t>
      </w:r>
      <w:bookmarkEnd w:id="1417"/>
      <w:bookmarkEnd w:id="1420"/>
    </w:p>
    <w:bookmarkEnd w:id="1418"/>
    <w:bookmarkEnd w:id="1419"/>
    <w:p w:rsidR="00F42FD5" w:rsidRPr="00C83DF5" w:rsidRDefault="00F42FD5" w:rsidP="00F42FD5"/>
    <w:p w:rsidR="00F42FD5" w:rsidRPr="00C83DF5" w:rsidRDefault="00F42FD5" w:rsidP="00AC0ED2">
      <w:pPr>
        <w:pStyle w:val="EndnoteText"/>
        <w:ind w:left="720"/>
      </w:pPr>
      <w:r w:rsidRPr="00C83DF5">
        <w:rPr>
          <w:rFonts w:ascii="Tahoma" w:hAnsi="Tahoma" w:cs="Tahoma"/>
          <w:color w:val="000000"/>
          <w:sz w:val="18"/>
          <w:szCs w:val="18"/>
        </w:rPr>
        <w:t>SharePoint Online Plan 1 hieß zuvor SharePoint Online Standard.</w:t>
      </w:r>
    </w:p>
    <w:p w:rsidR="00F42FD5" w:rsidRPr="00C83DF5" w:rsidRDefault="00F42FD5" w:rsidP="00AC0ED2">
      <w:pPr>
        <w:pStyle w:val="EndnoteText"/>
        <w:ind w:left="720"/>
      </w:pPr>
    </w:p>
    <w:p w:rsidR="00F42FD5" w:rsidRPr="00C83DF5" w:rsidRDefault="00F42FD5" w:rsidP="00AC0ED2">
      <w:pPr>
        <w:pStyle w:val="EndnoteText"/>
        <w:ind w:left="720"/>
        <w:rPr>
          <w:lang w:val="de-DE"/>
        </w:rPr>
      </w:pPr>
      <w:r w:rsidRPr="00C83DF5">
        <w:rPr>
          <w:rFonts w:ascii="Tahoma" w:hAnsi="Tahoma" w:cs="Tahoma"/>
          <w:color w:val="000000"/>
          <w:sz w:val="18"/>
          <w:szCs w:val="18"/>
          <w:lang w:val="de-DE"/>
        </w:rPr>
        <w:t>Kunden in Brasilien oder Chile, die SharePoint Online Plan 1 erwerben, werden für SharePoint Online Standard freigeschaltet.</w:t>
      </w:r>
      <w:r w:rsidR="00E71F46" w:rsidRPr="00C83DF5">
        <w:rPr>
          <w:rFonts w:ascii="Tahoma" w:hAnsi="Tahoma" w:cs="Tahoma"/>
          <w:color w:val="000000"/>
          <w:sz w:val="18"/>
          <w:szCs w:val="18"/>
          <w:lang w:val="de-DE"/>
        </w:rPr>
        <w:t xml:space="preserve"> </w:t>
      </w:r>
      <w:r w:rsidRPr="00C83DF5">
        <w:rPr>
          <w:rFonts w:ascii="Tahoma" w:hAnsi="Tahoma" w:cs="Tahoma"/>
          <w:color w:val="000000"/>
          <w:sz w:val="18"/>
          <w:szCs w:val="18"/>
          <w:lang w:val="de-DE"/>
        </w:rPr>
        <w:t>Diese Kunden sind berechtigt, später auf SharePoint Online Plan 1 zu migrieren.</w:t>
      </w:r>
    </w:p>
    <w:p w:rsidR="007316A1" w:rsidRDefault="007316A1" w:rsidP="00AC0ED2">
      <w:pPr>
        <w:pStyle w:val="EndnoteText"/>
        <w:ind w:left="720"/>
        <w:rPr>
          <w:lang w:val="de-DE"/>
        </w:rPr>
      </w:pPr>
    </w:p>
    <w:p w:rsidR="001B16F5" w:rsidRDefault="001B16F5" w:rsidP="00AC0ED2">
      <w:pPr>
        <w:pStyle w:val="EndnoteText"/>
        <w:ind w:left="720"/>
        <w:rPr>
          <w:lang w:val="de-DE"/>
        </w:rPr>
      </w:pPr>
    </w:p>
    <w:p w:rsidR="001B16F5" w:rsidRPr="00DF3F89" w:rsidRDefault="001B16F5" w:rsidP="007B699C">
      <w:pPr>
        <w:spacing w:after="60"/>
        <w:ind w:left="720"/>
        <w:rPr>
          <w:rFonts w:eastAsia="Calibri" w:cs="Tahoma"/>
          <w:b/>
          <w:color w:val="000000"/>
          <w:szCs w:val="18"/>
          <w:lang w:val="de-DE"/>
        </w:rPr>
      </w:pPr>
    </w:p>
    <w:p w:rsidR="00DB7BD1" w:rsidRPr="00C83DF5" w:rsidRDefault="00DB7BD1" w:rsidP="007B699C">
      <w:pPr>
        <w:spacing w:after="60"/>
        <w:ind w:left="720"/>
      </w:pPr>
      <w:r w:rsidRPr="00C83DF5">
        <w:rPr>
          <w:rFonts w:eastAsia="Calibri" w:cs="Tahoma"/>
          <w:b/>
          <w:color w:val="000000"/>
          <w:szCs w:val="18"/>
        </w:rPr>
        <w:t>Government Community Cloud (nur USA)</w:t>
      </w:r>
    </w:p>
    <w:p w:rsidR="00DB7BD1" w:rsidRPr="00C83DF5" w:rsidRDefault="00DB7BD1" w:rsidP="001B16F5">
      <w:pPr>
        <w:ind w:left="720"/>
        <w:rPr>
          <w:lang w:val="de-DE"/>
        </w:rPr>
      </w:pPr>
      <w:r w:rsidRPr="00C83DF5">
        <w:rPr>
          <w:rFonts w:eastAsia="Calibri" w:cs="Tahoma"/>
          <w:color w:val="000000"/>
          <w:szCs w:val="18"/>
        </w:rPr>
        <w:lastRenderedPageBreak/>
        <w:t>Einige Onlinedienste in der Office 365-Produktfamilie (darunter SharePoint Online Plan 1 und 2) werden als</w:t>
      </w:r>
      <w:r w:rsidR="001B16F5">
        <w:rPr>
          <w:rFonts w:eastAsia="Calibri" w:cs="Tahoma"/>
          <w:color w:val="000000"/>
          <w:szCs w:val="18"/>
        </w:rPr>
        <w:t> </w:t>
      </w:r>
      <w:r w:rsidRPr="00C83DF5">
        <w:rPr>
          <w:rFonts w:eastAsia="Calibri" w:cs="Tahoma"/>
          <w:color w:val="000000"/>
          <w:szCs w:val="18"/>
        </w:rPr>
        <w:t>Government Community Cloud-Dienste und Non-Government Community Cloud-Dienste angeboten.</w:t>
      </w:r>
      <w:r w:rsidR="00E71F46" w:rsidRPr="00C83DF5">
        <w:rPr>
          <w:rFonts w:eastAsia="Calibri" w:cs="Tahoma"/>
          <w:color w:val="000000"/>
          <w:szCs w:val="18"/>
        </w:rPr>
        <w:t xml:space="preserve"> </w:t>
      </w:r>
      <w:r w:rsidRPr="00C83DF5">
        <w:rPr>
          <w:rFonts w:eastAsia="Calibri" w:cs="Tahoma"/>
          <w:color w:val="000000"/>
          <w:szCs w:val="18"/>
          <w:lang w:val="de-DE"/>
        </w:rPr>
        <w:t>Die</w:t>
      </w:r>
      <w:r w:rsidR="001B16F5">
        <w:rPr>
          <w:rFonts w:eastAsia="Calibri" w:cs="Tahoma"/>
          <w:color w:val="000000"/>
          <w:szCs w:val="18"/>
          <w:lang w:val="de-DE"/>
        </w:rPr>
        <w:t> </w:t>
      </w:r>
      <w:r w:rsidRPr="00C83DF5">
        <w:rPr>
          <w:rFonts w:eastAsia="Calibri" w:cs="Tahoma"/>
          <w:color w:val="000000"/>
          <w:szCs w:val="18"/>
          <w:lang w:val="de-DE"/>
        </w:rPr>
        <w:t>Bereitstellung an Kunden kann in der einen oder anderen Form erfolgen, jedoch nicht als Kombination aus beidem.</w:t>
      </w:r>
      <w:r w:rsidR="00E71F46" w:rsidRPr="00C83DF5">
        <w:rPr>
          <w:rFonts w:eastAsia="Calibri" w:cs="Tahoma"/>
          <w:color w:val="000000"/>
          <w:szCs w:val="18"/>
          <w:lang w:val="de-DE"/>
        </w:rPr>
        <w:t xml:space="preserve"> </w:t>
      </w:r>
      <w:r w:rsidRPr="00C83DF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71F46" w:rsidRPr="00C83DF5">
        <w:rPr>
          <w:rFonts w:eastAsia="Calibri" w:cs="Tahoma"/>
          <w:color w:val="000000"/>
          <w:szCs w:val="18"/>
          <w:lang w:val="de-DE"/>
        </w:rPr>
        <w:t xml:space="preserve"> </w:t>
      </w:r>
      <w:r w:rsidRPr="00C83DF5">
        <w:rPr>
          <w:rFonts w:eastAsia="Calibri" w:cs="Tahoma"/>
          <w:color w:val="000000"/>
          <w:szCs w:val="18"/>
          <w:lang w:val="de-DE"/>
        </w:rPr>
        <w:t>Diese</w:t>
      </w:r>
      <w:r w:rsidR="001B16F5">
        <w:rPr>
          <w:rFonts w:eastAsia="Calibri" w:cs="Tahoma"/>
          <w:color w:val="000000"/>
          <w:szCs w:val="18"/>
          <w:lang w:val="de-DE"/>
        </w:rPr>
        <w:t> </w:t>
      </w:r>
      <w:r w:rsidRPr="00C83DF5">
        <w:rPr>
          <w:rFonts w:eastAsia="Calibri" w:cs="Tahoma"/>
          <w:color w:val="000000"/>
          <w:szCs w:val="18"/>
          <w:lang w:val="de-DE"/>
        </w:rPr>
        <w:t>Beschränkung gilt für alle Onlinedienste, die zur Office 365-Produktfamilie gehören, darunter Exchange Online, SharePoint Online und Lync Online.</w:t>
      </w:r>
      <w:r w:rsidR="00E71F46" w:rsidRPr="00C83DF5">
        <w:rPr>
          <w:rFonts w:eastAsia="Calibri" w:cs="Tahoma"/>
          <w:color w:val="000000"/>
          <w:szCs w:val="18"/>
          <w:lang w:val="de-DE"/>
        </w:rPr>
        <w:t xml:space="preserve"> </w:t>
      </w:r>
    </w:p>
    <w:p w:rsidR="00DB7BD1" w:rsidRPr="00C83DF5" w:rsidRDefault="00DB7BD1" w:rsidP="00AC0ED2">
      <w:pPr>
        <w:ind w:left="720"/>
        <w:rPr>
          <w:lang w:val="de-DE"/>
        </w:rPr>
      </w:pPr>
    </w:p>
    <w:p w:rsidR="00DB7BD1" w:rsidRPr="00C83DF5" w:rsidRDefault="00DB7BD1" w:rsidP="001B16F5">
      <w:pPr>
        <w:ind w:left="720"/>
        <w:rPr>
          <w:lang w:val="de-DE"/>
        </w:rPr>
      </w:pPr>
      <w:r w:rsidRPr="00C83DF5">
        <w:rPr>
          <w:rFonts w:eastAsia="Calibri" w:cs="Tahoma"/>
          <w:color w:val="000000"/>
          <w:szCs w:val="18"/>
          <w:lang w:val="de-DE"/>
        </w:rPr>
        <w:t>Wenn ein Onlinedienst in der Government Community Cloud bereitgestellt wird, bleibt er für die Dauer der</w:t>
      </w:r>
      <w:r w:rsidR="001B16F5">
        <w:rPr>
          <w:rFonts w:eastAsia="Calibri" w:cs="Tahoma"/>
          <w:color w:val="000000"/>
          <w:szCs w:val="18"/>
          <w:lang w:val="de-DE"/>
        </w:rPr>
        <w:t> </w:t>
      </w:r>
      <w:r w:rsidRPr="00C83DF5">
        <w:rPr>
          <w:rFonts w:eastAsia="Calibri" w:cs="Tahoma"/>
          <w:color w:val="000000"/>
          <w:szCs w:val="18"/>
          <w:lang w:val="de-DE"/>
        </w:rPr>
        <w:t>Abonnementlaufzeit dort.</w:t>
      </w:r>
      <w:r w:rsidR="00E71F46" w:rsidRPr="00C83DF5">
        <w:rPr>
          <w:rFonts w:eastAsia="Calibri" w:cs="Tahoma"/>
          <w:color w:val="000000"/>
          <w:szCs w:val="18"/>
          <w:lang w:val="de-DE"/>
        </w:rPr>
        <w:t xml:space="preserve"> </w:t>
      </w:r>
      <w:r w:rsidRPr="00C83DF5">
        <w:rPr>
          <w:rFonts w:eastAsia="Calibri" w:cs="Tahoma"/>
          <w:color w:val="000000"/>
          <w:szCs w:val="18"/>
          <w:lang w:val="de-DE"/>
        </w:rPr>
        <w:t>Kunden, bei denen es sich um US-amerikanische Verwaltungseinrichtungen auf nationaler, einzelstaatlicher, kommunaler oder Stammesebene handelt, müssen Vertragspartei eines</w:t>
      </w:r>
      <w:r w:rsidR="001B16F5">
        <w:rPr>
          <w:rFonts w:eastAsia="Calibri" w:cs="Tahoma"/>
          <w:color w:val="000000"/>
          <w:szCs w:val="18"/>
          <w:lang w:val="de-DE"/>
        </w:rPr>
        <w:t> </w:t>
      </w:r>
      <w:r w:rsidRPr="00C83DF5">
        <w:rPr>
          <w:rFonts w:eastAsia="Calibri" w:cs="Tahoma"/>
          <w:color w:val="000000"/>
          <w:szCs w:val="18"/>
          <w:lang w:val="de-DE"/>
        </w:rPr>
        <w:t>Konzernbeitritts oder Konzern-Abonnement-Beitritts für US-Behörden sein, um zum Erwerb von</w:t>
      </w:r>
      <w:r w:rsidR="001B16F5">
        <w:rPr>
          <w:rFonts w:eastAsia="Calibri" w:cs="Tahoma"/>
          <w:color w:val="000000"/>
          <w:szCs w:val="18"/>
          <w:lang w:val="de-DE"/>
        </w:rPr>
        <w:t> </w:t>
      </w:r>
      <w:r w:rsidRPr="00C83DF5">
        <w:rPr>
          <w:rFonts w:eastAsia="Calibri" w:cs="Tahoma"/>
          <w:color w:val="000000"/>
          <w:szCs w:val="18"/>
          <w:lang w:val="de-DE"/>
        </w:rPr>
        <w:t>Onlinediensten, die als Government Community Cloud bezeichnet werden, berechtigt zu sein.</w:t>
      </w:r>
      <w:r w:rsidR="00E71F46" w:rsidRPr="00C83DF5">
        <w:rPr>
          <w:rFonts w:eastAsia="Calibri" w:cs="Tahoma"/>
          <w:color w:val="000000"/>
          <w:szCs w:val="18"/>
          <w:lang w:val="de-DE"/>
        </w:rPr>
        <w:t xml:space="preserve"> </w:t>
      </w:r>
      <w:r w:rsidRPr="00C83DF5">
        <w:rPr>
          <w:rFonts w:eastAsia="Calibri" w:cs="Tahoma"/>
          <w:color w:val="000000"/>
          <w:szCs w:val="18"/>
          <w:lang w:val="de-DE"/>
        </w:rPr>
        <w:t>Die</w:t>
      </w:r>
      <w:r w:rsidR="001B16F5">
        <w:rPr>
          <w:rFonts w:eastAsia="Calibri" w:cs="Tahoma"/>
          <w:color w:val="000000"/>
          <w:szCs w:val="18"/>
          <w:lang w:val="de-DE"/>
        </w:rPr>
        <w:t> </w:t>
      </w:r>
      <w:r w:rsidRPr="00C83DF5">
        <w:rPr>
          <w:rFonts w:eastAsia="Calibri" w:cs="Tahoma"/>
          <w:color w:val="000000"/>
          <w:szCs w:val="18"/>
          <w:lang w:val="de-DE"/>
        </w:rPr>
        <w:t>Nutzungsrechte für Government Community Cloud-Dienste entsprechen den Nutzungsrechten ihrer</w:t>
      </w:r>
      <w:r w:rsidR="001B16F5">
        <w:rPr>
          <w:rFonts w:eastAsia="Calibri" w:cs="Tahoma"/>
          <w:color w:val="000000"/>
          <w:szCs w:val="18"/>
          <w:lang w:val="de-DE"/>
        </w:rPr>
        <w:t> </w:t>
      </w:r>
      <w:r w:rsidRPr="00C83DF5">
        <w:rPr>
          <w:rFonts w:eastAsia="Calibri" w:cs="Tahoma"/>
          <w:color w:val="000000"/>
          <w:szCs w:val="18"/>
          <w:lang w:val="de-DE"/>
        </w:rPr>
        <w:t>mehrinstanzenfähigen Standardäquivalente.</w:t>
      </w:r>
    </w:p>
    <w:p w:rsidR="00C737B6" w:rsidRPr="00C83DF5" w:rsidRDefault="00C737B6" w:rsidP="00225598">
      <w:pPr>
        <w:ind w:left="720"/>
        <w:rPr>
          <w:lang w:val="de-DE"/>
        </w:rPr>
      </w:pPr>
    </w:p>
    <w:p w:rsidR="007B699C" w:rsidRPr="00C83DF5" w:rsidRDefault="007B699C" w:rsidP="00225598">
      <w:pPr>
        <w:ind w:left="720"/>
        <w:rPr>
          <w:lang w:val="de-DE"/>
        </w:rPr>
      </w:pPr>
    </w:p>
    <w:p w:rsidR="002F7FB8" w:rsidRPr="00C83DF5" w:rsidRDefault="00152E1B" w:rsidP="002F7FB8">
      <w:pPr>
        <w:pStyle w:val="Heading2"/>
        <w:ind w:left="0"/>
        <w:rPr>
          <w:lang w:val="de-DE"/>
        </w:rPr>
      </w:pPr>
      <w:bookmarkStart w:id="1421" w:name="_69_SharePoint_Server"/>
      <w:bookmarkStart w:id="1422" w:name="_74_72_SharePoint"/>
      <w:bookmarkStart w:id="1423" w:name="_79_SharePoint_Server"/>
      <w:bookmarkStart w:id="1424" w:name="_78_SharePoint_Server"/>
      <w:bookmarkStart w:id="1425" w:name="_Toc336338335"/>
      <w:bookmarkStart w:id="1426" w:name="Srv_65ShareptSvr10"/>
      <w:bookmarkStart w:id="1427" w:name="Srv_64OfficeShareptSvr10"/>
      <w:bookmarkStart w:id="1428" w:name="Srv_63OfficeShareptSvr07"/>
      <w:bookmarkStart w:id="1429" w:name="Srv_62OfficeShareptSvr07"/>
      <w:bookmarkStart w:id="1430" w:name="_Toc370983446"/>
      <w:bookmarkEnd w:id="1412"/>
      <w:bookmarkEnd w:id="1421"/>
      <w:bookmarkEnd w:id="1422"/>
      <w:bookmarkEnd w:id="1423"/>
      <w:bookmarkEnd w:id="1424"/>
      <w:r w:rsidRPr="00C83DF5">
        <w:rPr>
          <w:rFonts w:ascii="Tahoma" w:hAnsi="Tahoma" w:cs="Tahoma"/>
          <w:caps/>
          <w:color w:val="FA6500"/>
          <w:sz w:val="22"/>
          <w:vertAlign w:val="superscript"/>
          <w:lang w:val="de-DE"/>
        </w:rPr>
        <w:t>78</w:t>
      </w:r>
      <w:r w:rsidRPr="00225598">
        <w:rPr>
          <w:rFonts w:ascii="Tahoma" w:hAnsi="Tahoma" w:cs="Tahoma"/>
          <w:caps/>
          <w:color w:val="FA6500"/>
          <w:sz w:val="22"/>
          <w:lang w:val="de-DE"/>
        </w:rPr>
        <w:t xml:space="preserve"> </w:t>
      </w:r>
      <w:r w:rsidRPr="00C83DF5">
        <w:rPr>
          <w:rFonts w:ascii="Tahoma" w:hAnsi="Tahoma" w:cs="Tahoma"/>
          <w:color w:val="FA6500"/>
          <w:sz w:val="22"/>
          <w:lang w:val="de-DE"/>
        </w:rPr>
        <w:t xml:space="preserve">SharePoint Server </w:t>
      </w:r>
      <w:bookmarkEnd w:id="1425"/>
      <w:r w:rsidRPr="00C83DF5">
        <w:rPr>
          <w:rFonts w:ascii="Tahoma" w:hAnsi="Tahoma" w:cs="Tahoma"/>
          <w:color w:val="FA6500"/>
          <w:sz w:val="22"/>
          <w:lang w:val="de-DE"/>
        </w:rPr>
        <w:t>2013</w:t>
      </w:r>
      <w:bookmarkEnd w:id="1430"/>
      <w:r w:rsidRPr="00C83DF5">
        <w:rPr>
          <w:rFonts w:ascii="Tahoma" w:hAnsi="Tahoma" w:cs="Tahoma"/>
          <w:color w:val="FA6500"/>
          <w:sz w:val="22"/>
          <w:lang w:val="de-DE"/>
        </w:rPr>
        <w:t xml:space="preserve"> </w:t>
      </w:r>
    </w:p>
    <w:bookmarkEnd w:id="1426"/>
    <w:bookmarkEnd w:id="1427"/>
    <w:bookmarkEnd w:id="1428"/>
    <w:bookmarkEnd w:id="1429"/>
    <w:p w:rsidR="002F7FB8" w:rsidRPr="00C83DF5" w:rsidRDefault="002F7FB8" w:rsidP="002F7FB8">
      <w:pPr>
        <w:ind w:left="720"/>
        <w:rPr>
          <w:lang w:val="de-DE"/>
        </w:rPr>
      </w:pPr>
    </w:p>
    <w:p w:rsidR="002F7FB8" w:rsidRPr="00C83DF5" w:rsidRDefault="002F7FB8" w:rsidP="002F7FB8">
      <w:pPr>
        <w:ind w:left="720"/>
        <w:rPr>
          <w:lang w:val="de-DE"/>
        </w:rPr>
      </w:pPr>
      <w:r w:rsidRPr="00C83DF5">
        <w:rPr>
          <w:rFonts w:cs="Tahoma"/>
          <w:color w:val="000000"/>
          <w:szCs w:val="18"/>
          <w:lang w:val="de-DE"/>
        </w:rPr>
        <w:t>SharePoint Server 2013 ist die neueste Version von SharePoint Server.</w:t>
      </w:r>
    </w:p>
    <w:p w:rsidR="002F7FB8" w:rsidRPr="00DF3F89" w:rsidRDefault="002F7FB8" w:rsidP="002F7FB8">
      <w:pPr>
        <w:ind w:left="720"/>
        <w:rPr>
          <w:rFonts w:cs="Tahoma"/>
          <w:color w:val="000000"/>
          <w:szCs w:val="18"/>
          <w:u w:val="single"/>
          <w:lang w:val="de-DE"/>
        </w:rPr>
      </w:pPr>
    </w:p>
    <w:p w:rsidR="002F7FB8" w:rsidRPr="00C83DF5" w:rsidRDefault="002F7FB8" w:rsidP="007B699C">
      <w:pPr>
        <w:spacing w:after="60"/>
        <w:ind w:left="720"/>
        <w:rPr>
          <w:lang w:val="de-DE"/>
        </w:rPr>
      </w:pPr>
      <w:r w:rsidRPr="00C83DF5">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rsidR="002F7FB8" w:rsidRPr="00C83DF5" w:rsidRDefault="00CD0D74" w:rsidP="002F7FB8">
      <w:pPr>
        <w:ind w:left="720"/>
      </w:pPr>
      <w:r w:rsidRPr="00C83DF5">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w:t>
      </w:r>
      <w:r w:rsidR="00E71F46" w:rsidRPr="00C83DF5">
        <w:rPr>
          <w:rFonts w:cs="Tahoma"/>
          <w:color w:val="000000"/>
          <w:szCs w:val="18"/>
          <w:lang w:val="de-DE"/>
        </w:rPr>
        <w:t xml:space="preserve"> </w:t>
      </w:r>
      <w:r w:rsidRPr="00C83DF5">
        <w:rPr>
          <w:rFonts w:cs="Tahoma"/>
          <w:color w:val="000000"/>
          <w:szCs w:val="18"/>
          <w:lang w:val="de-DE"/>
        </w:rPr>
        <w:t xml:space="preserve">In Anbetracht dessen haben Kunden mit Lizenzen für SharePoint Server 2010 for Internet Sites Enterprise, SharePoint Server 2010 for Internet Sites Standard, FAST Search Server 2010 for SharePoint, Search Server 2010 mit aktiver Software Assurance zum 1. </w:t>
      </w:r>
      <w:r w:rsidRPr="00C83DF5">
        <w:rPr>
          <w:rFonts w:cs="Tahoma"/>
          <w:color w:val="000000"/>
          <w:szCs w:val="18"/>
        </w:rPr>
        <w:t>Oktober 2012 Anspruch auf die folgenden Lizenzgewährungen.</w:t>
      </w:r>
    </w:p>
    <w:p w:rsidR="007B35CE" w:rsidRPr="00C83DF5"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2F7FB8" w:rsidRPr="00C83DF5" w:rsidTr="000E4170">
        <w:trPr>
          <w:trHeight w:val="332"/>
        </w:trPr>
        <w:tc>
          <w:tcPr>
            <w:tcW w:w="4500" w:type="dxa"/>
            <w:shd w:val="clear" w:color="auto" w:fill="FABF8F"/>
          </w:tcPr>
          <w:p w:rsidR="002F7FB8" w:rsidRPr="00C83DF5" w:rsidRDefault="002F7FB8" w:rsidP="007E466C">
            <w:pPr>
              <w:keepNext/>
              <w:keepLines/>
              <w:spacing w:before="60" w:after="60"/>
              <w:rPr>
                <w:rFonts w:cs="Tahoma"/>
                <w:b/>
                <w:color w:val="000000"/>
                <w:szCs w:val="18"/>
              </w:rPr>
            </w:pPr>
            <w:r w:rsidRPr="00C83DF5">
              <w:rPr>
                <w:rFonts w:cs="Tahoma"/>
                <w:b/>
                <w:color w:val="000000"/>
                <w:szCs w:val="18"/>
              </w:rPr>
              <w:t>Kriterien für qualifizierende Lizenzen</w:t>
            </w:r>
          </w:p>
        </w:tc>
        <w:tc>
          <w:tcPr>
            <w:tcW w:w="3870" w:type="dxa"/>
            <w:shd w:val="clear" w:color="auto" w:fill="FABF8F"/>
          </w:tcPr>
          <w:p w:rsidR="002F7FB8" w:rsidRPr="00C83DF5" w:rsidRDefault="002F7FB8" w:rsidP="007E466C">
            <w:pPr>
              <w:keepNext/>
              <w:keepLines/>
              <w:spacing w:before="60" w:after="60"/>
              <w:rPr>
                <w:rFonts w:cs="Tahoma"/>
                <w:b/>
                <w:color w:val="000000"/>
                <w:szCs w:val="18"/>
              </w:rPr>
            </w:pPr>
            <w:r w:rsidRPr="00C83DF5">
              <w:rPr>
                <w:rFonts w:cs="Tahoma"/>
                <w:b/>
                <w:color w:val="000000"/>
                <w:szCs w:val="18"/>
              </w:rPr>
              <w:t>Zusätzliche Lizenzen und Vergünstigungen</w:t>
            </w:r>
          </w:p>
        </w:tc>
      </w:tr>
      <w:tr w:rsidR="00CD0D74" w:rsidRPr="004D388E" w:rsidTr="000E4170">
        <w:trPr>
          <w:trHeight w:val="70"/>
        </w:trPr>
        <w:tc>
          <w:tcPr>
            <w:tcW w:w="4500" w:type="dxa"/>
            <w:shd w:val="clear" w:color="auto" w:fill="auto"/>
          </w:tcPr>
          <w:p w:rsidR="00CD0D74" w:rsidRPr="00C83DF5" w:rsidRDefault="00CD0D74" w:rsidP="00225598">
            <w:pPr>
              <w:keepNext/>
              <w:keepLines/>
              <w:rPr>
                <w:rFonts w:cs="Tahoma"/>
                <w:color w:val="000000"/>
                <w:szCs w:val="18"/>
              </w:rPr>
            </w:pPr>
            <w:r w:rsidRPr="00767765">
              <w:rPr>
                <w:rFonts w:cs="Tahoma"/>
                <w:color w:val="000000"/>
                <w:szCs w:val="18"/>
                <w:lang w:val="de-DE"/>
              </w:rPr>
              <w:t>Lizenz für SharePoint Server 2010 for Internet Sites</w:t>
            </w:r>
            <w:r w:rsidR="00225598" w:rsidRPr="00767765">
              <w:rPr>
                <w:rFonts w:cs="Tahoma"/>
                <w:color w:val="000000"/>
                <w:szCs w:val="18"/>
                <w:lang w:val="de-DE"/>
              </w:rPr>
              <w:t> </w:t>
            </w:r>
            <w:r w:rsidRPr="00767765">
              <w:rPr>
                <w:rFonts w:cs="Tahoma"/>
                <w:color w:val="000000"/>
                <w:szCs w:val="18"/>
                <w:lang w:val="de-DE"/>
              </w:rPr>
              <w:t>Enterprise mit aktiver Software Assurance zum</w:t>
            </w:r>
            <w:r w:rsidR="00225598" w:rsidRPr="00767765">
              <w:rPr>
                <w:rFonts w:cs="Tahoma"/>
                <w:color w:val="000000"/>
                <w:szCs w:val="18"/>
                <w:lang w:val="de-DE"/>
              </w:rPr>
              <w:t> </w:t>
            </w:r>
            <w:r w:rsidRPr="00767765">
              <w:rPr>
                <w:rFonts w:cs="Tahoma"/>
                <w:color w:val="000000"/>
                <w:szCs w:val="18"/>
                <w:lang w:val="de-DE"/>
              </w:rPr>
              <w:t xml:space="preserve">1. </w:t>
            </w:r>
            <w:r w:rsidRPr="00C83DF5">
              <w:rPr>
                <w:rFonts w:cs="Tahoma"/>
                <w:color w:val="000000"/>
                <w:szCs w:val="18"/>
              </w:rPr>
              <w:t>Oktober 2012</w:t>
            </w:r>
          </w:p>
        </w:tc>
        <w:tc>
          <w:tcPr>
            <w:tcW w:w="3870" w:type="dxa"/>
            <w:shd w:val="clear" w:color="auto" w:fill="auto"/>
          </w:tcPr>
          <w:p w:rsidR="00CD0D74" w:rsidRPr="00C83DF5" w:rsidRDefault="00CD0D74" w:rsidP="00C066F9">
            <w:pPr>
              <w:keepNext/>
              <w:keepLines/>
              <w:rPr>
                <w:rFonts w:cs="Tahoma"/>
                <w:color w:val="000000"/>
                <w:szCs w:val="18"/>
                <w:lang w:val="de-DE"/>
              </w:rPr>
            </w:pPr>
            <w:r w:rsidRPr="00C83DF5">
              <w:rPr>
                <w:rFonts w:cs="Tahoma"/>
                <w:color w:val="000000"/>
                <w:szCs w:val="18"/>
                <w:lang w:val="de-DE"/>
              </w:rPr>
              <w:t>Eine Lizenz für SharePoint Server 2013</w:t>
            </w:r>
          </w:p>
        </w:tc>
      </w:tr>
      <w:tr w:rsidR="00CD0D74" w:rsidRPr="004D388E" w:rsidTr="000E4170">
        <w:trPr>
          <w:trHeight w:val="152"/>
        </w:trPr>
        <w:tc>
          <w:tcPr>
            <w:tcW w:w="4500" w:type="dxa"/>
            <w:shd w:val="clear" w:color="auto" w:fill="auto"/>
          </w:tcPr>
          <w:p w:rsidR="00CD0D74" w:rsidRPr="00225598" w:rsidRDefault="00CD0D74" w:rsidP="00225598">
            <w:pPr>
              <w:keepNext/>
              <w:keepLines/>
              <w:rPr>
                <w:rFonts w:cs="Tahoma"/>
                <w:color w:val="000000"/>
                <w:szCs w:val="18"/>
                <w:lang w:val="de-DE"/>
              </w:rPr>
            </w:pPr>
            <w:r w:rsidRPr="00C83DF5">
              <w:rPr>
                <w:rFonts w:cs="Tahoma"/>
                <w:color w:val="000000"/>
                <w:szCs w:val="18"/>
                <w:lang w:val="de-DE"/>
              </w:rPr>
              <w:t>Lizenz für SharePoint Server 2010 for Internet Sites</w:t>
            </w:r>
            <w:r w:rsidR="00225598">
              <w:rPr>
                <w:rFonts w:cs="Tahoma"/>
                <w:color w:val="000000"/>
                <w:szCs w:val="18"/>
                <w:lang w:val="de-DE"/>
              </w:rPr>
              <w:t> </w:t>
            </w:r>
            <w:r w:rsidRPr="00C83DF5">
              <w:rPr>
                <w:rFonts w:cs="Tahoma"/>
                <w:color w:val="000000"/>
                <w:szCs w:val="18"/>
                <w:lang w:val="de-DE"/>
              </w:rPr>
              <w:t>Standard mit aktiver Software Assurance zum</w:t>
            </w:r>
            <w:r w:rsidR="00225598">
              <w:rPr>
                <w:rFonts w:cs="Tahoma"/>
                <w:color w:val="000000"/>
                <w:szCs w:val="18"/>
                <w:lang w:val="de-DE"/>
              </w:rPr>
              <w:t> </w:t>
            </w:r>
            <w:r w:rsidRPr="00C83DF5">
              <w:rPr>
                <w:rFonts w:cs="Tahoma"/>
                <w:color w:val="000000"/>
                <w:szCs w:val="18"/>
                <w:lang w:val="de-DE"/>
              </w:rPr>
              <w:t>1.</w:t>
            </w:r>
            <w:r w:rsidR="00225598">
              <w:rPr>
                <w:rFonts w:cs="Tahoma"/>
                <w:color w:val="000000"/>
                <w:szCs w:val="18"/>
                <w:lang w:val="de-DE"/>
              </w:rPr>
              <w:t> </w:t>
            </w:r>
            <w:r w:rsidRPr="00225598">
              <w:rPr>
                <w:rFonts w:cs="Tahoma"/>
                <w:color w:val="000000"/>
                <w:szCs w:val="18"/>
                <w:lang w:val="de-DE"/>
              </w:rPr>
              <w:t xml:space="preserve">Oktober 2012 </w:t>
            </w:r>
          </w:p>
        </w:tc>
        <w:tc>
          <w:tcPr>
            <w:tcW w:w="3870" w:type="dxa"/>
            <w:shd w:val="clear" w:color="auto" w:fill="auto"/>
          </w:tcPr>
          <w:p w:rsidR="00CD0D74" w:rsidRPr="00C83DF5" w:rsidRDefault="00CD0D74" w:rsidP="00C066F9">
            <w:pPr>
              <w:keepNext/>
              <w:keepLines/>
              <w:rPr>
                <w:rFonts w:cs="Tahoma"/>
                <w:color w:val="000000"/>
                <w:szCs w:val="18"/>
                <w:lang w:val="de-DE"/>
              </w:rPr>
            </w:pPr>
            <w:r w:rsidRPr="00C83DF5">
              <w:rPr>
                <w:rFonts w:cs="Tahoma"/>
                <w:color w:val="000000"/>
                <w:szCs w:val="18"/>
                <w:lang w:val="de-DE"/>
              </w:rPr>
              <w:t>Eine Lizenz für SharePoint Server 2013</w:t>
            </w:r>
          </w:p>
        </w:tc>
      </w:tr>
      <w:tr w:rsidR="00CD0D74" w:rsidRPr="004D388E" w:rsidTr="000E4170">
        <w:trPr>
          <w:trHeight w:val="152"/>
        </w:trPr>
        <w:tc>
          <w:tcPr>
            <w:tcW w:w="4500" w:type="dxa"/>
            <w:shd w:val="clear" w:color="auto" w:fill="auto"/>
          </w:tcPr>
          <w:p w:rsidR="00CD0D74" w:rsidRPr="00C83DF5" w:rsidRDefault="00CD0D74" w:rsidP="00225598">
            <w:pPr>
              <w:keepNext/>
              <w:keepLines/>
              <w:rPr>
                <w:rFonts w:cs="Tahoma"/>
                <w:color w:val="000000"/>
                <w:szCs w:val="18"/>
              </w:rPr>
            </w:pPr>
            <w:r w:rsidRPr="00C83DF5">
              <w:rPr>
                <w:rFonts w:cs="Tahoma"/>
                <w:color w:val="000000"/>
                <w:szCs w:val="18"/>
                <w:lang w:val="de-DE"/>
              </w:rPr>
              <w:t>Lizenz für FAST Search Server 2010 for SharePoint Server mit aktiver Software Assurance zum 1.</w:t>
            </w:r>
            <w:r w:rsidR="00225598">
              <w:rPr>
                <w:rFonts w:cs="Tahoma"/>
                <w:color w:val="000000"/>
                <w:szCs w:val="18"/>
                <w:lang w:val="de-DE"/>
              </w:rPr>
              <w:t> </w:t>
            </w:r>
            <w:r w:rsidRPr="00C83DF5">
              <w:rPr>
                <w:rFonts w:cs="Tahoma"/>
                <w:color w:val="000000"/>
                <w:szCs w:val="18"/>
              </w:rPr>
              <w:t>Oktober 2012</w:t>
            </w:r>
          </w:p>
        </w:tc>
        <w:tc>
          <w:tcPr>
            <w:tcW w:w="3870" w:type="dxa"/>
            <w:shd w:val="clear" w:color="auto" w:fill="auto"/>
          </w:tcPr>
          <w:p w:rsidR="00CD0D74" w:rsidRPr="00C83DF5" w:rsidRDefault="00CD0D74" w:rsidP="00C066F9">
            <w:pPr>
              <w:keepNext/>
              <w:keepLines/>
              <w:rPr>
                <w:rFonts w:cs="Tahoma"/>
                <w:color w:val="000000"/>
                <w:szCs w:val="18"/>
                <w:lang w:val="de-DE"/>
              </w:rPr>
            </w:pPr>
            <w:r w:rsidRPr="00C83DF5">
              <w:rPr>
                <w:rFonts w:cs="Tahoma"/>
                <w:color w:val="000000"/>
                <w:szCs w:val="18"/>
                <w:lang w:val="de-DE"/>
              </w:rPr>
              <w:t>Eine Lizenz für SharePoint Server 2013</w:t>
            </w:r>
          </w:p>
        </w:tc>
      </w:tr>
      <w:tr w:rsidR="00CD0D74" w:rsidRPr="00C83DF5" w:rsidTr="000E4170">
        <w:trPr>
          <w:trHeight w:val="233"/>
        </w:trPr>
        <w:tc>
          <w:tcPr>
            <w:tcW w:w="4500" w:type="dxa"/>
            <w:shd w:val="clear" w:color="auto" w:fill="auto"/>
          </w:tcPr>
          <w:p w:rsidR="00CD0D74" w:rsidRPr="00C83DF5" w:rsidRDefault="00CD0D74" w:rsidP="003678D7">
            <w:pPr>
              <w:keepNext/>
              <w:keepLines/>
              <w:rPr>
                <w:rFonts w:cs="Tahoma"/>
                <w:color w:val="000000"/>
                <w:szCs w:val="18"/>
              </w:rPr>
            </w:pPr>
            <w:r w:rsidRPr="00C83DF5">
              <w:rPr>
                <w:rFonts w:cs="Tahoma"/>
                <w:color w:val="000000"/>
                <w:szCs w:val="18"/>
                <w:lang w:val="de-DE"/>
              </w:rPr>
              <w:t xml:space="preserve">Lizenz für Search Server 2010 mit aktiver Software Assurance zum 1. </w:t>
            </w:r>
            <w:r w:rsidRPr="00C83DF5">
              <w:rPr>
                <w:rFonts w:cs="Tahoma"/>
                <w:color w:val="000000"/>
                <w:szCs w:val="18"/>
              </w:rPr>
              <w:t>Oktober 2012</w:t>
            </w:r>
          </w:p>
        </w:tc>
        <w:tc>
          <w:tcPr>
            <w:tcW w:w="3870" w:type="dxa"/>
            <w:shd w:val="clear" w:color="auto" w:fill="auto"/>
          </w:tcPr>
          <w:p w:rsidR="00CD0D74" w:rsidRPr="00C83DF5" w:rsidRDefault="00CD0D74" w:rsidP="00C066F9">
            <w:pPr>
              <w:keepNext/>
              <w:keepLines/>
              <w:rPr>
                <w:lang w:val="de-DE"/>
              </w:rPr>
            </w:pPr>
            <w:r w:rsidRPr="00C83DF5">
              <w:rPr>
                <w:rFonts w:cs="Tahoma"/>
                <w:color w:val="000000"/>
                <w:szCs w:val="18"/>
                <w:lang w:val="de-DE"/>
              </w:rPr>
              <w:t xml:space="preserve">Eine Lizenz für SharePoint Server 2013 </w:t>
            </w:r>
            <w:r w:rsidRPr="00C83DF5">
              <w:rPr>
                <w:rFonts w:cs="Tahoma"/>
                <w:b/>
                <w:color w:val="000000"/>
                <w:szCs w:val="18"/>
                <w:lang w:val="de-DE"/>
              </w:rPr>
              <w:t>und</w:t>
            </w:r>
          </w:p>
          <w:p w:rsidR="00CD0D74" w:rsidRPr="00C83DF5" w:rsidRDefault="00CD0D74" w:rsidP="00C066F9">
            <w:pPr>
              <w:keepNext/>
              <w:keepLines/>
              <w:rPr>
                <w:lang w:val="de-DE"/>
              </w:rPr>
            </w:pPr>
          </w:p>
          <w:p w:rsidR="00CD0D74" w:rsidRPr="00C83DF5" w:rsidRDefault="00CD0D74" w:rsidP="00C066F9">
            <w:pPr>
              <w:keepNext/>
              <w:keepLines/>
              <w:rPr>
                <w:rFonts w:cs="Tahoma"/>
                <w:color w:val="000000"/>
                <w:szCs w:val="18"/>
              </w:rPr>
            </w:pPr>
            <w:r w:rsidRPr="00C83DF5">
              <w:rPr>
                <w:rFonts w:cs="Tahoma"/>
                <w:color w:val="000000"/>
                <w:szCs w:val="18"/>
              </w:rPr>
              <w:t>100 CALs für SharePoint Server 2013 Standard</w:t>
            </w:r>
          </w:p>
        </w:tc>
      </w:tr>
    </w:tbl>
    <w:p w:rsidR="00586FCE" w:rsidRPr="00C83DF5" w:rsidRDefault="00586FCE" w:rsidP="00586FCE"/>
    <w:p w:rsidR="002F7FB8" w:rsidRPr="00C83DF5" w:rsidRDefault="002F7FB8" w:rsidP="002F7FB8">
      <w:pPr>
        <w:ind w:left="720"/>
        <w:rPr>
          <w:lang w:val="de-DE"/>
        </w:rPr>
      </w:pPr>
      <w:r w:rsidRPr="00C83DF5">
        <w:rPr>
          <w:rFonts w:cs="Tahoma"/>
          <w:color w:val="000000"/>
          <w:szCs w:val="18"/>
          <w:lang w:val="de-DE"/>
        </w:rPr>
        <w:t>Die folgenden Bestimmungen gelten für die Lizenzgewährung oben.</w:t>
      </w:r>
    </w:p>
    <w:p w:rsidR="002F7FB8" w:rsidRPr="00DF3F89" w:rsidRDefault="002F7FB8" w:rsidP="002F7FB8">
      <w:pPr>
        <w:ind w:left="720"/>
        <w:rPr>
          <w:rFonts w:cs="Tahoma"/>
          <w:color w:val="000000"/>
          <w:szCs w:val="18"/>
          <w:lang w:val="de-DE"/>
        </w:rPr>
      </w:pPr>
    </w:p>
    <w:p w:rsidR="002F7FB8" w:rsidRPr="00A15CA1" w:rsidRDefault="002F7FB8" w:rsidP="006E3E31">
      <w:pPr>
        <w:numPr>
          <w:ilvl w:val="0"/>
          <w:numId w:val="101"/>
        </w:numPr>
        <w:spacing w:after="60"/>
        <w:ind w:left="1440"/>
        <w:rPr>
          <w:lang w:val="de-DE"/>
        </w:rPr>
      </w:pPr>
      <w:r w:rsidRPr="00C83DF5">
        <w:rPr>
          <w:rFonts w:cs="Tahoma"/>
          <w:bCs/>
          <w:color w:val="000000"/>
          <w:szCs w:val="18"/>
          <w:u w:val="single"/>
          <w:lang w:val="de-DE"/>
        </w:rPr>
        <w:t>Migrationspfad</w:t>
      </w:r>
      <w:r w:rsidRPr="00EF4DB9">
        <w:rPr>
          <w:rFonts w:cs="Tahoma"/>
          <w:color w:val="000000"/>
          <w:szCs w:val="18"/>
          <w:lang w:val="de-DE"/>
        </w:rPr>
        <w:t>:</w:t>
      </w:r>
      <w:r w:rsidRPr="00C83DF5">
        <w:rPr>
          <w:rFonts w:cs="Tahoma"/>
          <w:color w:val="000000"/>
          <w:szCs w:val="18"/>
          <w:lang w:val="de-DE"/>
        </w:rPr>
        <w:t xml:space="preserve"> Kunden mit aktiver Software Assurance für eine bestimmte Qualifizierende Lizenz</w:t>
      </w:r>
      <w:r w:rsidR="006E3E31">
        <w:rPr>
          <w:rFonts w:cs="Tahoma"/>
          <w:color w:val="000000"/>
          <w:szCs w:val="18"/>
          <w:lang w:val="de-DE"/>
        </w:rPr>
        <w:t> </w:t>
      </w:r>
      <w:r w:rsidRPr="00C83DF5">
        <w:rPr>
          <w:rFonts w:cs="Tahoma"/>
          <w:color w:val="000000"/>
          <w:szCs w:val="18"/>
          <w:lang w:val="de-DE"/>
        </w:rPr>
        <w:t>zum 1. Oktober 2012 sind nach Freigabe von SharePoint Server 2013 berechtigt, unter</w:t>
      </w:r>
      <w:r w:rsidR="006E3E31">
        <w:rPr>
          <w:rFonts w:cs="Tahoma"/>
          <w:color w:val="000000"/>
          <w:szCs w:val="18"/>
          <w:lang w:val="de-DE"/>
        </w:rPr>
        <w:t> </w:t>
      </w:r>
      <w:r w:rsidRPr="00C83DF5">
        <w:rPr>
          <w:rFonts w:cs="Tahoma"/>
          <w:color w:val="000000"/>
          <w:szCs w:val="18"/>
          <w:lang w:val="de-DE"/>
        </w:rPr>
        <w:t>der</w:t>
      </w:r>
      <w:r w:rsidR="006E3E31">
        <w:rPr>
          <w:rFonts w:cs="Tahoma"/>
          <w:color w:val="000000"/>
          <w:szCs w:val="18"/>
          <w:lang w:val="de-DE"/>
        </w:rPr>
        <w:t> </w:t>
      </w:r>
      <w:r w:rsidRPr="00C83DF5">
        <w:rPr>
          <w:rFonts w:cs="Tahoma"/>
          <w:color w:val="000000"/>
          <w:szCs w:val="18"/>
          <w:lang w:val="de-DE"/>
        </w:rPr>
        <w:t>Zusätzlichen Lizenz auf die Software SharePoint 2013 upzugraden und sie anstelle der</w:t>
      </w:r>
      <w:r w:rsidR="006E3E31">
        <w:rPr>
          <w:rFonts w:cs="Tahoma"/>
          <w:color w:val="000000"/>
          <w:szCs w:val="18"/>
          <w:lang w:val="de-DE"/>
        </w:rPr>
        <w:t> </w:t>
      </w:r>
      <w:r w:rsidRPr="00C83DF5">
        <w:rPr>
          <w:rFonts w:cs="Tahoma"/>
          <w:color w:val="000000"/>
          <w:szCs w:val="18"/>
          <w:lang w:val="de-DE"/>
        </w:rPr>
        <w:t>entsprechenden lizenzierten Kopie der 2010-Software zu verwenden.</w:t>
      </w:r>
      <w:r w:rsidR="00E71F46" w:rsidRPr="00C83DF5">
        <w:rPr>
          <w:rFonts w:cs="Tahoma"/>
          <w:color w:val="000000"/>
          <w:szCs w:val="18"/>
          <w:lang w:val="de-DE"/>
        </w:rPr>
        <w:t xml:space="preserve"> </w:t>
      </w:r>
    </w:p>
    <w:p w:rsidR="00A15CA1" w:rsidRDefault="00A15CA1" w:rsidP="00A15CA1">
      <w:pPr>
        <w:spacing w:after="60"/>
        <w:rPr>
          <w:lang w:val="de-DE"/>
        </w:rPr>
      </w:pPr>
    </w:p>
    <w:p w:rsidR="000E4170" w:rsidRPr="00C83DF5" w:rsidRDefault="000E4170" w:rsidP="00A15CA1">
      <w:pPr>
        <w:spacing w:after="60"/>
        <w:rPr>
          <w:lang w:val="de-DE"/>
        </w:rPr>
      </w:pPr>
    </w:p>
    <w:p w:rsidR="002F7FB8" w:rsidRPr="00C83DF5" w:rsidRDefault="002F7FB8" w:rsidP="006A7BA0">
      <w:pPr>
        <w:numPr>
          <w:ilvl w:val="0"/>
          <w:numId w:val="101"/>
        </w:numPr>
        <w:spacing w:after="60"/>
        <w:ind w:left="1440"/>
        <w:rPr>
          <w:lang w:val="de-DE"/>
        </w:rPr>
      </w:pPr>
      <w:r w:rsidRPr="00C83DF5">
        <w:rPr>
          <w:rFonts w:cs="Tahoma"/>
          <w:color w:val="000000"/>
          <w:szCs w:val="18"/>
          <w:u w:val="single"/>
          <w:lang w:val="de-DE"/>
        </w:rPr>
        <w:t>Nutzungsrechte</w:t>
      </w:r>
      <w:r w:rsidRPr="00C83DF5">
        <w:rPr>
          <w:rFonts w:cs="Tahoma"/>
          <w:color w:val="000000"/>
          <w:szCs w:val="18"/>
          <w:lang w:val="de-DE"/>
        </w:rPr>
        <w:t>: Das Recht zur Nutzung der Software unter der Zusätzlichen Lizenz unter diesem Angebot gilt bis zum Ablauf des Rechts zur Nutzung der Software unter der Qualifizierenden Lizenz.</w:t>
      </w:r>
      <w:r w:rsidR="00E71F46" w:rsidRPr="00C83DF5">
        <w:rPr>
          <w:rFonts w:cs="Tahoma"/>
          <w:color w:val="000000"/>
          <w:szCs w:val="18"/>
          <w:lang w:val="de-DE"/>
        </w:rPr>
        <w:t xml:space="preserve"> </w:t>
      </w:r>
      <w:r w:rsidRPr="00C83DF5">
        <w:rPr>
          <w:rFonts w:cs="Tahoma"/>
          <w:color w:val="000000"/>
          <w:szCs w:val="18"/>
          <w:lang w:val="de-DE"/>
        </w:rPr>
        <w:lastRenderedPageBreak/>
        <w:t>Die Nutzung dieser Software unterliegt den Nutzungsrechten für die Software sowie den Bestimmungen des Volumenlizenzvertrages des Kunden.</w:t>
      </w:r>
      <w:r w:rsidR="00E71F46" w:rsidRPr="00C83DF5">
        <w:rPr>
          <w:rFonts w:cs="Tahoma"/>
          <w:color w:val="000000"/>
          <w:szCs w:val="18"/>
          <w:lang w:val="de-DE"/>
        </w:rPr>
        <w:t xml:space="preserve"> </w:t>
      </w:r>
      <w:r w:rsidRPr="00C83DF5">
        <w:rPr>
          <w:rFonts w:cs="Tahoma"/>
          <w:color w:val="000000"/>
          <w:szCs w:val="18"/>
          <w:lang w:val="de-DE"/>
        </w:rPr>
        <w:t>Dieser Hinweis auf die Produktbedingungen und der Nachweis des Kunden über die entsprechende Qualifizierende Lizenz</w:t>
      </w:r>
      <w:r w:rsidR="006A7BA0">
        <w:rPr>
          <w:rFonts w:cs="Tahoma"/>
          <w:color w:val="000000"/>
          <w:szCs w:val="18"/>
          <w:lang w:val="de-DE"/>
        </w:rPr>
        <w:t> </w:t>
      </w:r>
      <w:r w:rsidRPr="00C83DF5">
        <w:rPr>
          <w:rFonts w:cs="Tahoma"/>
          <w:color w:val="000000"/>
          <w:szCs w:val="18"/>
          <w:lang w:val="de-DE"/>
        </w:rPr>
        <w:t>und Software Assurance belegen zusammen das Recht zur Nutzung der Software unter der</w:t>
      </w:r>
      <w:r w:rsidR="006A7BA0">
        <w:rPr>
          <w:rFonts w:cs="Tahoma"/>
          <w:color w:val="000000"/>
          <w:szCs w:val="18"/>
          <w:lang w:val="de-DE"/>
        </w:rPr>
        <w:t> </w:t>
      </w:r>
      <w:r w:rsidRPr="00C83DF5">
        <w:rPr>
          <w:rFonts w:cs="Tahoma"/>
          <w:color w:val="000000"/>
          <w:szCs w:val="18"/>
          <w:lang w:val="de-DE"/>
        </w:rPr>
        <w:t xml:space="preserve">Zusätzlichen Lizenz unter diesem Angebot. </w:t>
      </w:r>
    </w:p>
    <w:p w:rsidR="002F7FB8" w:rsidRPr="00C83DF5" w:rsidRDefault="002F7FB8" w:rsidP="006A7BA0">
      <w:pPr>
        <w:numPr>
          <w:ilvl w:val="0"/>
          <w:numId w:val="8"/>
        </w:numPr>
        <w:spacing w:after="60"/>
        <w:ind w:left="1440"/>
        <w:rPr>
          <w:lang w:val="de-DE"/>
        </w:rPr>
      </w:pPr>
      <w:r w:rsidRPr="00C83DF5">
        <w:rPr>
          <w:rFonts w:cs="Tahoma"/>
          <w:color w:val="000000"/>
          <w:szCs w:val="18"/>
          <w:u w:val="single"/>
          <w:lang w:val="de-DE"/>
        </w:rPr>
        <w:t>Lizenz und Software Assurance</w:t>
      </w:r>
      <w:r w:rsidRPr="00C83DF5">
        <w:rPr>
          <w:rFonts w:cs="Tahoma"/>
          <w:color w:val="000000"/>
          <w:szCs w:val="18"/>
          <w:lang w:val="de-DE"/>
        </w:rPr>
        <w:t>: Die Zusätzliche Lizenz enthält Software Assurance.</w:t>
      </w:r>
      <w:r w:rsidR="00E71F46" w:rsidRPr="00C83DF5">
        <w:rPr>
          <w:rFonts w:cs="Tahoma"/>
          <w:color w:val="000000"/>
          <w:szCs w:val="18"/>
          <w:lang w:val="de-DE"/>
        </w:rPr>
        <w:t xml:space="preserve"> </w:t>
      </w:r>
      <w:r w:rsidRPr="00C83DF5">
        <w:rPr>
          <w:rFonts w:cs="Tahoma"/>
          <w:color w:val="000000"/>
          <w:szCs w:val="18"/>
          <w:lang w:val="de-DE"/>
        </w:rPr>
        <w:t>Software Assurance für die Zusätzliche Lizenz gilt bis zum Ablauf der Software Assurance für die Qualifizierende Lizenz.</w:t>
      </w:r>
      <w:r w:rsidR="00E71F46" w:rsidRPr="00C83DF5">
        <w:rPr>
          <w:rFonts w:cs="Tahoma"/>
          <w:color w:val="000000"/>
          <w:szCs w:val="18"/>
          <w:lang w:val="de-DE"/>
        </w:rPr>
        <w:t xml:space="preserve"> </w:t>
      </w:r>
      <w:r w:rsidRPr="00C83DF5">
        <w:rPr>
          <w:rFonts w:cs="Tahoma"/>
          <w:color w:val="000000"/>
          <w:szCs w:val="18"/>
          <w:lang w:val="de-DE"/>
        </w:rPr>
        <w:t>Nach Ablauf von Software Assurance für die Qualifizierende Lizenz kann der</w:t>
      </w:r>
      <w:r w:rsidR="006A7BA0">
        <w:rPr>
          <w:rFonts w:cs="Tahoma"/>
          <w:color w:val="000000"/>
          <w:szCs w:val="18"/>
          <w:lang w:val="de-DE"/>
        </w:rPr>
        <w:t> </w:t>
      </w:r>
      <w:r w:rsidRPr="00C83DF5">
        <w:rPr>
          <w:rFonts w:cs="Tahoma"/>
          <w:color w:val="000000"/>
          <w:szCs w:val="18"/>
          <w:lang w:val="de-DE"/>
        </w:rPr>
        <w:t>Kunde Software Assurance für die Zusätzliche Lizenz verlängern, ohne separat eine neue Lizenz</w:t>
      </w:r>
      <w:r w:rsidR="00DF3F89">
        <w:rPr>
          <w:rFonts w:cs="Tahoma"/>
          <w:color w:val="000000"/>
          <w:szCs w:val="18"/>
          <w:lang w:val="de-DE"/>
        </w:rPr>
        <w:t xml:space="preserve"> </w:t>
      </w:r>
      <w:r w:rsidRPr="00C83DF5">
        <w:rPr>
          <w:rFonts w:cs="Tahoma"/>
          <w:color w:val="000000"/>
          <w:szCs w:val="18"/>
          <w:lang w:val="de-DE"/>
        </w:rPr>
        <w:t>erwerben zu müssen.</w:t>
      </w:r>
    </w:p>
    <w:p w:rsidR="002F7FB8" w:rsidRPr="00C83DF5" w:rsidRDefault="002F7FB8" w:rsidP="006A7BA0">
      <w:pPr>
        <w:numPr>
          <w:ilvl w:val="0"/>
          <w:numId w:val="102"/>
        </w:numPr>
        <w:spacing w:after="60"/>
        <w:ind w:left="1440"/>
        <w:rPr>
          <w:lang w:val="de-DE"/>
        </w:rPr>
      </w:pPr>
      <w:r w:rsidRPr="00C83DF5">
        <w:rPr>
          <w:rFonts w:eastAsia="Calibri" w:cs="Tahoma"/>
          <w:color w:val="000000"/>
          <w:szCs w:val="18"/>
          <w:u w:val="single"/>
          <w:lang w:val="de-DE"/>
        </w:rPr>
        <w:t>True Ups</w:t>
      </w:r>
      <w:r w:rsidRPr="00A15CA1">
        <w:rPr>
          <w:rFonts w:eastAsia="Calibri" w:cs="Tahoma"/>
          <w:bCs/>
          <w:color w:val="000000"/>
          <w:szCs w:val="18"/>
          <w:lang w:val="de-DE"/>
        </w:rPr>
        <w:t>.</w:t>
      </w:r>
      <w:r w:rsidR="00E71F46" w:rsidRPr="00C83DF5">
        <w:rPr>
          <w:rFonts w:eastAsia="Calibri" w:cs="Tahoma"/>
          <w:color w:val="000000"/>
          <w:szCs w:val="18"/>
          <w:lang w:val="de-DE"/>
        </w:rPr>
        <w:t xml:space="preserve"> </w:t>
      </w:r>
      <w:r w:rsidRPr="00C83DF5">
        <w:rPr>
          <w:rFonts w:eastAsia="Calibri" w:cs="Tahoma"/>
          <w:color w:val="000000"/>
          <w:szCs w:val="18"/>
          <w:lang w:val="de-DE"/>
        </w:rPr>
        <w:t>Bei Kunden mit Konzernvertrag, die zu diesen oben beschriebenen Zusätzlichen Lizenzen</w:t>
      </w:r>
      <w:r w:rsidR="006A7BA0">
        <w:rPr>
          <w:rFonts w:eastAsia="Calibri" w:cs="Tahoma"/>
          <w:color w:val="000000"/>
          <w:szCs w:val="18"/>
          <w:lang w:val="de-DE"/>
        </w:rPr>
        <w:t> </w:t>
      </w:r>
      <w:r w:rsidRPr="00C83DF5">
        <w:rPr>
          <w:rFonts w:eastAsia="Calibri" w:cs="Tahoma"/>
          <w:color w:val="000000"/>
          <w:szCs w:val="18"/>
          <w:lang w:val="de-DE"/>
        </w:rPr>
        <w:t xml:space="preserve">und Rechten berechtigt sind, gelten Lizenzen für SharePoint Server 2010 for Internet Sites Enterprise, SharePoint Server 2010 for Internet Sites Standard </w:t>
      </w:r>
      <w:r w:rsidRPr="00C83DF5">
        <w:rPr>
          <w:rFonts w:cs="Tahoma"/>
          <w:color w:val="000000"/>
          <w:szCs w:val="20"/>
          <w:lang w:val="de-DE"/>
        </w:rPr>
        <w:t xml:space="preserve">und FAST Search Server 2010 for SharePoint Server, </w:t>
      </w:r>
      <w:r w:rsidRPr="00C83DF5">
        <w:rPr>
          <w:rFonts w:eastAsia="Calibri" w:cs="Tahoma"/>
          <w:color w:val="000000"/>
          <w:szCs w:val="18"/>
          <w:lang w:val="de-DE"/>
        </w:rPr>
        <w:t xml:space="preserve">die unter dem jährlichen True Up-Prozess erworben wurden, </w:t>
      </w:r>
      <w:r w:rsidRPr="00C83DF5">
        <w:rPr>
          <w:rFonts w:cs="Tahoma"/>
          <w:color w:val="000000"/>
          <w:szCs w:val="18"/>
          <w:lang w:val="de-DE"/>
        </w:rPr>
        <w:t xml:space="preserve">ebenfalls als Qualifizierende Lizenzen. </w:t>
      </w:r>
    </w:p>
    <w:p w:rsidR="002F7FB8" w:rsidRPr="00C83DF5" w:rsidRDefault="002F7FB8" w:rsidP="006A7BA0">
      <w:pPr>
        <w:numPr>
          <w:ilvl w:val="0"/>
          <w:numId w:val="102"/>
        </w:numPr>
        <w:spacing w:after="60"/>
        <w:ind w:left="1440"/>
        <w:rPr>
          <w:lang w:val="de-DE"/>
        </w:rPr>
      </w:pPr>
      <w:r w:rsidRPr="00C83DF5">
        <w:rPr>
          <w:rFonts w:cs="Tahoma"/>
          <w:color w:val="000000"/>
          <w:szCs w:val="18"/>
          <w:u w:val="single"/>
          <w:lang w:val="de-DE"/>
        </w:rPr>
        <w:t>Abonnement-Verträge</w:t>
      </w:r>
      <w:r w:rsidRPr="00A15CA1">
        <w:rPr>
          <w:rFonts w:cs="Tahoma"/>
          <w:color w:val="000000"/>
          <w:szCs w:val="18"/>
          <w:lang w:val="de-DE"/>
        </w:rPr>
        <w:t>.</w:t>
      </w:r>
      <w:r w:rsidR="00E71F46" w:rsidRPr="00C83DF5">
        <w:rPr>
          <w:rFonts w:cs="Tahoma"/>
          <w:color w:val="000000"/>
          <w:szCs w:val="18"/>
          <w:lang w:val="de-DE"/>
        </w:rPr>
        <w:t xml:space="preserve"> </w:t>
      </w:r>
      <w:r w:rsidRPr="00C83DF5">
        <w:rPr>
          <w:rFonts w:cs="Tahoma"/>
          <w:color w:val="000000"/>
          <w:szCs w:val="18"/>
          <w:lang w:val="de-DE"/>
        </w:rPr>
        <w:t xml:space="preserve">Für Konzern-Abonnement-Verträge, </w:t>
      </w:r>
      <w:r w:rsidRPr="00C83DF5">
        <w:rPr>
          <w:rFonts w:cs="Tahoma"/>
          <w:szCs w:val="18"/>
          <w:lang w:val="de-DE"/>
        </w:rPr>
        <w:t>Open Value Subscription-Verträge, Campus- und School-Verträge, Beitritt für Bildungslösungen und Open Value Subscription – Bildungslösungen-Verträge werden vorübergehend unter denselben Bedingungen</w:t>
      </w:r>
      <w:r w:rsidRPr="00C83DF5">
        <w:rPr>
          <w:rFonts w:cs="Tahoma"/>
          <w:color w:val="000000"/>
          <w:szCs w:val="18"/>
          <w:lang w:val="de-DE"/>
        </w:rPr>
        <w:t xml:space="preserve"> bis zum Ende der</w:t>
      </w:r>
      <w:r w:rsidR="006A7BA0">
        <w:rPr>
          <w:rFonts w:cs="Tahoma"/>
          <w:color w:val="000000"/>
          <w:szCs w:val="18"/>
          <w:lang w:val="de-DE"/>
        </w:rPr>
        <w:t> </w:t>
      </w:r>
      <w:r w:rsidRPr="00C83DF5">
        <w:rPr>
          <w:rFonts w:cs="Tahoma"/>
          <w:color w:val="000000"/>
          <w:szCs w:val="18"/>
          <w:lang w:val="de-DE"/>
        </w:rPr>
        <w:t>aktuellen Beitrittslaufzeit (bzw. Vertragslaufzeit im Falle von Open Value) die gleichen Rechte gewährt.</w:t>
      </w:r>
      <w:r w:rsidR="00E71F46" w:rsidRPr="00C83DF5">
        <w:rPr>
          <w:rFonts w:cs="Tahoma"/>
          <w:color w:val="000000"/>
          <w:szCs w:val="18"/>
          <w:lang w:val="de-DE"/>
        </w:rPr>
        <w:t xml:space="preserve"> </w:t>
      </w:r>
      <w:r w:rsidRPr="00C83DF5">
        <w:rPr>
          <w:rFonts w:cs="Tahoma"/>
          <w:color w:val="000000"/>
          <w:szCs w:val="18"/>
          <w:lang w:val="de-DE"/>
        </w:rPr>
        <w:t>Der Kunde muss das Abonnement ununterbrochen aufrechterhalten.</w:t>
      </w:r>
      <w:r w:rsidR="00E71F46" w:rsidRPr="00C83DF5">
        <w:rPr>
          <w:rFonts w:cs="Tahoma"/>
          <w:color w:val="000000"/>
          <w:szCs w:val="18"/>
          <w:lang w:val="de-DE"/>
        </w:rPr>
        <w:t xml:space="preserve"> </w:t>
      </w:r>
      <w:r w:rsidRPr="00C83DF5">
        <w:rPr>
          <w:rFonts w:cs="Tahoma"/>
          <w:color w:val="000000"/>
          <w:szCs w:val="18"/>
          <w:lang w:val="de-DE"/>
        </w:rPr>
        <w:t>Diese Rechte werden erst nach Ausübung der Buy-Out-Option zeitlich unbeschränkt und unterliegen weiterhin allen Bestimmungen des Lizenzvertrages des Kunden.</w:t>
      </w:r>
    </w:p>
    <w:p w:rsidR="002F7FB8" w:rsidRPr="00C83DF5" w:rsidRDefault="002F7FB8" w:rsidP="00346F4B">
      <w:pPr>
        <w:numPr>
          <w:ilvl w:val="0"/>
          <w:numId w:val="103"/>
        </w:numPr>
        <w:spacing w:after="60"/>
        <w:ind w:left="1440"/>
        <w:rPr>
          <w:lang w:val="de-DE"/>
        </w:rPr>
      </w:pPr>
      <w:r w:rsidRPr="00C83DF5">
        <w:rPr>
          <w:rFonts w:cs="Tahoma"/>
          <w:szCs w:val="18"/>
          <w:u w:val="single"/>
          <w:lang w:val="de-DE"/>
        </w:rPr>
        <w:t>Übergänge für Campus- und School-Verträge</w:t>
      </w:r>
      <w:r w:rsidRPr="00A15CA1">
        <w:rPr>
          <w:rFonts w:cs="Tahoma"/>
          <w:szCs w:val="18"/>
          <w:lang w:val="de-DE"/>
        </w:rPr>
        <w:t>.</w:t>
      </w:r>
      <w:r w:rsidRPr="00C83DF5">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2F7FB8" w:rsidRPr="00C83DF5" w:rsidRDefault="002F7FB8" w:rsidP="006A7BA0">
      <w:pPr>
        <w:pStyle w:val="ListParagraph"/>
        <w:numPr>
          <w:ilvl w:val="0"/>
          <w:numId w:val="87"/>
        </w:numPr>
        <w:spacing w:after="60"/>
        <w:ind w:left="1800"/>
        <w:rPr>
          <w:lang w:val="de-DE"/>
        </w:rPr>
      </w:pPr>
      <w:r w:rsidRPr="00C83DF5">
        <w:rPr>
          <w:rFonts w:ascii="Tahoma" w:hAnsi="Tahoma" w:cs="Tahoma"/>
          <w:sz w:val="18"/>
          <w:szCs w:val="18"/>
          <w:lang w:val="de-DE"/>
        </w:rPr>
        <w:t>Bis zum Ende des Beitritts für Bildungslösungen bzw. des Open Value Subscription – Bildungslösungen-Vertrages werden vorübergehend unter denselben Bedingungen die gleichen</w:t>
      </w:r>
      <w:r w:rsidR="006A7BA0">
        <w:rPr>
          <w:rFonts w:ascii="Tahoma" w:hAnsi="Tahoma" w:cs="Tahoma"/>
          <w:sz w:val="18"/>
          <w:szCs w:val="18"/>
          <w:lang w:val="de-DE"/>
        </w:rPr>
        <w:t> </w:t>
      </w:r>
      <w:r w:rsidRPr="00C83DF5">
        <w:rPr>
          <w:rFonts w:ascii="Tahoma" w:hAnsi="Tahoma" w:cs="Tahoma"/>
          <w:sz w:val="18"/>
          <w:szCs w:val="18"/>
          <w:lang w:val="de-DE"/>
        </w:rPr>
        <w:t xml:space="preserve">Rechte gewährt. </w:t>
      </w:r>
    </w:p>
    <w:p w:rsidR="002512D3" w:rsidRPr="00C83DF5" w:rsidRDefault="002F7FB8" w:rsidP="00346F4B">
      <w:pPr>
        <w:pStyle w:val="ListParagraph"/>
        <w:numPr>
          <w:ilvl w:val="0"/>
          <w:numId w:val="87"/>
        </w:numPr>
        <w:spacing w:after="60"/>
        <w:ind w:left="1800"/>
        <w:rPr>
          <w:lang w:val="de-DE"/>
        </w:rPr>
      </w:pPr>
      <w:r w:rsidRPr="00C83DF5">
        <w:rPr>
          <w:rFonts w:ascii="Tahoma" w:hAnsi="Tahoma" w:cs="Tahoma"/>
          <w:sz w:val="18"/>
          <w:szCs w:val="18"/>
          <w:lang w:val="de-DE"/>
        </w:rPr>
        <w:t>Diese Rechte werden erst nach Ausübung der Buy-Out-Option zeitlich unbeschränkt und unterliegen weiterhin allen Bestimmungen des Lizenzvertrages des Kunden.</w:t>
      </w:r>
    </w:p>
    <w:p w:rsidR="0004051B" w:rsidRPr="00DF3F89" w:rsidRDefault="0004051B" w:rsidP="0004051B">
      <w:pPr>
        <w:ind w:left="720"/>
        <w:rPr>
          <w:rFonts w:cs="Tahoma"/>
          <w:color w:val="000000"/>
          <w:szCs w:val="18"/>
          <w:lang w:val="de-DE"/>
        </w:rPr>
      </w:pPr>
    </w:p>
    <w:p w:rsidR="002F7FB8" w:rsidRPr="00C83DF5" w:rsidRDefault="002F7FB8" w:rsidP="007B699C">
      <w:pPr>
        <w:spacing w:after="60"/>
        <w:ind w:left="720"/>
        <w:rPr>
          <w:lang w:val="de-DE"/>
        </w:rPr>
      </w:pPr>
      <w:r w:rsidRPr="00C83DF5">
        <w:rPr>
          <w:rFonts w:cs="Tahoma"/>
          <w:b/>
          <w:color w:val="000000"/>
          <w:szCs w:val="18"/>
          <w:lang w:val="de-DE"/>
        </w:rPr>
        <w:t>Besondere Downgraderechte für Office SharePoint Server 2013</w:t>
      </w:r>
    </w:p>
    <w:p w:rsidR="002F7FB8" w:rsidRPr="00C83DF5" w:rsidRDefault="002F7FB8" w:rsidP="002F7FB8">
      <w:pPr>
        <w:ind w:left="720"/>
        <w:rPr>
          <w:lang w:val="de-DE"/>
        </w:rPr>
      </w:pPr>
      <w:r w:rsidRPr="00C83DF5">
        <w:rPr>
          <w:rFonts w:cs="Tahoma"/>
          <w:szCs w:val="18"/>
          <w:lang w:val="de-DE"/>
        </w:rPr>
        <w:t>Kunden mit Lizenzen für SharePoint 2013 dürfen anstelle von Produkten, die in der Tabelle unten aufgeführt sind, SharePoint 2013 wie folgt nutzen und darauf zugreifen:</w:t>
      </w:r>
    </w:p>
    <w:p w:rsidR="002F7FB8" w:rsidRPr="00C83DF5" w:rsidRDefault="002F7FB8" w:rsidP="002F7FB8">
      <w:pPr>
        <w:ind w:left="810"/>
        <w:rPr>
          <w:lang w:val="de-DE"/>
        </w:rPr>
      </w:pPr>
      <w:r w:rsidRPr="00C83DF5">
        <w:rPr>
          <w:rFonts w:cs="Tahoma"/>
          <w:color w:val="FF0000"/>
          <w:szCs w:val="18"/>
          <w:lang w:val="de-DE"/>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C83DF5"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C83DF5" w:rsidRDefault="00BD1A6A" w:rsidP="007E466C">
            <w:pPr>
              <w:spacing w:before="60" w:after="60"/>
              <w:ind w:left="162"/>
              <w:rPr>
                <w:rFonts w:cs="Tahoma"/>
                <w:b/>
                <w:bCs/>
                <w:color w:val="000000"/>
                <w:szCs w:val="18"/>
              </w:rPr>
            </w:pPr>
            <w:r w:rsidRPr="00C83DF5">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C83DF5" w:rsidRDefault="00BD1A6A" w:rsidP="007E466C">
            <w:pPr>
              <w:spacing w:before="60" w:after="60"/>
              <w:ind w:left="180"/>
              <w:rPr>
                <w:rFonts w:cs="Tahoma"/>
                <w:b/>
                <w:bCs/>
                <w:color w:val="000000"/>
                <w:szCs w:val="18"/>
              </w:rPr>
            </w:pPr>
            <w:r w:rsidRPr="00C83DF5">
              <w:rPr>
                <w:rFonts w:cs="Tahoma"/>
                <w:b/>
                <w:bCs/>
                <w:color w:val="000000"/>
                <w:szCs w:val="18"/>
              </w:rPr>
              <w:t>Downgrade auf</w:t>
            </w:r>
          </w:p>
        </w:tc>
      </w:tr>
      <w:tr w:rsidR="00BD1A6A" w:rsidRPr="00C83DF5"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C83DF5" w:rsidRDefault="00BD1A6A" w:rsidP="00722522">
            <w:pPr>
              <w:ind w:left="162"/>
              <w:rPr>
                <w:rFonts w:cs="Tahoma"/>
                <w:color w:val="000000"/>
                <w:szCs w:val="18"/>
              </w:rPr>
            </w:pPr>
            <w:r w:rsidRPr="00C83DF5">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rsidR="00BD1A6A" w:rsidRPr="00C83DF5" w:rsidRDefault="00BD1A6A" w:rsidP="00F249BF">
            <w:pPr>
              <w:ind w:left="162" w:right="180"/>
            </w:pPr>
            <w:r w:rsidRPr="00C83DF5">
              <w:rPr>
                <w:rFonts w:cs="Tahoma"/>
                <w:color w:val="000000"/>
                <w:szCs w:val="18"/>
              </w:rPr>
              <w:t xml:space="preserve">SharePoint Server 2010 </w:t>
            </w:r>
            <w:r w:rsidRPr="00C83DF5">
              <w:rPr>
                <w:rFonts w:cs="Tahoma"/>
                <w:b/>
                <w:color w:val="000000"/>
                <w:szCs w:val="18"/>
              </w:rPr>
              <w:t>oder</w:t>
            </w:r>
          </w:p>
          <w:p w:rsidR="00BD1A6A" w:rsidRPr="00C83DF5" w:rsidRDefault="00BD1A6A" w:rsidP="002C3AB1">
            <w:pPr>
              <w:ind w:left="162" w:right="180"/>
              <w:rPr>
                <w:rFonts w:cs="Tahoma"/>
                <w:color w:val="000000"/>
                <w:szCs w:val="18"/>
              </w:rPr>
            </w:pPr>
            <w:r w:rsidRPr="00C83DF5">
              <w:rPr>
                <w:rFonts w:cs="Tahoma"/>
                <w:color w:val="000000"/>
                <w:szCs w:val="18"/>
              </w:rPr>
              <w:t xml:space="preserve">FAST Search Server 2010 for SharePoint Server </w:t>
            </w:r>
          </w:p>
        </w:tc>
      </w:tr>
    </w:tbl>
    <w:p w:rsidR="002F7FB8" w:rsidRPr="00C83DF5" w:rsidRDefault="00E71F46" w:rsidP="002F7FB8">
      <w:pPr>
        <w:ind w:left="810"/>
      </w:pPr>
      <w:r w:rsidRPr="00C83DF5">
        <w:rPr>
          <w:rFonts w:cs="Tahoma"/>
          <w:color w:val="000000"/>
          <w:szCs w:val="18"/>
        </w:rPr>
        <w:t xml:space="preserve"> </w:t>
      </w:r>
    </w:p>
    <w:p w:rsidR="002F7FB8" w:rsidRPr="00C83DF5" w:rsidRDefault="002F7FB8" w:rsidP="00335238">
      <w:pPr>
        <w:ind w:left="720"/>
        <w:rPr>
          <w:lang w:val="de-DE"/>
        </w:rPr>
      </w:pPr>
      <w:r w:rsidRPr="00C83DF5">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w:t>
      </w:r>
      <w:r w:rsidR="00335238">
        <w:rPr>
          <w:rFonts w:cs="Tahoma"/>
          <w:color w:val="000000"/>
          <w:szCs w:val="18"/>
          <w:lang w:val="de-DE"/>
        </w:rPr>
        <w:t> </w:t>
      </w:r>
      <w:r w:rsidRPr="00C83DF5">
        <w:rPr>
          <w:rFonts w:cs="Tahoma"/>
          <w:color w:val="000000"/>
          <w:szCs w:val="18"/>
          <w:lang w:val="de-DE"/>
        </w:rPr>
        <w:t>Kunden, den Produktbenutzungsrechten für SharePoint Server 2013 und diesen Bestimmungen. Dieses</w:t>
      </w:r>
      <w:r w:rsidR="00335238">
        <w:rPr>
          <w:rFonts w:cs="Tahoma"/>
          <w:color w:val="000000"/>
          <w:szCs w:val="18"/>
          <w:lang w:val="de-DE"/>
        </w:rPr>
        <w:t> </w:t>
      </w:r>
      <w:r w:rsidRPr="00C83DF5">
        <w:rPr>
          <w:rFonts w:cs="Tahoma"/>
          <w:color w:val="000000"/>
          <w:szCs w:val="18"/>
          <w:lang w:val="de-DE"/>
        </w:rPr>
        <w:t>Recht gilt bis zum Ablauf oder zur Beendigung der SharePoint Server-Lizenzen.</w:t>
      </w:r>
    </w:p>
    <w:p w:rsidR="002F7FB8" w:rsidRPr="00DF3F89" w:rsidRDefault="002F7FB8" w:rsidP="002F7FB8">
      <w:pPr>
        <w:ind w:left="720"/>
        <w:rPr>
          <w:rFonts w:cs="Tahoma"/>
          <w:color w:val="000000"/>
          <w:szCs w:val="18"/>
          <w:lang w:val="de-DE"/>
        </w:rPr>
      </w:pPr>
    </w:p>
    <w:p w:rsidR="00335238" w:rsidRPr="00DF3F89" w:rsidRDefault="00335238" w:rsidP="002F7FB8">
      <w:pPr>
        <w:ind w:left="720"/>
        <w:rPr>
          <w:rFonts w:cs="Tahoma"/>
          <w:color w:val="000000"/>
          <w:szCs w:val="18"/>
          <w:lang w:val="de-DE"/>
        </w:rPr>
      </w:pPr>
    </w:p>
    <w:p w:rsidR="00335238" w:rsidRPr="00DF3F89" w:rsidRDefault="00335238" w:rsidP="002F7FB8">
      <w:pPr>
        <w:ind w:left="720"/>
        <w:rPr>
          <w:rFonts w:cs="Tahoma"/>
          <w:color w:val="000000"/>
          <w:szCs w:val="18"/>
          <w:lang w:val="de-DE"/>
        </w:rPr>
      </w:pPr>
    </w:p>
    <w:p w:rsidR="00335238" w:rsidRPr="00DF3F89" w:rsidRDefault="00335238" w:rsidP="002F7FB8">
      <w:pPr>
        <w:ind w:left="720"/>
        <w:rPr>
          <w:rFonts w:cs="Tahoma"/>
          <w:color w:val="000000"/>
          <w:szCs w:val="18"/>
          <w:lang w:val="de-DE"/>
        </w:rPr>
      </w:pPr>
    </w:p>
    <w:p w:rsidR="00335238" w:rsidRPr="00DF3F89" w:rsidRDefault="00335238" w:rsidP="002F7FB8">
      <w:pPr>
        <w:ind w:left="720"/>
        <w:rPr>
          <w:rFonts w:cs="Tahoma"/>
          <w:color w:val="000000"/>
          <w:szCs w:val="18"/>
          <w:lang w:val="de-DE"/>
        </w:rPr>
      </w:pPr>
    </w:p>
    <w:p w:rsidR="00335238" w:rsidRPr="00DF3F89" w:rsidRDefault="00335238" w:rsidP="002F7FB8">
      <w:pPr>
        <w:ind w:left="720"/>
        <w:rPr>
          <w:rFonts w:cs="Tahoma"/>
          <w:color w:val="000000"/>
          <w:szCs w:val="18"/>
          <w:lang w:val="de-DE"/>
        </w:rPr>
      </w:pPr>
    </w:p>
    <w:p w:rsidR="00335238" w:rsidRPr="00DF3F89" w:rsidRDefault="00335238" w:rsidP="002F7FB8">
      <w:pPr>
        <w:ind w:left="720"/>
        <w:rPr>
          <w:rFonts w:cs="Tahoma"/>
          <w:color w:val="000000"/>
          <w:szCs w:val="18"/>
          <w:lang w:val="de-DE"/>
        </w:rPr>
      </w:pPr>
    </w:p>
    <w:p w:rsidR="00335238" w:rsidRPr="00DF3F89" w:rsidRDefault="00335238" w:rsidP="002F7FB8">
      <w:pPr>
        <w:ind w:left="720"/>
        <w:rPr>
          <w:rFonts w:cs="Tahoma"/>
          <w:color w:val="000000"/>
          <w:szCs w:val="18"/>
          <w:lang w:val="de-DE"/>
        </w:rPr>
      </w:pPr>
    </w:p>
    <w:p w:rsidR="002F7FB8" w:rsidRPr="00C83DF5" w:rsidRDefault="002F7FB8" w:rsidP="00031ABF">
      <w:pPr>
        <w:spacing w:after="60"/>
        <w:ind w:left="720"/>
        <w:rPr>
          <w:lang w:val="de-DE"/>
        </w:rPr>
      </w:pPr>
      <w:r w:rsidRPr="00C83DF5">
        <w:rPr>
          <w:rFonts w:cs="Tahoma"/>
          <w:b/>
          <w:color w:val="000000"/>
          <w:szCs w:val="18"/>
          <w:lang w:val="de-DE"/>
        </w:rPr>
        <w:t xml:space="preserve">Verlängerung von Rechten für Selbst Gehostete Anwendungen im Rahmen von Software Assurance für Kunden mit SharePoint Server </w:t>
      </w:r>
      <w:bookmarkStart w:id="1431" w:name="Srv_65SharepointSvr10IntSites"/>
      <w:bookmarkStart w:id="1432" w:name="_Toc336338336"/>
      <w:bookmarkStart w:id="1433" w:name="Srv_66SharepointSvr10IntSites"/>
      <w:bookmarkStart w:id="1434" w:name="Srv_63SharepointSvr07IntSites"/>
      <w:bookmarkStart w:id="1435" w:name="Srv_64SharepointSvr07IntSites"/>
      <w:r w:rsidRPr="00C83DF5">
        <w:rPr>
          <w:rFonts w:cs="Tahoma"/>
          <w:b/>
          <w:color w:val="000000"/>
          <w:szCs w:val="18"/>
          <w:lang w:val="de-DE"/>
        </w:rPr>
        <w:t>for Internet Sites Enterprise</w:t>
      </w:r>
      <w:bookmarkEnd w:id="1431"/>
      <w:bookmarkEnd w:id="1432"/>
      <w:bookmarkEnd w:id="1433"/>
      <w:bookmarkEnd w:id="1434"/>
    </w:p>
    <w:bookmarkEnd w:id="1435"/>
    <w:p w:rsidR="002F7FB8" w:rsidRPr="00C83DF5" w:rsidRDefault="002F7FB8" w:rsidP="002F7FB8">
      <w:pPr>
        <w:ind w:left="720"/>
        <w:rPr>
          <w:lang w:val="de-DE"/>
        </w:rPr>
      </w:pPr>
      <w:r w:rsidRPr="00C83DF5">
        <w:rPr>
          <w:rFonts w:cs="Tahoma"/>
          <w:color w:val="000000"/>
          <w:szCs w:val="18"/>
          <w:lang w:val="de-DE"/>
        </w:rPr>
        <w:lastRenderedPageBreak/>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w:t>
      </w:r>
      <w:r w:rsidR="00E71F46" w:rsidRPr="00C83DF5">
        <w:rPr>
          <w:rFonts w:cs="Tahoma"/>
          <w:color w:val="000000"/>
          <w:szCs w:val="18"/>
          <w:lang w:val="de-DE"/>
        </w:rPr>
        <w:t xml:space="preserve"> </w:t>
      </w:r>
    </w:p>
    <w:p w:rsidR="000D76F0" w:rsidRPr="00335238" w:rsidRDefault="000D76F0" w:rsidP="00031ABF">
      <w:pPr>
        <w:rPr>
          <w:szCs w:val="18"/>
          <w:lang w:val="de-DE"/>
        </w:rPr>
      </w:pPr>
    </w:p>
    <w:p w:rsidR="00023FE7" w:rsidRPr="00335238" w:rsidRDefault="00023FE7" w:rsidP="00697E59">
      <w:pPr>
        <w:pStyle w:val="EndnoteText"/>
        <w:ind w:left="0"/>
        <w:rPr>
          <w:sz w:val="18"/>
          <w:szCs w:val="18"/>
          <w:lang w:val="de-DE"/>
        </w:rPr>
      </w:pPr>
      <w:bookmarkStart w:id="1436" w:name="_78_SharePoint™_Server"/>
      <w:bookmarkStart w:id="1437" w:name="_Toc336338339"/>
      <w:bookmarkStart w:id="1438" w:name="Srv_81SQLSvr08R2DataCenter"/>
      <w:bookmarkEnd w:id="1436"/>
    </w:p>
    <w:p w:rsidR="00A81E83" w:rsidRPr="00C83DF5" w:rsidRDefault="00D629A3" w:rsidP="00A81E83">
      <w:pPr>
        <w:pStyle w:val="Heading3"/>
        <w:rPr>
          <w:lang w:val="de-DE"/>
        </w:rPr>
      </w:pPr>
      <w:bookmarkStart w:id="1439" w:name="_75_73_SQL"/>
      <w:bookmarkStart w:id="1440" w:name="_79_SQL_Server®"/>
      <w:bookmarkStart w:id="1441" w:name="Srv_69SQLSvr08EntandEntProc"/>
      <w:bookmarkStart w:id="1442" w:name="Srv_70SQLSvr08EntandEntProc"/>
      <w:bookmarkStart w:id="1443" w:name="Srv_72SQLSvr08R2developer"/>
      <w:bookmarkStart w:id="1444" w:name="Srv_72SQLSvr08R2DataCenter"/>
      <w:bookmarkStart w:id="1445" w:name="_Toc370983447"/>
      <w:bookmarkEnd w:id="1439"/>
      <w:bookmarkEnd w:id="1440"/>
      <w:r w:rsidRPr="00C83DF5">
        <w:rPr>
          <w:rFonts w:ascii="Tahoma" w:hAnsi="Tahoma"/>
          <w:caps/>
          <w:color w:val="F66400"/>
          <w:sz w:val="22"/>
          <w:vertAlign w:val="superscript"/>
          <w:lang w:val="de-DE"/>
        </w:rPr>
        <w:t>79</w:t>
      </w:r>
      <w:r w:rsidRPr="00C83DF5">
        <w:rPr>
          <w:rFonts w:ascii="Tahoma" w:hAnsi="Tahoma"/>
          <w:color w:val="F66400"/>
          <w:sz w:val="22"/>
          <w:lang w:val="de-DE"/>
        </w:rPr>
        <w:t xml:space="preserve"> SQL Server</w:t>
      </w:r>
      <w:r w:rsidRPr="00C83DF5">
        <w:rPr>
          <w:rFonts w:ascii="Tahoma" w:hAnsi="Tahoma"/>
          <w:color w:val="F66400"/>
          <w:sz w:val="22"/>
          <w:vertAlign w:val="superscript"/>
          <w:lang w:val="de-DE"/>
        </w:rPr>
        <w:t>®</w:t>
      </w:r>
      <w:r w:rsidRPr="00C83DF5">
        <w:rPr>
          <w:rFonts w:ascii="Tahoma" w:hAnsi="Tahoma"/>
          <w:color w:val="F66400"/>
          <w:sz w:val="22"/>
          <w:lang w:val="de-DE"/>
        </w:rPr>
        <w:t xml:space="preserve"> 2008 R2 Datacenter</w:t>
      </w:r>
      <w:bookmarkEnd w:id="1437"/>
      <w:bookmarkEnd w:id="1445"/>
    </w:p>
    <w:bookmarkEnd w:id="1438"/>
    <w:p w:rsidR="00A81E83" w:rsidRPr="00C83DF5" w:rsidRDefault="00A81E83" w:rsidP="00031ABF">
      <w:pPr>
        <w:rPr>
          <w:lang w:val="de-DE"/>
        </w:rPr>
      </w:pPr>
    </w:p>
    <w:p w:rsidR="00031ABF" w:rsidRPr="00C83DF5" w:rsidRDefault="00A81E83" w:rsidP="00031ABF">
      <w:pPr>
        <w:spacing w:after="60"/>
        <w:ind w:left="720"/>
        <w:rPr>
          <w:lang w:val="de-DE"/>
        </w:rPr>
      </w:pPr>
      <w:r w:rsidRPr="00C83DF5">
        <w:rPr>
          <w:rFonts w:cs="Tahoma"/>
          <w:b/>
          <w:color w:val="000000"/>
          <w:szCs w:val="18"/>
          <w:lang w:val="de-DE"/>
        </w:rPr>
        <w:t>Lizenzgewährungen im Zusammenhang mit der Änderung des Lizenzmodells und dem Ende der Lebensdauer von SQL Server Datacenter</w:t>
      </w:r>
    </w:p>
    <w:p w:rsidR="00A81E83" w:rsidRPr="00C83DF5" w:rsidRDefault="00A81E83" w:rsidP="00B66881">
      <w:pPr>
        <w:ind w:left="720"/>
        <w:rPr>
          <w:lang w:val="de-DE"/>
        </w:rPr>
      </w:pPr>
      <w:r w:rsidRPr="00C83DF5">
        <w:rPr>
          <w:color w:val="000000"/>
          <w:lang w:val="de-DE"/>
        </w:rPr>
        <w:t>SQL Server 2008 R2 ist die letzte Version von SQL Server, die unter dem Pro-Prozessor-Lizenzmodell lizenziert wird, und die letzte Version von SQL Server Datacenter.</w:t>
      </w:r>
      <w:r w:rsidR="00E71F46" w:rsidRPr="00C83DF5">
        <w:rPr>
          <w:color w:val="000000"/>
          <w:lang w:val="de-DE"/>
        </w:rPr>
        <w:t xml:space="preserve"> </w:t>
      </w:r>
      <w:r w:rsidRPr="00C83DF5">
        <w:rPr>
          <w:color w:val="000000"/>
          <w:lang w:val="de-DE"/>
        </w:rPr>
        <w:t>Als Ausnahme erhalten Volumenlizenzkunden, die am 1. April 2012 über aktive Software Assurance für SQL Server 2008 R2 Datacenter-Prozessorlizenzen („qualifizierende Lizenzen“) verfügen, die folgenden Optionen. Prozessorlizenzen für SQL Server 2008 R2 Datacenter</w:t>
      </w:r>
      <w:r w:rsidRPr="00C83DF5">
        <w:rPr>
          <w:rFonts w:cs="Tahoma"/>
          <w:bCs/>
          <w:color w:val="000000"/>
          <w:szCs w:val="18"/>
          <w:lang w:val="de-DE"/>
        </w:rPr>
        <w:t>, die danach unter derselben Beitrittslaufzeit, jedoch</w:t>
      </w:r>
      <w:r w:rsidR="00B66881">
        <w:rPr>
          <w:rFonts w:cs="Tahoma"/>
          <w:bCs/>
          <w:color w:val="000000"/>
          <w:szCs w:val="18"/>
          <w:lang w:val="de-DE"/>
        </w:rPr>
        <w:t> </w:t>
      </w:r>
      <w:r w:rsidRPr="00C83DF5">
        <w:rPr>
          <w:rFonts w:cs="Tahoma"/>
          <w:bCs/>
          <w:color w:val="000000"/>
          <w:szCs w:val="18"/>
          <w:lang w:val="de-DE"/>
        </w:rPr>
        <w:t>vor dem 1. April 2015 im Rahmen des planmäßigen True Up-Prozesses eines Konzern-, Konzern-Abonnement-, Open Value Subscription- oder Beitritt für Bildungslösungen-Kunden erworben werden, sind</w:t>
      </w:r>
      <w:r w:rsidR="00B66881">
        <w:rPr>
          <w:rFonts w:cs="Tahoma"/>
          <w:bCs/>
          <w:color w:val="000000"/>
          <w:szCs w:val="18"/>
          <w:lang w:val="de-DE"/>
        </w:rPr>
        <w:t> </w:t>
      </w:r>
      <w:r w:rsidRPr="00C83DF5">
        <w:rPr>
          <w:rFonts w:cs="Tahoma"/>
          <w:bCs/>
          <w:color w:val="000000"/>
          <w:szCs w:val="18"/>
          <w:lang w:val="de-DE"/>
        </w:rPr>
        <w:t>ebenfalls qualifizierende Lizenzen im Sinne dieser Optionen.</w:t>
      </w:r>
      <w:r w:rsidR="00E71F46" w:rsidRPr="00C83DF5">
        <w:rPr>
          <w:rFonts w:cs="Tahoma"/>
          <w:bCs/>
          <w:color w:val="000000"/>
          <w:szCs w:val="18"/>
          <w:lang w:val="de-DE"/>
        </w:rPr>
        <w:t xml:space="preserve"> </w:t>
      </w:r>
      <w:r w:rsidRPr="00C83DF5">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031ABF" w:rsidRPr="00DF3F89" w:rsidRDefault="00031ABF" w:rsidP="00031ABF">
      <w:pPr>
        <w:ind w:left="720"/>
        <w:rPr>
          <w:color w:val="000000"/>
          <w:lang w:val="de-DE"/>
        </w:rPr>
      </w:pPr>
    </w:p>
    <w:p w:rsidR="00031ABF" w:rsidRPr="00C83DF5" w:rsidRDefault="00031ABF" w:rsidP="00031ABF">
      <w:pPr>
        <w:spacing w:after="60"/>
        <w:ind w:left="720"/>
        <w:rPr>
          <w:lang w:val="de-DE"/>
        </w:rPr>
      </w:pPr>
      <w:r w:rsidRPr="00C83DF5">
        <w:rPr>
          <w:rFonts w:cs="Tahoma"/>
          <w:b/>
          <w:color w:val="000000"/>
          <w:szCs w:val="18"/>
          <w:lang w:val="de-DE"/>
        </w:rPr>
        <w:t>Aktuelle Laufzeit</w:t>
      </w:r>
    </w:p>
    <w:p w:rsidR="00A81E83" w:rsidRPr="00C83DF5" w:rsidRDefault="00A81E83" w:rsidP="004E053B">
      <w:pPr>
        <w:ind w:left="720"/>
        <w:contextualSpacing/>
        <w:rPr>
          <w:lang w:val="de-DE"/>
        </w:rPr>
      </w:pPr>
      <w:r w:rsidRPr="00C83DF5">
        <w:rPr>
          <w:rFonts w:eastAsia="Calibri" w:cs="Tahoma"/>
          <w:szCs w:val="18"/>
          <w:lang w:val="de-DE"/>
        </w:rPr>
        <w:t>Während der aktuellen Laufzeit ihrer Software Assurance zum 1. April 2012 sind Kunden (einschließlich Kunden mit Abonnementverträgen) unter qualifizierenden Lizenzen berechtigt, vorbehaltlich der</w:t>
      </w:r>
      <w:r w:rsidR="004E053B">
        <w:rPr>
          <w:rFonts w:eastAsia="Calibri" w:cs="Tahoma"/>
          <w:szCs w:val="18"/>
          <w:lang w:val="de-DE"/>
        </w:rPr>
        <w:t> </w:t>
      </w:r>
      <w:r w:rsidRPr="00C83DF5">
        <w:rPr>
          <w:rFonts w:eastAsia="Calibri" w:cs="Tahoma"/>
          <w:szCs w:val="18"/>
          <w:lang w:val="de-DE"/>
        </w:rPr>
        <w:t>Produktbenutzungsrechte für SQL Server 2008 R2 Enterprise-Prozessorlizenzen (wie in den 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 Server 2012 Enterprise in dieser Produktliste beschrieben.</w:t>
      </w:r>
    </w:p>
    <w:p w:rsidR="00031ABF" w:rsidRPr="00C83DF5" w:rsidRDefault="00031ABF" w:rsidP="00031ABF">
      <w:pPr>
        <w:ind w:left="720"/>
        <w:contextualSpacing/>
        <w:rPr>
          <w:lang w:val="de-DE"/>
        </w:rPr>
      </w:pPr>
    </w:p>
    <w:p w:rsidR="00031ABF" w:rsidRPr="00C83DF5" w:rsidRDefault="00A81E83" w:rsidP="00031ABF">
      <w:pPr>
        <w:spacing w:after="60"/>
        <w:ind w:left="720"/>
        <w:rPr>
          <w:lang w:val="de-DE"/>
        </w:rPr>
      </w:pPr>
      <w:r w:rsidRPr="00C83DF5">
        <w:rPr>
          <w:rFonts w:cs="Tahoma"/>
          <w:b/>
          <w:color w:val="000000"/>
          <w:szCs w:val="18"/>
          <w:lang w:val="de-DE"/>
        </w:rPr>
        <w:t>Erster Verlängerungszeitraum (vor dem 1. April 2015)</w:t>
      </w:r>
    </w:p>
    <w:p w:rsidR="00A81E83" w:rsidRPr="00C83DF5" w:rsidRDefault="00A81E83" w:rsidP="005E228B">
      <w:pPr>
        <w:tabs>
          <w:tab w:val="left" w:pos="720"/>
        </w:tabs>
        <w:ind w:left="720"/>
        <w:contextualSpacing/>
        <w:rPr>
          <w:lang w:val="de-DE"/>
        </w:rPr>
      </w:pPr>
      <w:r w:rsidRPr="00C83DF5">
        <w:rPr>
          <w:rFonts w:eastAsia="Calibri" w:cs="Tahoma"/>
          <w:szCs w:val="18"/>
          <w:lang w:val="de-DE"/>
        </w:rPr>
        <w:t>Bei der ersten Software Assurance-Verlängerung am oder nach dem 1. April 2012 (jedoch vor</w:t>
      </w:r>
      <w:r w:rsidR="005E228B">
        <w:rPr>
          <w:rFonts w:eastAsia="Calibri" w:cs="Tahoma"/>
          <w:szCs w:val="18"/>
          <w:lang w:val="de-DE"/>
        </w:rPr>
        <w:t> </w:t>
      </w:r>
      <w:r w:rsidRPr="00C83DF5">
        <w:rPr>
          <w:rFonts w:eastAsia="Calibri" w:cs="Tahoma"/>
          <w:szCs w:val="18"/>
          <w:lang w:val="de-DE"/>
        </w:rPr>
        <w:t>dem</w:t>
      </w:r>
      <w:r w:rsidR="005E228B">
        <w:rPr>
          <w:rFonts w:eastAsia="Calibri" w:cs="Tahoma"/>
          <w:szCs w:val="18"/>
          <w:lang w:val="de-DE"/>
        </w:rPr>
        <w:t> </w:t>
      </w:r>
      <w:r w:rsidRPr="00C83DF5">
        <w:rPr>
          <w:rFonts w:eastAsia="Calibri" w:cs="Tahoma"/>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A81E83" w:rsidRPr="00C83DF5" w:rsidRDefault="00A81E83" w:rsidP="00346F4B">
      <w:pPr>
        <w:numPr>
          <w:ilvl w:val="1"/>
          <w:numId w:val="50"/>
        </w:numPr>
        <w:tabs>
          <w:tab w:val="left" w:pos="1440"/>
        </w:tabs>
        <w:contextualSpacing/>
        <w:rPr>
          <w:lang w:val="de-DE"/>
        </w:rPr>
      </w:pPr>
      <w:r w:rsidRPr="00C83DF5">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C83DF5" w:rsidRDefault="00A81E83" w:rsidP="00346F4B">
      <w:pPr>
        <w:numPr>
          <w:ilvl w:val="2"/>
          <w:numId w:val="54"/>
        </w:numPr>
        <w:tabs>
          <w:tab w:val="left" w:pos="1800"/>
        </w:tabs>
        <w:ind w:left="1800" w:hanging="360"/>
        <w:contextualSpacing/>
      </w:pPr>
      <w:r w:rsidRPr="00C83DF5">
        <w:rPr>
          <w:rFonts w:eastAsia="Calibri" w:cs="Tahoma"/>
          <w:szCs w:val="18"/>
        </w:rPr>
        <w:t>acht oder</w:t>
      </w:r>
    </w:p>
    <w:p w:rsidR="00A81E83" w:rsidRPr="00C83DF5" w:rsidRDefault="00A81E83" w:rsidP="00346F4B">
      <w:pPr>
        <w:numPr>
          <w:ilvl w:val="2"/>
          <w:numId w:val="54"/>
        </w:numPr>
        <w:tabs>
          <w:tab w:val="left" w:pos="1800"/>
        </w:tabs>
        <w:ind w:left="1800" w:hanging="360"/>
        <w:contextualSpacing/>
        <w:rPr>
          <w:lang w:val="de-DE"/>
        </w:rPr>
      </w:pPr>
      <w:r w:rsidRPr="00C83DF5">
        <w:rPr>
          <w:rFonts w:eastAsia="Calibri" w:cs="Tahoma"/>
          <w:szCs w:val="18"/>
          <w:lang w:val="de-DE"/>
        </w:rPr>
        <w:t>der tatsächlichen Anzahl von Cores pro physischem Prozessor multipliziert mit dem entsprechenden Core-Faktor.</w:t>
      </w:r>
      <w:r w:rsidR="00E71F46" w:rsidRPr="00C83DF5">
        <w:rPr>
          <w:rFonts w:eastAsia="Calibri" w:cs="Tahoma"/>
          <w:szCs w:val="18"/>
          <w:lang w:val="de-DE"/>
        </w:rPr>
        <w:t xml:space="preserve"> </w:t>
      </w:r>
      <w:r w:rsidRPr="00C83DF5">
        <w:rPr>
          <w:rFonts w:eastAsia="Calibri" w:cs="Tahoma"/>
          <w:szCs w:val="18"/>
          <w:lang w:val="de-DE"/>
        </w:rPr>
        <w:t xml:space="preserve">(Wenn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C83DF5" w:rsidRDefault="00A81E83" w:rsidP="00346F4B">
      <w:pPr>
        <w:numPr>
          <w:ilvl w:val="1"/>
          <w:numId w:val="50"/>
        </w:numPr>
        <w:tabs>
          <w:tab w:val="left" w:pos="1440"/>
          <w:tab w:val="left" w:pos="2970"/>
        </w:tabs>
        <w:contextualSpacing/>
        <w:rPr>
          <w:lang w:val="de-DE"/>
        </w:rPr>
      </w:pPr>
      <w:r w:rsidRPr="00C83DF5">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rsidR="00031ABF" w:rsidRDefault="00031ABF" w:rsidP="00031ABF">
      <w:pPr>
        <w:ind w:left="720"/>
        <w:contextualSpacing/>
        <w:rPr>
          <w:lang w:val="de-DE"/>
        </w:rPr>
      </w:pPr>
    </w:p>
    <w:p w:rsidR="009E4345" w:rsidRPr="00C83DF5" w:rsidRDefault="009E4345" w:rsidP="00031ABF">
      <w:pPr>
        <w:ind w:left="720"/>
        <w:contextualSpacing/>
        <w:rPr>
          <w:lang w:val="de-DE"/>
        </w:rPr>
      </w:pPr>
    </w:p>
    <w:p w:rsidR="00031ABF" w:rsidRPr="00C83DF5" w:rsidRDefault="00A81E83" w:rsidP="00031ABF">
      <w:pPr>
        <w:spacing w:after="60"/>
        <w:ind w:left="720"/>
        <w:rPr>
          <w:lang w:val="de-DE"/>
        </w:rPr>
      </w:pPr>
      <w:r w:rsidRPr="00C83DF5">
        <w:rPr>
          <w:rFonts w:eastAsia="Calibri" w:cs="Tahoma"/>
          <w:b/>
          <w:szCs w:val="18"/>
          <w:lang w:val="de-DE"/>
        </w:rPr>
        <w:t>Erster Verlängerungszeitraum (am oder nach dem 1. April 2015)</w:t>
      </w:r>
    </w:p>
    <w:p w:rsidR="00A81E83" w:rsidRPr="00C83DF5" w:rsidRDefault="00A81E83" w:rsidP="009E4345">
      <w:pPr>
        <w:ind w:left="720"/>
        <w:contextualSpacing/>
        <w:rPr>
          <w:lang w:val="de-DE"/>
        </w:rPr>
      </w:pPr>
      <w:r w:rsidRPr="00C83DF5">
        <w:rPr>
          <w:rFonts w:eastAsia="Calibri" w:cs="Tahoma"/>
          <w:color w:val="000000"/>
          <w:szCs w:val="18"/>
          <w:lang w:val="de-DE"/>
        </w:rPr>
        <w:lastRenderedPageBreak/>
        <w:t>Kunden, die Software Assurance am oder nach dem 1. April 2015</w:t>
      </w:r>
      <w:r w:rsidRPr="00C83DF5">
        <w:rPr>
          <w:rFonts w:eastAsia="Calibri" w:cs="Tahoma"/>
          <w:szCs w:val="18"/>
          <w:lang w:val="de-DE"/>
        </w:rPr>
        <w:t xml:space="preserve"> erstmals verlängern, sind berechtigt, für</w:t>
      </w:r>
      <w:r w:rsidR="009E4345">
        <w:rPr>
          <w:rFonts w:eastAsia="Calibri" w:cs="Tahoma"/>
          <w:szCs w:val="18"/>
          <w:lang w:val="de-DE"/>
        </w:rPr>
        <w:t> </w:t>
      </w:r>
      <w:r w:rsidRPr="00C83DF5">
        <w:rPr>
          <w:rFonts w:eastAsia="Calibri" w:cs="Tahoma"/>
          <w:szCs w:val="18"/>
          <w:lang w:val="de-DE"/>
        </w:rPr>
        <w:t>jeden Server, der unter Produktbenutzungsrechten für SQL Server 2008 R2-Prozessorlizenzen ordnungsgemäß lizenziert ist, Software Assurance wie folgt zu erwerben:</w:t>
      </w:r>
    </w:p>
    <w:p w:rsidR="00031ABF" w:rsidRPr="00C83DF5" w:rsidRDefault="00031ABF" w:rsidP="00031ABF">
      <w:pPr>
        <w:ind w:left="720"/>
        <w:contextualSpacing/>
        <w:rPr>
          <w:lang w:val="de-DE"/>
        </w:rPr>
      </w:pPr>
    </w:p>
    <w:p w:rsidR="00A81E83" w:rsidRPr="00C83DF5" w:rsidRDefault="00A81E83" w:rsidP="00346F4B">
      <w:pPr>
        <w:numPr>
          <w:ilvl w:val="2"/>
          <w:numId w:val="50"/>
        </w:numPr>
        <w:spacing w:after="60"/>
        <w:ind w:left="1440"/>
      </w:pPr>
      <w:r w:rsidRPr="00C83DF5">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C83DF5">
        <w:rPr>
          <w:rFonts w:eastAsia="Calibri" w:cs="Tahoma"/>
          <w:szCs w:val="18"/>
        </w:rPr>
        <w:t xml:space="preserve">April 2015)“ zu verlängern, und </w:t>
      </w:r>
    </w:p>
    <w:p w:rsidR="00A81E83" w:rsidRPr="00C83DF5" w:rsidRDefault="00A81E83" w:rsidP="009E4345">
      <w:pPr>
        <w:numPr>
          <w:ilvl w:val="2"/>
          <w:numId w:val="50"/>
        </w:numPr>
        <w:spacing w:after="60"/>
        <w:ind w:left="1440"/>
        <w:rPr>
          <w:lang w:val="de-DE"/>
        </w:rPr>
      </w:pPr>
      <w:r w:rsidRPr="00C83DF5">
        <w:rPr>
          <w:rFonts w:eastAsia="Calibri" w:cs="Tahoma"/>
          <w:szCs w:val="18"/>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w:t>
      </w:r>
      <w:r w:rsidR="009E4345">
        <w:rPr>
          <w:rFonts w:eastAsia="Calibri" w:cs="Tahoma"/>
          <w:szCs w:val="18"/>
          <w:lang w:val="de-DE"/>
        </w:rPr>
        <w:t> </w:t>
      </w:r>
      <w:r w:rsidRPr="00C83DF5">
        <w:rPr>
          <w:rFonts w:eastAsia="Calibri" w:cs="Tahoma"/>
          <w:szCs w:val="18"/>
          <w:lang w:val="de-DE"/>
        </w:rPr>
        <w:t xml:space="preserve">die kontinuierliche Verwendung von SQL Server 2012 auf Prozessoren, die mehr als acht </w:t>
      </w:r>
      <w:r w:rsidR="009E4345">
        <w:rPr>
          <w:rFonts w:eastAsia="Calibri" w:cs="Tahoma"/>
          <w:szCs w:val="18"/>
          <w:lang w:val="de-DE"/>
        </w:rPr>
        <w:br/>
      </w:r>
      <w:r w:rsidRPr="00C83DF5">
        <w:rPr>
          <w:rFonts w:eastAsia="Calibri" w:cs="Tahoma"/>
          <w:szCs w:val="18"/>
          <w:lang w:val="de-DE"/>
        </w:rPr>
        <w:t>Core-Lizenzen pro Prozessor erfordern, muss der Kunde die zusätzlichen Core-Lizenzen erwerben.</w:t>
      </w:r>
    </w:p>
    <w:p w:rsidR="00031ABF" w:rsidRPr="00C83DF5" w:rsidRDefault="00031ABF" w:rsidP="00031ABF">
      <w:pPr>
        <w:ind w:left="1440"/>
        <w:contextualSpacing/>
        <w:rPr>
          <w:lang w:val="de-DE"/>
        </w:rPr>
      </w:pPr>
    </w:p>
    <w:p w:rsidR="00A81E83" w:rsidRPr="00C83DF5" w:rsidRDefault="00A81E83" w:rsidP="00031ABF">
      <w:pPr>
        <w:ind w:left="720"/>
        <w:contextualSpacing/>
        <w:rPr>
          <w:lang w:val="de-DE"/>
        </w:rPr>
      </w:pPr>
      <w:r w:rsidRPr="00C83DF5">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031ABF" w:rsidRPr="00DF3F89" w:rsidRDefault="00031ABF" w:rsidP="00031ABF">
      <w:pPr>
        <w:tabs>
          <w:tab w:val="left" w:pos="720"/>
        </w:tabs>
        <w:ind w:left="720"/>
        <w:contextualSpacing/>
        <w:rPr>
          <w:rFonts w:eastAsia="Calibri" w:cs="Tahoma"/>
          <w:szCs w:val="18"/>
          <w:lang w:val="de-DE"/>
        </w:rPr>
      </w:pPr>
    </w:p>
    <w:p w:rsidR="00031ABF" w:rsidRPr="00C83DF5" w:rsidRDefault="00A81E83" w:rsidP="00031ABF">
      <w:pPr>
        <w:tabs>
          <w:tab w:val="left" w:pos="720"/>
        </w:tabs>
        <w:spacing w:after="60"/>
        <w:ind w:left="720"/>
        <w:rPr>
          <w:lang w:val="de-DE"/>
        </w:rPr>
      </w:pPr>
      <w:r w:rsidRPr="00C83DF5">
        <w:rPr>
          <w:rFonts w:eastAsia="Calibri" w:cs="Tahoma"/>
          <w:b/>
          <w:szCs w:val="18"/>
          <w:lang w:val="de-DE"/>
        </w:rPr>
        <w:t>Für Kunden mit Software Assurance, die vor dem 1. April 2015 abläuft, die sich gegen eine Verlängerung entscheiden</w:t>
      </w:r>
    </w:p>
    <w:p w:rsidR="00A81E83" w:rsidRPr="00C83DF5" w:rsidRDefault="00A81E83" w:rsidP="00031ABF">
      <w:pPr>
        <w:tabs>
          <w:tab w:val="left" w:pos="720"/>
        </w:tabs>
        <w:ind w:left="720"/>
        <w:contextualSpacing/>
        <w:rPr>
          <w:lang w:val="de-DE"/>
        </w:rPr>
      </w:pPr>
      <w:r w:rsidRPr="00C83DF5">
        <w:rPr>
          <w:rFonts w:eastAsia="Calibri" w:cs="Tahoma"/>
          <w:szCs w:val="18"/>
          <w:lang w:val="de-DE"/>
        </w:rPr>
        <w:t xml:space="preserve">Konzern-Abonnement- </w:t>
      </w:r>
      <w:r w:rsidRPr="00C83DF5">
        <w:rPr>
          <w:rFonts w:cs="Tahoma"/>
          <w:bCs/>
          <w:color w:val="000000"/>
          <w:szCs w:val="18"/>
          <w:lang w:val="de-DE"/>
        </w:rPr>
        <w:t>und Open Value Subscription-</w:t>
      </w:r>
      <w:r w:rsidRPr="00C83DF5">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CA0E2D" w:rsidRPr="00DF3F89" w:rsidRDefault="00CA0E2D" w:rsidP="00031ABF">
      <w:pPr>
        <w:tabs>
          <w:tab w:val="left" w:pos="720"/>
        </w:tabs>
        <w:ind w:left="720"/>
        <w:contextualSpacing/>
        <w:rPr>
          <w:rFonts w:eastAsia="Calibri" w:cs="Tahoma"/>
          <w:szCs w:val="18"/>
          <w:lang w:val="de-DE"/>
        </w:rPr>
      </w:pPr>
    </w:p>
    <w:p w:rsidR="00A81E83" w:rsidRPr="00C83DF5" w:rsidRDefault="00A81E83" w:rsidP="00346F4B">
      <w:pPr>
        <w:numPr>
          <w:ilvl w:val="0"/>
          <w:numId w:val="51"/>
        </w:numPr>
        <w:tabs>
          <w:tab w:val="left" w:pos="1440"/>
        </w:tabs>
        <w:spacing w:after="60"/>
        <w:rPr>
          <w:lang w:val="de-DE"/>
        </w:rPr>
      </w:pPr>
      <w:r w:rsidRPr="00C83DF5">
        <w:rPr>
          <w:rFonts w:eastAsia="Calibri" w:cs="Tahoma"/>
          <w:b/>
          <w:szCs w:val="18"/>
          <w:lang w:val="de-DE"/>
        </w:rPr>
        <w:t>SQL Server 2008 R2 Datacenter:</w:t>
      </w:r>
      <w:r w:rsidRPr="00C83DF5">
        <w:rPr>
          <w:rFonts w:eastAsia="Calibri" w:cs="Tahoma"/>
          <w:szCs w:val="18"/>
          <w:lang w:val="de-DE"/>
        </w:rPr>
        <w:t xml:space="preserve"> Die kontinuierliche Verwendung dieser Version der Software unterliegt den Produktbenutzungsrechten für SQL Server 2008 R2 Datacenter-Prozessorlizenzen. </w:t>
      </w:r>
    </w:p>
    <w:p w:rsidR="00A81E83" w:rsidRPr="00C83DF5" w:rsidRDefault="00A81E83" w:rsidP="00EA021C">
      <w:pPr>
        <w:numPr>
          <w:ilvl w:val="0"/>
          <w:numId w:val="51"/>
        </w:numPr>
        <w:tabs>
          <w:tab w:val="left" w:pos="1440"/>
          <w:tab w:val="left" w:pos="2970"/>
        </w:tabs>
        <w:spacing w:after="60"/>
        <w:rPr>
          <w:lang w:val="de-DE"/>
        </w:rPr>
      </w:pPr>
      <w:r w:rsidRPr="00C83DF5">
        <w:rPr>
          <w:rFonts w:eastAsia="Calibri" w:cs="Tahoma"/>
          <w:b/>
          <w:szCs w:val="18"/>
          <w:lang w:val="de-DE"/>
        </w:rPr>
        <w:t xml:space="preserve">SQL Server 2012 Enterprise Core: </w:t>
      </w:r>
      <w:r w:rsidRPr="00C83DF5">
        <w:rPr>
          <w:rFonts w:eastAsia="Calibri" w:cs="Tahoma"/>
          <w:szCs w:val="18"/>
          <w:lang w:val="de-DE"/>
        </w:rPr>
        <w:t>Die Verwendung dieser Version der Software unterliegt den</w:t>
      </w:r>
      <w:r w:rsidR="00EA021C">
        <w:rPr>
          <w:rFonts w:eastAsia="Calibri" w:cs="Tahoma"/>
          <w:szCs w:val="18"/>
          <w:lang w:val="de-DE"/>
        </w:rPr>
        <w:t> </w:t>
      </w:r>
      <w:r w:rsidRPr="00C83DF5">
        <w:rPr>
          <w:rFonts w:eastAsia="Calibri" w:cs="Tahoma"/>
          <w:szCs w:val="18"/>
          <w:lang w:val="de-DE"/>
        </w:rPr>
        <w:t>Produktbenutzungsrechten für SQL Server 2008 R2 Enterprise-Prozessorlizenzen, jedoch mit</w:t>
      </w:r>
      <w:r w:rsidR="00EA021C">
        <w:rPr>
          <w:rFonts w:eastAsia="Calibri" w:cs="Tahoma"/>
          <w:szCs w:val="18"/>
          <w:lang w:val="de-DE"/>
        </w:rPr>
        <w:t> </w:t>
      </w:r>
      <w:r w:rsidRPr="00C83DF5">
        <w:rPr>
          <w:rFonts w:eastAsia="Calibri" w:cs="Tahoma"/>
          <w:szCs w:val="18"/>
          <w:lang w:val="de-DE"/>
        </w:rPr>
        <w:t xml:space="preserve">folgenden Einschränkungen: </w:t>
      </w:r>
    </w:p>
    <w:p w:rsidR="00A81E83" w:rsidRPr="00C83DF5" w:rsidRDefault="00A81E83" w:rsidP="00EA021C">
      <w:pPr>
        <w:numPr>
          <w:ilvl w:val="1"/>
          <w:numId w:val="51"/>
        </w:numPr>
        <w:tabs>
          <w:tab w:val="left" w:pos="1800"/>
        </w:tabs>
        <w:spacing w:after="60"/>
        <w:ind w:left="1800"/>
        <w:rPr>
          <w:lang w:val="de-DE"/>
        </w:rPr>
      </w:pPr>
      <w:r w:rsidRPr="00C83DF5">
        <w:rPr>
          <w:rFonts w:eastAsia="Calibri" w:cs="Tahoma"/>
          <w:szCs w:val="18"/>
          <w:lang w:val="de-DE"/>
        </w:rPr>
        <w:t>Kunden verfügen nicht mehr über Nutzungsrechte für Unbegrenzte Virtualisierung, Lizenzmobilität innerhalb von Serverfarmen oder Lizenzmobilität durch Software Assurance,</w:t>
      </w:r>
      <w:r w:rsidR="00EA021C">
        <w:rPr>
          <w:rFonts w:eastAsia="Calibri" w:cs="Tahoma"/>
          <w:szCs w:val="18"/>
          <w:lang w:val="de-DE"/>
        </w:rPr>
        <w:t> </w:t>
      </w:r>
      <w:r w:rsidRPr="00C83DF5">
        <w:rPr>
          <w:rFonts w:eastAsia="Calibri" w:cs="Tahoma"/>
          <w:szCs w:val="18"/>
          <w:lang w:val="de-DE"/>
        </w:rPr>
        <w:t xml:space="preserve">und </w:t>
      </w:r>
    </w:p>
    <w:p w:rsidR="00A81E83" w:rsidRPr="00C83DF5" w:rsidRDefault="00A81E83" w:rsidP="00346F4B">
      <w:pPr>
        <w:numPr>
          <w:ilvl w:val="1"/>
          <w:numId w:val="51"/>
        </w:numPr>
        <w:tabs>
          <w:tab w:val="left" w:pos="1800"/>
        </w:tabs>
        <w:spacing w:after="60"/>
        <w:ind w:left="1800"/>
      </w:pPr>
      <w:r w:rsidRPr="00C83DF5">
        <w:rPr>
          <w:rFonts w:eastAsia="Calibri" w:cs="Tahoma"/>
          <w:szCs w:val="18"/>
          <w:lang w:val="de-DE"/>
        </w:rPr>
        <w:t xml:space="preserve">Neuzuweisungen von Lizenzen unterliegen den Beschränkungen unten unter (i) und (ii) in Bezug auf ihre „Core-Lizenzäquivalenz“. </w:t>
      </w:r>
      <w:r w:rsidRPr="00C83DF5">
        <w:rPr>
          <w:rFonts w:eastAsia="Calibri" w:cs="Tahoma"/>
          <w:szCs w:val="18"/>
        </w:rPr>
        <w:t xml:space="preserve">Die Core-Lizenzäquivalenz wird wie folgt bestimmt. </w:t>
      </w:r>
    </w:p>
    <w:p w:rsidR="00A81E83" w:rsidRPr="00C83DF5" w:rsidRDefault="00A81E83" w:rsidP="00346F4B">
      <w:pPr>
        <w:numPr>
          <w:ilvl w:val="2"/>
          <w:numId w:val="51"/>
        </w:numPr>
        <w:tabs>
          <w:tab w:val="left" w:pos="2160"/>
        </w:tabs>
        <w:spacing w:after="60"/>
        <w:ind w:left="2160" w:hanging="360"/>
        <w:rPr>
          <w:lang w:val="de-DE"/>
        </w:rPr>
      </w:pPr>
      <w:r w:rsidRPr="00C83DF5">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C83DF5" w:rsidRDefault="00A81E83" w:rsidP="00346F4B">
      <w:pPr>
        <w:numPr>
          <w:ilvl w:val="4"/>
          <w:numId w:val="50"/>
        </w:numPr>
        <w:tabs>
          <w:tab w:val="left" w:pos="2520"/>
        </w:tabs>
        <w:spacing w:after="60"/>
        <w:ind w:left="2520"/>
      </w:pPr>
      <w:r w:rsidRPr="00C83DF5">
        <w:rPr>
          <w:rFonts w:eastAsia="Calibri" w:cs="Tahoma"/>
          <w:szCs w:val="18"/>
        </w:rPr>
        <w:t xml:space="preserve">acht Cores pro Prozessorlizenz ODER </w:t>
      </w:r>
    </w:p>
    <w:p w:rsidR="00A81E83" w:rsidRPr="00C83DF5" w:rsidRDefault="00A81E83" w:rsidP="00346F4B">
      <w:pPr>
        <w:numPr>
          <w:ilvl w:val="4"/>
          <w:numId w:val="50"/>
        </w:numPr>
        <w:tabs>
          <w:tab w:val="left" w:pos="2520"/>
        </w:tabs>
        <w:spacing w:after="60"/>
        <w:ind w:left="2520"/>
        <w:rPr>
          <w:lang w:val="de-DE"/>
        </w:rPr>
      </w:pPr>
      <w:r w:rsidRPr="00C83DF5">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C83DF5" w:rsidRDefault="00A81E83" w:rsidP="00346F4B">
      <w:pPr>
        <w:numPr>
          <w:ilvl w:val="2"/>
          <w:numId w:val="51"/>
        </w:numPr>
        <w:tabs>
          <w:tab w:val="left" w:pos="2160"/>
        </w:tabs>
        <w:spacing w:after="60"/>
        <w:ind w:left="2160" w:hanging="360"/>
        <w:rPr>
          <w:lang w:val="de-DE"/>
        </w:rPr>
      </w:pPr>
      <w:r w:rsidRPr="00C83DF5">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rsidR="00A81E83" w:rsidRPr="00C83DF5" w:rsidRDefault="00A81E83" w:rsidP="00EA021C">
      <w:pPr>
        <w:numPr>
          <w:ilvl w:val="1"/>
          <w:numId w:val="51"/>
        </w:numPr>
        <w:tabs>
          <w:tab w:val="left" w:pos="1800"/>
          <w:tab w:val="left" w:pos="2970"/>
        </w:tabs>
        <w:spacing w:after="60"/>
        <w:ind w:left="1800"/>
        <w:rPr>
          <w:lang w:val="de-DE"/>
        </w:rPr>
      </w:pPr>
      <w:r w:rsidRPr="00C83DF5">
        <w:rPr>
          <w:rFonts w:eastAsia="Calibri" w:cs="Tahoma"/>
          <w:szCs w:val="18"/>
          <w:lang w:val="de-DE"/>
        </w:rPr>
        <w:t xml:space="preserve">Kunden sind berechtigt, Lizenzen einem anderen Server neu zuzuweisen. Wenn der Kunde jedoch eine Lizenz einem anderen Server neu zuweist, muss der Kunde die Nutzungsrechte </w:t>
      </w:r>
      <w:r w:rsidRPr="00C83DF5">
        <w:rPr>
          <w:rFonts w:eastAsia="Calibri" w:cs="Tahoma"/>
          <w:szCs w:val="18"/>
          <w:lang w:val="de-DE"/>
        </w:rPr>
        <w:lastRenderedPageBreak/>
        <w:t>für</w:t>
      </w:r>
      <w:r w:rsidR="00EA021C">
        <w:rPr>
          <w:rFonts w:eastAsia="Calibri" w:cs="Tahoma"/>
          <w:szCs w:val="18"/>
          <w:lang w:val="de-DE"/>
        </w:rPr>
        <w:t> </w:t>
      </w:r>
      <w:r w:rsidRPr="00C83DF5">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r w:rsidR="00E71F46" w:rsidRPr="00C83DF5">
        <w:rPr>
          <w:rFonts w:eastAsia="Calibri" w:cs="Tahoma"/>
          <w:szCs w:val="18"/>
          <w:lang w:val="de-DE"/>
        </w:rPr>
        <w:t xml:space="preserve"> </w:t>
      </w:r>
    </w:p>
    <w:p w:rsidR="00A81E83" w:rsidRPr="00C83DF5" w:rsidRDefault="00A81E83" w:rsidP="00346F4B">
      <w:pPr>
        <w:numPr>
          <w:ilvl w:val="1"/>
          <w:numId w:val="51"/>
        </w:numPr>
        <w:tabs>
          <w:tab w:val="left" w:pos="1800"/>
        </w:tabs>
        <w:spacing w:after="60"/>
        <w:ind w:left="1800"/>
        <w:rPr>
          <w:lang w:val="de-DE"/>
        </w:rPr>
      </w:pPr>
      <w:r w:rsidRPr="00C83DF5">
        <w:rPr>
          <w:rFonts w:eastAsia="Calibri" w:cs="Tahoma"/>
          <w:szCs w:val="18"/>
          <w:lang w:val="de-DE"/>
        </w:rPr>
        <w:t>Die angenommene Core-Lizenzäquivalenz der Kunden impliziert nicht, dass sie berechtigt sind, eine einzelne Prozessorlizenz Cores auf zwei oder mehr Prozessoren zuzuweisen.</w:t>
      </w:r>
    </w:p>
    <w:p w:rsidR="00CA0E2D" w:rsidRPr="00DF3F89" w:rsidRDefault="00CA0E2D" w:rsidP="00CA0E2D">
      <w:pPr>
        <w:tabs>
          <w:tab w:val="left" w:pos="720"/>
        </w:tabs>
        <w:ind w:left="720"/>
        <w:contextualSpacing/>
        <w:rPr>
          <w:rFonts w:eastAsia="Calibri" w:cs="Tahoma"/>
          <w:b/>
          <w:szCs w:val="18"/>
          <w:lang w:val="de-DE"/>
        </w:rPr>
      </w:pPr>
    </w:p>
    <w:p w:rsidR="00CA0E2D" w:rsidRPr="00C83DF5" w:rsidRDefault="00A81E83" w:rsidP="00CA0E2D">
      <w:pPr>
        <w:tabs>
          <w:tab w:val="left" w:pos="720"/>
        </w:tabs>
        <w:spacing w:after="60"/>
        <w:ind w:left="720"/>
        <w:rPr>
          <w:lang w:val="de-DE"/>
        </w:rPr>
      </w:pPr>
      <w:r w:rsidRPr="00C83DF5">
        <w:rPr>
          <w:rFonts w:eastAsia="Calibri" w:cs="Tahoma"/>
          <w:b/>
          <w:szCs w:val="18"/>
          <w:lang w:val="de-DE"/>
        </w:rPr>
        <w:t>Für Kunden mit Software Assurance, die am oder nach dem 1. April 2015 abläuft, die sich gegen eine Verlängerung entscheiden</w:t>
      </w:r>
    </w:p>
    <w:p w:rsidR="00A81E83" w:rsidRPr="00C83DF5" w:rsidRDefault="00A81E83" w:rsidP="00CA0E2D">
      <w:pPr>
        <w:tabs>
          <w:tab w:val="left" w:pos="720"/>
        </w:tabs>
        <w:ind w:left="720"/>
        <w:contextualSpacing/>
        <w:rPr>
          <w:lang w:val="de-DE"/>
        </w:rPr>
      </w:pPr>
      <w:r w:rsidRPr="00C83DF5">
        <w:rPr>
          <w:rFonts w:eastAsia="Calibri" w:cs="Tahoma"/>
          <w:color w:val="000000"/>
          <w:szCs w:val="18"/>
          <w:lang w:val="de-DE"/>
        </w:rPr>
        <w:t xml:space="preserve">Konzern-Abonnement- </w:t>
      </w:r>
      <w:r w:rsidRPr="00C83DF5">
        <w:rPr>
          <w:rFonts w:cs="Tahoma"/>
          <w:bCs/>
          <w:color w:val="000000"/>
          <w:szCs w:val="18"/>
          <w:lang w:val="de-DE"/>
        </w:rPr>
        <w:t>und Open Value Subscription-</w:t>
      </w:r>
      <w:r w:rsidRPr="00C83DF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CA0E2D" w:rsidRPr="00DF3F89" w:rsidRDefault="00CA0E2D" w:rsidP="00CA0E2D">
      <w:pPr>
        <w:tabs>
          <w:tab w:val="left" w:pos="720"/>
        </w:tabs>
        <w:ind w:left="720"/>
        <w:contextualSpacing/>
        <w:rPr>
          <w:lang w:val="de-DE"/>
        </w:rPr>
      </w:pPr>
    </w:p>
    <w:p w:rsidR="00A81E83" w:rsidRPr="00C83DF5" w:rsidRDefault="00A81E83" w:rsidP="00EA021C">
      <w:pPr>
        <w:numPr>
          <w:ilvl w:val="2"/>
          <w:numId w:val="50"/>
        </w:numPr>
        <w:tabs>
          <w:tab w:val="left" w:pos="1440"/>
        </w:tabs>
        <w:spacing w:after="60"/>
        <w:ind w:left="1440"/>
        <w:rPr>
          <w:lang w:val="de-DE"/>
        </w:rPr>
      </w:pPr>
      <w:r w:rsidRPr="00C83DF5">
        <w:rPr>
          <w:rFonts w:eastAsia="Calibri" w:cs="Tahoma"/>
          <w:szCs w:val="18"/>
          <w:lang w:val="de-DE"/>
        </w:rPr>
        <w:t>Wie im ersten Absatz dieses Produkthinweises dargelegt, sind vor dem 1. April 2015 erworbene</w:t>
      </w:r>
      <w:r w:rsidR="00EA021C">
        <w:rPr>
          <w:rFonts w:eastAsia="Calibri" w:cs="Tahoma"/>
          <w:szCs w:val="18"/>
          <w:lang w:val="de-DE"/>
        </w:rPr>
        <w:t> </w:t>
      </w:r>
      <w:r w:rsidRPr="00C83DF5">
        <w:rPr>
          <w:rFonts w:eastAsia="Calibri" w:cs="Tahoma"/>
          <w:szCs w:val="18"/>
          <w:lang w:val="de-DE"/>
        </w:rPr>
        <w:t>Lizenzen qualifizierende Lizenzen, und Kunden sind berechtigt, SQL Server 2012 in Übereinstimmung mit den Bestimmungen im Abschnitt oben mit der Überschrift „Für Kunden mit</w:t>
      </w:r>
      <w:r w:rsidR="00EA021C">
        <w:rPr>
          <w:rFonts w:eastAsia="Calibri" w:cs="Tahoma"/>
          <w:szCs w:val="18"/>
          <w:lang w:val="de-DE"/>
        </w:rPr>
        <w:t> </w:t>
      </w:r>
      <w:r w:rsidRPr="00C83DF5">
        <w:rPr>
          <w:rFonts w:eastAsia="Calibri" w:cs="Tahoma"/>
          <w:szCs w:val="18"/>
          <w:lang w:val="de-DE"/>
        </w:rPr>
        <w:t xml:space="preserve">Software Assurance, die vor dem 1. April 2015 abläuft, die sich gegen eine Verlängerung entscheiden“ weiterhin zu verwenden, und </w:t>
      </w:r>
    </w:p>
    <w:p w:rsidR="00A81E83" w:rsidRPr="00C83DF5" w:rsidRDefault="00A81E83" w:rsidP="00EA021C">
      <w:pPr>
        <w:numPr>
          <w:ilvl w:val="2"/>
          <w:numId w:val="50"/>
        </w:numPr>
        <w:tabs>
          <w:tab w:val="left" w:pos="1440"/>
        </w:tabs>
        <w:spacing w:after="60"/>
        <w:ind w:left="1440"/>
        <w:rPr>
          <w:lang w:val="de-DE"/>
        </w:rPr>
      </w:pPr>
      <w:r w:rsidRPr="00C83DF5">
        <w:rPr>
          <w:rFonts w:eastAsia="Calibri" w:cs="Tahoma"/>
          <w:szCs w:val="18"/>
          <w:lang w:val="de-DE"/>
        </w:rPr>
        <w:t>für Lizenzen, die nach dem 1. April 2015 erworben wurden, verfügt die Prozessorlizenz von Kunden</w:t>
      </w:r>
      <w:r w:rsidR="00EA021C">
        <w:rPr>
          <w:rFonts w:eastAsia="Calibri" w:cs="Tahoma"/>
          <w:szCs w:val="18"/>
          <w:lang w:val="de-DE"/>
        </w:rPr>
        <w:t> </w:t>
      </w:r>
      <w:r w:rsidRPr="00C83DF5">
        <w:rPr>
          <w:rFonts w:eastAsia="Calibri" w:cs="Tahoma"/>
          <w:szCs w:val="18"/>
          <w:lang w:val="de-DE"/>
        </w:rPr>
        <w:t>über eine Core-Äquivalenz von acht Core-Lizenzen für SQL Server 2012 Enterprise. Für</w:t>
      </w:r>
      <w:r w:rsidR="00EA021C">
        <w:rPr>
          <w:rFonts w:eastAsia="Calibri" w:cs="Tahoma"/>
          <w:szCs w:val="18"/>
          <w:lang w:val="de-DE"/>
        </w:rPr>
        <w:t> </w:t>
      </w:r>
      <w:r w:rsidRPr="00C83DF5">
        <w:rPr>
          <w:rFonts w:eastAsia="Calibri" w:cs="Tahoma"/>
          <w:szCs w:val="18"/>
          <w:lang w:val="de-DE"/>
        </w:rPr>
        <w:t>die</w:t>
      </w:r>
      <w:r w:rsidR="00EA021C">
        <w:rPr>
          <w:rFonts w:eastAsia="Calibri" w:cs="Tahoma"/>
          <w:szCs w:val="18"/>
          <w:lang w:val="de-DE"/>
        </w:rPr>
        <w:t> </w:t>
      </w:r>
      <w:r w:rsidRPr="00C83DF5">
        <w:rPr>
          <w:rFonts w:eastAsia="Calibri" w:cs="Tahoma"/>
          <w:szCs w:val="18"/>
          <w:lang w:val="de-DE"/>
        </w:rPr>
        <w:t>kontinuierliche Verwendung von SQL Server 2012 auf Prozessoren, die mehr als acht Core-Lizenzen pro Prozessor erfordern, muss der Kunde die zusätzlichen Core-Lizenzen erwerben.</w:t>
      </w:r>
    </w:p>
    <w:p w:rsidR="00CA0E2D" w:rsidRPr="00C83DF5" w:rsidRDefault="00CA0E2D" w:rsidP="00CA0E2D">
      <w:pPr>
        <w:tabs>
          <w:tab w:val="left" w:pos="1440"/>
        </w:tabs>
        <w:ind w:left="1440"/>
        <w:contextualSpacing/>
        <w:rPr>
          <w:lang w:val="de-DE"/>
        </w:rPr>
      </w:pPr>
    </w:p>
    <w:p w:rsidR="00CA0E2D" w:rsidRPr="00C83DF5" w:rsidRDefault="00A81E83" w:rsidP="0080688E">
      <w:pPr>
        <w:tabs>
          <w:tab w:val="left" w:pos="720"/>
        </w:tabs>
        <w:spacing w:after="60"/>
        <w:ind w:left="720"/>
        <w:rPr>
          <w:lang w:val="de-DE"/>
        </w:rPr>
      </w:pPr>
      <w:r w:rsidRPr="00C83DF5">
        <w:rPr>
          <w:rFonts w:eastAsia="Calibri" w:cs="Tahoma"/>
          <w:b/>
          <w:szCs w:val="18"/>
          <w:lang w:val="de-DE"/>
        </w:rPr>
        <w:t>Für Kunden in der Volksrepublik China, die dort Prozessorlizenzen und Software Assurance für</w:t>
      </w:r>
      <w:r w:rsidR="0080688E">
        <w:rPr>
          <w:rFonts w:eastAsia="Calibri" w:cs="Tahoma"/>
          <w:b/>
          <w:szCs w:val="18"/>
          <w:lang w:val="de-DE"/>
        </w:rPr>
        <w:t> </w:t>
      </w:r>
      <w:r w:rsidRPr="00C83DF5">
        <w:rPr>
          <w:rFonts w:eastAsia="Calibri" w:cs="Tahoma"/>
          <w:b/>
          <w:szCs w:val="18"/>
          <w:lang w:val="de-DE"/>
        </w:rPr>
        <w:t>SQL Server 2008 R2 erwerben</w:t>
      </w:r>
    </w:p>
    <w:p w:rsidR="00A81E83" w:rsidRPr="00C83DF5" w:rsidRDefault="00A81E83" w:rsidP="0080688E">
      <w:pPr>
        <w:tabs>
          <w:tab w:val="left" w:pos="720"/>
        </w:tabs>
        <w:ind w:left="720"/>
        <w:contextualSpacing/>
        <w:rPr>
          <w:lang w:val="de-DE"/>
        </w:rPr>
      </w:pPr>
      <w:r w:rsidRPr="00C83DF5">
        <w:rPr>
          <w:lang w:val="de-DE"/>
        </w:rPr>
        <w:t>Die Verweise auf den 1. April 2012 und den 1. April 2015 in dieser Produktliste sind nicht anwendbar. Die</w:t>
      </w:r>
      <w:r w:rsidR="0080688E">
        <w:rPr>
          <w:lang w:val="de-DE"/>
        </w:rPr>
        <w:t> </w:t>
      </w:r>
      <w:r w:rsidRPr="00C83DF5">
        <w:rPr>
          <w:lang w:val="de-DE"/>
        </w:rPr>
        <w:t>anwendbaren Daten für diese Kunden sind der 1. Juli 2012 bzw. der 1. Juli 2015.</w:t>
      </w:r>
    </w:p>
    <w:p w:rsidR="00A81E83" w:rsidRPr="00C83DF5" w:rsidRDefault="00A81E83" w:rsidP="00A5643F">
      <w:pPr>
        <w:rPr>
          <w:lang w:val="de-DE"/>
        </w:rPr>
      </w:pPr>
    </w:p>
    <w:p w:rsidR="00A81E83" w:rsidRPr="00C83DF5" w:rsidRDefault="00A81E83" w:rsidP="00A81E83">
      <w:pPr>
        <w:ind w:left="900"/>
        <w:rPr>
          <w:lang w:val="de-DE"/>
        </w:rPr>
      </w:pPr>
    </w:p>
    <w:p w:rsidR="00A81E83" w:rsidRPr="00C83DF5" w:rsidRDefault="00A560B6" w:rsidP="00A81E83">
      <w:pPr>
        <w:pStyle w:val="Heading3"/>
        <w:rPr>
          <w:lang w:val="de-DE"/>
        </w:rPr>
      </w:pPr>
      <w:bookmarkStart w:id="1446" w:name="_76_74_SQL"/>
      <w:bookmarkStart w:id="1447" w:name="_Toc336338341"/>
      <w:bookmarkStart w:id="1448" w:name="Srv_83SQL2008R2Smallbiz"/>
      <w:bookmarkStart w:id="1449" w:name="_Toc370983448"/>
      <w:bookmarkEnd w:id="1446"/>
      <w:r w:rsidRPr="00C83DF5">
        <w:rPr>
          <w:rFonts w:ascii="Tahoma" w:hAnsi="Tahoma" w:cs="Tahoma"/>
          <w:caps/>
          <w:color w:val="FE6700"/>
          <w:sz w:val="22"/>
          <w:vertAlign w:val="superscript"/>
          <w:lang w:val="de-DE"/>
        </w:rPr>
        <w:t>80</w:t>
      </w:r>
      <w:r w:rsidRPr="0080688E">
        <w:rPr>
          <w:rFonts w:ascii="Tahoma" w:hAnsi="Tahoma" w:cs="Tahoma"/>
          <w:caps/>
          <w:color w:val="FE6700"/>
          <w:sz w:val="22"/>
          <w:lang w:val="de-DE"/>
        </w:rPr>
        <w:t xml:space="preserve"> </w:t>
      </w:r>
      <w:r w:rsidRPr="00C83DF5">
        <w:rPr>
          <w:rFonts w:ascii="Tahoma" w:hAnsi="Tahoma" w:cs="Tahoma"/>
          <w:color w:val="FE6700"/>
          <w:sz w:val="22"/>
          <w:lang w:val="de-DE"/>
        </w:rPr>
        <w:t>SQL Server</w:t>
      </w:r>
      <w:r w:rsidRPr="00C83DF5">
        <w:rPr>
          <w:rFonts w:ascii="Tahoma" w:hAnsi="Tahoma" w:cs="Tahoma"/>
          <w:color w:val="FE6700"/>
          <w:sz w:val="22"/>
          <w:vertAlign w:val="superscript"/>
          <w:lang w:val="de-DE"/>
        </w:rPr>
        <w:t>®</w:t>
      </w:r>
      <w:r w:rsidRPr="00C83DF5">
        <w:rPr>
          <w:rFonts w:ascii="Tahoma" w:hAnsi="Tahoma" w:cs="Tahoma"/>
          <w:color w:val="FE6700"/>
          <w:sz w:val="22"/>
          <w:lang w:val="de-DE"/>
        </w:rPr>
        <w:t xml:space="preserve"> 2008 R2 Small Business</w:t>
      </w:r>
      <w:bookmarkEnd w:id="1447"/>
      <w:bookmarkEnd w:id="1449"/>
    </w:p>
    <w:bookmarkEnd w:id="1448"/>
    <w:p w:rsidR="00A81E83" w:rsidRPr="00C83DF5" w:rsidRDefault="00A81E83" w:rsidP="00BD4B91">
      <w:pPr>
        <w:rPr>
          <w:lang w:val="de-DE"/>
        </w:rPr>
      </w:pPr>
    </w:p>
    <w:p w:rsidR="00CA0E2D" w:rsidRPr="00C83DF5" w:rsidRDefault="00A81E83" w:rsidP="00CA0E2D">
      <w:pPr>
        <w:spacing w:after="60" w:line="276" w:lineRule="auto"/>
        <w:ind w:left="720"/>
        <w:rPr>
          <w:lang w:val="de-DE"/>
        </w:rPr>
      </w:pPr>
      <w:r w:rsidRPr="00C83DF5">
        <w:rPr>
          <w:rFonts w:eastAsia="Calibri" w:cs="Tahoma"/>
          <w:b/>
          <w:szCs w:val="18"/>
          <w:lang w:val="de-DE"/>
        </w:rPr>
        <w:t>Lizenzgewährungen im Zusammenhang mit dem Ende der Lebensdauer von SQL Server Small Business Edition</w:t>
      </w:r>
    </w:p>
    <w:p w:rsidR="00A81E83" w:rsidRPr="00C83DF5" w:rsidRDefault="00A81E83" w:rsidP="00BE2C51">
      <w:pPr>
        <w:spacing w:after="200"/>
        <w:ind w:left="720"/>
        <w:rPr>
          <w:lang w:val="de-DE"/>
        </w:rPr>
      </w:pPr>
      <w:r w:rsidRPr="00C83DF5">
        <w:rPr>
          <w:rFonts w:eastAsia="Calibri" w:cs="Tahoma"/>
          <w:szCs w:val="18"/>
          <w:lang w:val="de-DE"/>
        </w:rPr>
        <w:t>SQL Server 2008 R2 für Small Business ist die letzte Version von SQL Server für Small Business Edition.</w:t>
      </w:r>
      <w:r w:rsidR="00E71F46" w:rsidRPr="00C83DF5">
        <w:rPr>
          <w:rFonts w:eastAsia="Calibri" w:cs="Tahoma"/>
          <w:szCs w:val="18"/>
          <w:lang w:val="de-DE"/>
        </w:rPr>
        <w:t xml:space="preserve"> </w:t>
      </w:r>
      <w:r w:rsidRPr="00C83DF5">
        <w:rPr>
          <w:rFonts w:eastAsia="Calibri" w:cs="Tahoma"/>
          <w:szCs w:val="18"/>
          <w:lang w:val="de-DE"/>
        </w:rPr>
        <w:t>Als</w:t>
      </w:r>
      <w:r w:rsidR="00BE2C51">
        <w:rPr>
          <w:rFonts w:eastAsia="Calibri" w:cs="Tahoma"/>
          <w:szCs w:val="18"/>
          <w:lang w:val="de-DE"/>
        </w:rPr>
        <w:t> </w:t>
      </w:r>
      <w:r w:rsidRPr="00C83DF5">
        <w:rPr>
          <w:rFonts w:eastAsia="Calibri" w:cs="Tahoma"/>
          <w:szCs w:val="18"/>
          <w:lang w:val="de-DE"/>
        </w:rPr>
        <w:t>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w:t>
      </w:r>
      <w:r w:rsidR="00BE2C51">
        <w:rPr>
          <w:rFonts w:eastAsia="Calibri" w:cs="Tahoma"/>
          <w:szCs w:val="18"/>
          <w:lang w:val="de-DE"/>
        </w:rPr>
        <w:t> </w:t>
      </w:r>
      <w:r w:rsidRPr="00C83DF5">
        <w:rPr>
          <w:rFonts w:eastAsia="Calibri" w:cs="Tahoma"/>
          <w:szCs w:val="18"/>
          <w:lang w:val="de-DE"/>
        </w:rPr>
        <w:t>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00E71F46" w:rsidRPr="00C83DF5">
        <w:rPr>
          <w:rFonts w:eastAsia="Calibri" w:cs="Tahoma"/>
          <w:szCs w:val="18"/>
          <w:lang w:val="de-DE"/>
        </w:rPr>
        <w:t xml:space="preserve"> </w:t>
      </w:r>
      <w:r w:rsidRPr="00C83DF5">
        <w:rPr>
          <w:rFonts w:eastAsia="Calibri" w:cs="Tahoma"/>
          <w:szCs w:val="18"/>
          <w:lang w:val="de-DE"/>
        </w:rPr>
        <w:t>Die SQL Server Small Business-Lizenzen des Kunden sind bei Erwerb von Software Assurance für SQL Server Standard unter diesem Angebot nicht mehr gültig.</w:t>
      </w:r>
    </w:p>
    <w:p w:rsidR="00CA0E2D" w:rsidRPr="00C83DF5" w:rsidRDefault="00A81E83" w:rsidP="00CA0E2D">
      <w:pPr>
        <w:spacing w:after="60" w:line="276" w:lineRule="auto"/>
        <w:ind w:left="720"/>
        <w:rPr>
          <w:lang w:val="de-DE"/>
        </w:rPr>
      </w:pPr>
      <w:r w:rsidRPr="00C83DF5">
        <w:rPr>
          <w:b/>
          <w:lang w:val="de-DE"/>
        </w:rPr>
        <w:t>Für Kunden in der Volksrepublik</w:t>
      </w:r>
      <w:r w:rsidRPr="00C83DF5">
        <w:rPr>
          <w:lang w:val="de-DE"/>
        </w:rPr>
        <w:t xml:space="preserve"> </w:t>
      </w:r>
      <w:r w:rsidRPr="00C83DF5">
        <w:rPr>
          <w:b/>
          <w:lang w:val="de-DE"/>
        </w:rPr>
        <w:t>China, die dort Lizenzen und Software Assurance für SQL Server 2008 R2 erwerben</w:t>
      </w:r>
    </w:p>
    <w:p w:rsidR="00CA0E2D" w:rsidRPr="00C83DF5" w:rsidRDefault="00A81E83" w:rsidP="00CA0E2D">
      <w:pPr>
        <w:ind w:left="720"/>
        <w:rPr>
          <w:lang w:val="de-DE"/>
        </w:rPr>
      </w:pPr>
      <w:r w:rsidRPr="00C83DF5">
        <w:rPr>
          <w:lang w:val="de-DE"/>
        </w:rPr>
        <w:t>Die Verweise auf den 1. April 2012 in dieser Produktliste sind nicht anwendbar. Das anwendbare Datum für diese Kunden ist der 1. Juli 2012.</w:t>
      </w:r>
    </w:p>
    <w:p w:rsidR="00CA0E2D" w:rsidRPr="00C83DF5" w:rsidRDefault="00CA0E2D" w:rsidP="00FF409C">
      <w:pPr>
        <w:ind w:left="720"/>
        <w:rPr>
          <w:lang w:val="de-DE"/>
        </w:rPr>
      </w:pPr>
    </w:p>
    <w:p w:rsidR="002512D3" w:rsidRDefault="002512D3" w:rsidP="00FF409C">
      <w:pPr>
        <w:rPr>
          <w:lang w:val="de-DE"/>
        </w:rPr>
      </w:pPr>
      <w:bookmarkStart w:id="1450" w:name="_Toc336338342"/>
      <w:bookmarkStart w:id="1451" w:name="Srv_84SQL2008R2Webproc"/>
    </w:p>
    <w:p w:rsidR="00FF409C" w:rsidRDefault="00FF409C" w:rsidP="00FF409C">
      <w:pPr>
        <w:rPr>
          <w:lang w:val="de-DE"/>
        </w:rPr>
      </w:pPr>
    </w:p>
    <w:p w:rsidR="00FF409C" w:rsidRPr="00C83DF5" w:rsidRDefault="00FF409C" w:rsidP="00FF409C">
      <w:pPr>
        <w:rPr>
          <w:lang w:val="de-DE"/>
        </w:rPr>
      </w:pPr>
    </w:p>
    <w:p w:rsidR="00A81E83" w:rsidRPr="00C83DF5" w:rsidRDefault="00A560B6" w:rsidP="00A81E83">
      <w:pPr>
        <w:pStyle w:val="Heading3"/>
        <w:rPr>
          <w:lang w:val="de-DE"/>
        </w:rPr>
      </w:pPr>
      <w:bookmarkStart w:id="1452" w:name="_77_75_SQL"/>
      <w:bookmarkStart w:id="1453" w:name="_Toc370983449"/>
      <w:bookmarkEnd w:id="1452"/>
      <w:r w:rsidRPr="00C83DF5">
        <w:rPr>
          <w:rFonts w:ascii="Tahoma" w:hAnsi="Tahoma" w:cs="Tahoma"/>
          <w:caps/>
          <w:color w:val="F66400"/>
          <w:sz w:val="22"/>
          <w:vertAlign w:val="superscript"/>
          <w:lang w:val="de-DE"/>
        </w:rPr>
        <w:t>81</w:t>
      </w:r>
      <w:r w:rsidRPr="00C83DF5">
        <w:rPr>
          <w:rFonts w:ascii="Tahoma" w:hAnsi="Tahoma" w:cs="Tahoma"/>
          <w:color w:val="F66400"/>
          <w:sz w:val="22"/>
          <w:lang w:val="de-DE"/>
        </w:rPr>
        <w:t xml:space="preserve"> SQL Server</w:t>
      </w:r>
      <w:r w:rsidRPr="00C83DF5">
        <w:rPr>
          <w:rFonts w:ascii="Tahoma" w:hAnsi="Tahoma" w:cs="Tahoma"/>
          <w:color w:val="F66400"/>
          <w:sz w:val="22"/>
          <w:vertAlign w:val="superscript"/>
          <w:lang w:val="de-DE"/>
        </w:rPr>
        <w:t>®</w:t>
      </w:r>
      <w:r w:rsidRPr="00C83DF5">
        <w:rPr>
          <w:rFonts w:ascii="Tahoma" w:hAnsi="Tahoma" w:cs="Tahoma"/>
          <w:color w:val="F66400"/>
          <w:sz w:val="22"/>
          <w:lang w:val="de-DE"/>
        </w:rPr>
        <w:t xml:space="preserve"> 2008 R2 Web-Prozessor</w:t>
      </w:r>
      <w:bookmarkEnd w:id="1450"/>
      <w:bookmarkEnd w:id="1453"/>
    </w:p>
    <w:bookmarkEnd w:id="1451"/>
    <w:p w:rsidR="00A81E83" w:rsidRPr="00C83DF5" w:rsidRDefault="00A81E83" w:rsidP="008558DC">
      <w:pPr>
        <w:rPr>
          <w:lang w:val="de-DE"/>
        </w:rPr>
      </w:pPr>
    </w:p>
    <w:p w:rsidR="008558DC" w:rsidRPr="00C83DF5" w:rsidRDefault="00A81E83" w:rsidP="008558DC">
      <w:pPr>
        <w:spacing w:after="60"/>
        <w:ind w:left="720"/>
        <w:rPr>
          <w:lang w:val="de-DE"/>
        </w:rPr>
      </w:pPr>
      <w:r w:rsidRPr="00C83DF5">
        <w:rPr>
          <w:rFonts w:eastAsia="Calibri" w:cs="Tahoma"/>
          <w:b/>
          <w:szCs w:val="18"/>
          <w:lang w:val="de-DE"/>
        </w:rPr>
        <w:lastRenderedPageBreak/>
        <w:t>Lizenzgewährungen im Zusammenhang mit der Änderung des Lizenzmodells</w:t>
      </w:r>
    </w:p>
    <w:p w:rsidR="00A81E83" w:rsidRPr="00C83DF5" w:rsidRDefault="00A81E83" w:rsidP="00FF409C">
      <w:pPr>
        <w:ind w:left="720"/>
        <w:rPr>
          <w:lang w:val="de-DE"/>
        </w:rPr>
      </w:pPr>
      <w:r w:rsidRPr="00C83DF5">
        <w:rPr>
          <w:rFonts w:eastAsia="Calibri" w:cs="Tahoma"/>
          <w:szCs w:val="18"/>
          <w:lang w:val="de-DE"/>
        </w:rPr>
        <w:t>SQL Server 2008 R2 ist die letzte Version von SQL Server, die unter dem Pro-Prozessor-Lizenzmodell lizenziert wird, und die letzte Version von SQL Server Web Edition unter Volumenlizenz-Endbenutzerprogrammen.</w:t>
      </w:r>
      <w:r w:rsidR="00E71F46" w:rsidRPr="00C83DF5">
        <w:rPr>
          <w:rFonts w:eastAsia="Calibri" w:cs="Tahoma"/>
          <w:szCs w:val="18"/>
          <w:lang w:val="de-DE"/>
        </w:rPr>
        <w:t xml:space="preserve"> </w:t>
      </w:r>
      <w:r w:rsidRPr="00C83DF5">
        <w:rPr>
          <w:rFonts w:eastAsia="Calibri" w:cs="Tahoma"/>
          <w:szCs w:val="18"/>
          <w:lang w:val="de-DE"/>
        </w:rPr>
        <w:t xml:space="preserve">Als Ausnahme erhalten Volumenlizenzkunden, die am 1. April 2012 über aktive Software Assurance für SQL Server 2008 R2 Web-Prozessorlizenzen („qualifizierende Lizenzen“) verfügen, die folgenden Optionen. </w:t>
      </w:r>
      <w:r w:rsidRPr="00C83DF5">
        <w:rPr>
          <w:lang w:val="de-DE"/>
        </w:rPr>
        <w:t>Prozessorlizenzen für SQL Server 2008 R2 Web</w:t>
      </w:r>
      <w:r w:rsidRPr="00C83DF5">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E71F46" w:rsidRPr="00C83DF5">
        <w:rPr>
          <w:rFonts w:cs="Tahoma"/>
          <w:bCs/>
          <w:color w:val="000000"/>
          <w:szCs w:val="18"/>
          <w:lang w:val="de-DE"/>
        </w:rPr>
        <w:t xml:space="preserve"> </w:t>
      </w:r>
      <w:r w:rsidRPr="00C83DF5">
        <w:rPr>
          <w:rFonts w:cs="Tahoma"/>
          <w:bCs/>
          <w:color w:val="000000"/>
          <w:szCs w:val="18"/>
          <w:lang w:val="de-DE"/>
        </w:rPr>
        <w:t>Lizenzen, die nach dem</w:t>
      </w:r>
      <w:r w:rsidR="00FF409C">
        <w:rPr>
          <w:rFonts w:cs="Tahoma"/>
          <w:bCs/>
          <w:color w:val="000000"/>
          <w:szCs w:val="18"/>
          <w:lang w:val="de-DE"/>
        </w:rPr>
        <w:t> </w:t>
      </w:r>
      <w:r w:rsidRPr="00C83DF5">
        <w:rPr>
          <w:rFonts w:cs="Tahoma"/>
          <w:bCs/>
          <w:color w:val="000000"/>
          <w:szCs w:val="18"/>
          <w:lang w:val="de-DE"/>
        </w:rPr>
        <w:t>1. April 2015 oder unter einer nachfolgenden Beitrittslaufzeit, einem separaten Vertrag oder einem</w:t>
      </w:r>
      <w:r w:rsidR="00FF409C">
        <w:rPr>
          <w:rFonts w:cs="Tahoma"/>
          <w:bCs/>
          <w:color w:val="000000"/>
          <w:szCs w:val="18"/>
          <w:lang w:val="de-DE"/>
        </w:rPr>
        <w:t> </w:t>
      </w:r>
      <w:r w:rsidRPr="00C83DF5">
        <w:rPr>
          <w:rFonts w:cs="Tahoma"/>
          <w:bCs/>
          <w:color w:val="000000"/>
          <w:szCs w:val="18"/>
          <w:lang w:val="de-DE"/>
        </w:rPr>
        <w:t>Beitritt erworben werden, dessen Wirksamkeitsdatum nach dem 1. April 2012 liegt, sind keine</w:t>
      </w:r>
      <w:r w:rsidR="00FF409C">
        <w:rPr>
          <w:rFonts w:cs="Tahoma"/>
          <w:bCs/>
          <w:color w:val="000000"/>
          <w:szCs w:val="18"/>
          <w:lang w:val="de-DE"/>
        </w:rPr>
        <w:t> </w:t>
      </w:r>
      <w:r w:rsidRPr="00C83DF5">
        <w:rPr>
          <w:rFonts w:cs="Tahoma"/>
          <w:bCs/>
          <w:color w:val="000000"/>
          <w:szCs w:val="18"/>
          <w:lang w:val="de-DE"/>
        </w:rPr>
        <w:t>qualifizierenden Lizenzen.</w:t>
      </w:r>
    </w:p>
    <w:p w:rsidR="008558DC" w:rsidRPr="00C83DF5" w:rsidRDefault="008558DC" w:rsidP="008558DC">
      <w:pPr>
        <w:ind w:left="720"/>
        <w:rPr>
          <w:lang w:val="de-DE"/>
        </w:rPr>
      </w:pPr>
    </w:p>
    <w:p w:rsidR="008558DC" w:rsidRPr="00C83DF5" w:rsidRDefault="008558DC" w:rsidP="008558DC">
      <w:pPr>
        <w:spacing w:after="60"/>
        <w:ind w:left="720"/>
        <w:rPr>
          <w:lang w:val="de-DE"/>
        </w:rPr>
      </w:pPr>
      <w:r w:rsidRPr="00C83DF5">
        <w:rPr>
          <w:rFonts w:eastAsia="Calibri" w:cs="Tahoma"/>
          <w:b/>
          <w:szCs w:val="18"/>
          <w:lang w:val="de-DE"/>
        </w:rPr>
        <w:t>Aktuelle Laufzeit</w:t>
      </w:r>
    </w:p>
    <w:p w:rsidR="008558DC" w:rsidRPr="00C83DF5" w:rsidRDefault="00A81E83" w:rsidP="00FF409C">
      <w:pPr>
        <w:ind w:left="720"/>
        <w:rPr>
          <w:lang w:val="de-DE"/>
        </w:rPr>
      </w:pPr>
      <w:r w:rsidRPr="00C83DF5">
        <w:rPr>
          <w:rFonts w:eastAsia="Calibri" w:cs="Tahoma"/>
          <w:szCs w:val="18"/>
          <w:lang w:val="de-DE"/>
        </w:rPr>
        <w:t>Während der aktuellen Laufzeit ihrer Software Assurance zum 1. April 2012 sind Kunden (einschließlich</w:t>
      </w:r>
      <w:r w:rsidR="00FF409C">
        <w:rPr>
          <w:rFonts w:eastAsia="Calibri" w:cs="Tahoma"/>
          <w:szCs w:val="18"/>
          <w:lang w:val="de-DE"/>
        </w:rPr>
        <w:t> </w:t>
      </w:r>
      <w:r w:rsidRPr="00C83DF5">
        <w:rPr>
          <w:rFonts w:eastAsia="Calibri" w:cs="Tahoma"/>
          <w:szCs w:val="18"/>
          <w:lang w:val="de-DE"/>
        </w:rPr>
        <w:t>Kunden mit Abonnementverträgen) unter qualifizierenden Lizenzen berechtigt, vorbehaltlich</w:t>
      </w:r>
      <w:r w:rsidR="00FF409C">
        <w:rPr>
          <w:rFonts w:eastAsia="Calibri" w:cs="Tahoma"/>
          <w:szCs w:val="18"/>
          <w:lang w:val="de-DE"/>
        </w:rPr>
        <w:t> </w:t>
      </w:r>
      <w:r w:rsidRPr="00C83DF5">
        <w:rPr>
          <w:rFonts w:eastAsia="Calibri" w:cs="Tahoma"/>
          <w:szCs w:val="18"/>
          <w:lang w:val="de-DE"/>
        </w:rPr>
        <w:t>der Produktbenutzungsrechte für SQL Server 2008 R2 Standard-Prozessorlizenzen (wie in den</w:t>
      </w:r>
      <w:r w:rsidR="00FF409C">
        <w:rPr>
          <w:rFonts w:eastAsia="Calibri" w:cs="Tahoma"/>
          <w:szCs w:val="18"/>
          <w:lang w:val="de-DE"/>
        </w:rPr>
        <w:t> </w:t>
      </w:r>
      <w:r w:rsidRPr="00C83DF5">
        <w:rPr>
          <w:rFonts w:eastAsia="Calibri" w:cs="Tahoma"/>
          <w:szCs w:val="18"/>
          <w:lang w:val="de-DE"/>
        </w:rPr>
        <w:t>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00E71F46" w:rsidRPr="00C83DF5">
        <w:rPr>
          <w:rFonts w:eastAsia="Calibri" w:cs="Tahoma"/>
          <w:szCs w:val="18"/>
          <w:lang w:val="de-DE"/>
        </w:rPr>
        <w:t xml:space="preserve"> </w:t>
      </w:r>
      <w:r w:rsidRPr="00C83DF5">
        <w:rPr>
          <w:rFonts w:eastAsia="Calibri" w:cs="Tahoma"/>
          <w:szCs w:val="18"/>
          <w:lang w:val="de-DE"/>
        </w:rPr>
        <w:t>Die Lizenzbestimmungen für Lizenzmobilität finden Kunden in den Produktbenutzungsrechten für</w:t>
      </w:r>
      <w:r w:rsidR="00FF409C">
        <w:rPr>
          <w:rFonts w:eastAsia="Calibri" w:cs="Tahoma"/>
          <w:szCs w:val="18"/>
          <w:lang w:val="de-DE"/>
        </w:rPr>
        <w:t> </w:t>
      </w:r>
      <w:r w:rsidRPr="00C83DF5">
        <w:rPr>
          <w:rFonts w:eastAsia="Calibri" w:cs="Tahoma"/>
          <w:szCs w:val="18"/>
          <w:lang w:val="de-DE"/>
        </w:rPr>
        <w:t>SQL Server 2012 Standard Core.</w:t>
      </w:r>
    </w:p>
    <w:p w:rsidR="008558DC" w:rsidRPr="00DF3F89" w:rsidRDefault="008558DC" w:rsidP="008558DC">
      <w:pPr>
        <w:ind w:left="720"/>
        <w:rPr>
          <w:rFonts w:eastAsia="Calibri" w:cs="Tahoma"/>
          <w:b/>
          <w:szCs w:val="18"/>
          <w:lang w:val="de-DE"/>
        </w:rPr>
      </w:pPr>
    </w:p>
    <w:p w:rsidR="008558DC" w:rsidRPr="00C83DF5" w:rsidRDefault="00A81E83" w:rsidP="008558DC">
      <w:pPr>
        <w:spacing w:after="60"/>
        <w:ind w:left="720"/>
        <w:rPr>
          <w:lang w:val="de-DE"/>
        </w:rPr>
      </w:pPr>
      <w:r w:rsidRPr="00C83DF5">
        <w:rPr>
          <w:rFonts w:eastAsia="Calibri" w:cs="Tahoma"/>
          <w:b/>
          <w:szCs w:val="18"/>
          <w:lang w:val="de-DE"/>
        </w:rPr>
        <w:t>Erster Verlängerungszeitraum (vor dem 1. April 2015)</w:t>
      </w:r>
    </w:p>
    <w:p w:rsidR="00A81E83" w:rsidRPr="00C83DF5" w:rsidRDefault="00A81E83" w:rsidP="0021021E">
      <w:pPr>
        <w:ind w:left="720"/>
        <w:rPr>
          <w:lang w:val="de-DE"/>
        </w:rPr>
      </w:pPr>
      <w:r w:rsidRPr="00C83DF5">
        <w:rPr>
          <w:rFonts w:eastAsia="Calibri" w:cs="Tahoma"/>
          <w:szCs w:val="18"/>
          <w:lang w:val="de-DE"/>
        </w:rPr>
        <w:t>Bei der ersten Software Assurance-Verlängerung am oder nach dem 1. April 2012 (jedoch vor</w:t>
      </w:r>
      <w:r w:rsidR="0021021E">
        <w:rPr>
          <w:rFonts w:eastAsia="Calibri" w:cs="Tahoma"/>
          <w:szCs w:val="18"/>
          <w:lang w:val="de-DE"/>
        </w:rPr>
        <w:t> </w:t>
      </w:r>
      <w:r w:rsidRPr="00C83DF5">
        <w:rPr>
          <w:rFonts w:eastAsia="Calibri" w:cs="Tahoma"/>
          <w:szCs w:val="18"/>
          <w:lang w:val="de-DE"/>
        </w:rPr>
        <w:t>dem</w:t>
      </w:r>
      <w:r w:rsidR="0021021E">
        <w:rPr>
          <w:rFonts w:eastAsia="Calibri" w:cs="Tahoma"/>
          <w:szCs w:val="18"/>
          <w:lang w:val="de-DE"/>
        </w:rPr>
        <w:t> </w:t>
      </w:r>
      <w:r w:rsidRPr="00C83DF5">
        <w:rPr>
          <w:rFonts w:eastAsia="Calibri" w:cs="Tahoma"/>
          <w:szCs w:val="18"/>
          <w:lang w:val="de-DE"/>
        </w:rPr>
        <w:t>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A81E83" w:rsidRPr="00C83DF5" w:rsidRDefault="00A81E83" w:rsidP="0021021E">
      <w:pPr>
        <w:numPr>
          <w:ilvl w:val="0"/>
          <w:numId w:val="116"/>
        </w:numPr>
        <w:tabs>
          <w:tab w:val="left" w:pos="1800"/>
        </w:tabs>
        <w:spacing w:after="60"/>
        <w:rPr>
          <w:lang w:val="de-DE"/>
        </w:rPr>
      </w:pPr>
      <w:r w:rsidRPr="00C83DF5">
        <w:rPr>
          <w:rFonts w:eastAsia="Calibri" w:cs="Tahoma"/>
          <w:szCs w:val="18"/>
          <w:lang w:val="de-DE"/>
        </w:rPr>
        <w:t>eine Anzahl, die der Anzahl von dem Server zugewiesenen qualifizierenden Lizenzen oder der Gesamtzahl von physischen Prozessoren auf dem Server entspricht, multipliziert mit dem größeren</w:t>
      </w:r>
      <w:r w:rsidR="0021021E">
        <w:rPr>
          <w:rFonts w:eastAsia="Calibri" w:cs="Tahoma"/>
          <w:szCs w:val="18"/>
          <w:lang w:val="de-DE"/>
        </w:rPr>
        <w:t> </w:t>
      </w:r>
      <w:r w:rsidRPr="00C83DF5">
        <w:rPr>
          <w:rFonts w:eastAsia="Calibri" w:cs="Tahoma"/>
          <w:szCs w:val="18"/>
          <w:lang w:val="de-DE"/>
        </w:rPr>
        <w:t xml:space="preserve">Wert folgender Zahlen, wobei die kleinere Zahl maßgeblich ist: </w:t>
      </w:r>
    </w:p>
    <w:p w:rsidR="00A81E83" w:rsidRPr="00C83DF5" w:rsidRDefault="00A81E83" w:rsidP="00346F4B">
      <w:pPr>
        <w:numPr>
          <w:ilvl w:val="3"/>
          <w:numId w:val="55"/>
        </w:numPr>
        <w:spacing w:after="60"/>
        <w:ind w:left="2160"/>
      </w:pPr>
      <w:r w:rsidRPr="00C83DF5">
        <w:rPr>
          <w:rFonts w:eastAsia="Calibri" w:cs="Tahoma"/>
          <w:szCs w:val="18"/>
        </w:rPr>
        <w:t>vier ODER</w:t>
      </w:r>
    </w:p>
    <w:p w:rsidR="00A81E83" w:rsidRPr="00C83DF5" w:rsidRDefault="00A81E83" w:rsidP="00346F4B">
      <w:pPr>
        <w:numPr>
          <w:ilvl w:val="3"/>
          <w:numId w:val="55"/>
        </w:numPr>
        <w:spacing w:after="60"/>
        <w:ind w:left="2160"/>
        <w:rPr>
          <w:lang w:val="de-DE"/>
        </w:rPr>
      </w:pPr>
      <w:r w:rsidRPr="00C83DF5">
        <w:rPr>
          <w:rFonts w:eastAsia="Calibri" w:cs="Tahoma"/>
          <w:szCs w:val="18"/>
          <w:lang w:val="de-DE"/>
        </w:rPr>
        <w:t>der tatsächlichen Anzahl von Cores pro physischem Prozessor multipliziert mit dem entsprechenden Core-Faktor.</w:t>
      </w:r>
      <w:r w:rsidR="00E71F46" w:rsidRPr="00C83DF5">
        <w:rPr>
          <w:rFonts w:eastAsia="Calibri" w:cs="Tahoma"/>
          <w:szCs w:val="18"/>
          <w:lang w:val="de-DE"/>
        </w:rPr>
        <w:t xml:space="preserve"> </w:t>
      </w:r>
      <w:r w:rsidRPr="00C83DF5">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558DC" w:rsidRPr="00C83DF5" w:rsidRDefault="00A81E83" w:rsidP="00346F4B">
      <w:pPr>
        <w:numPr>
          <w:ilvl w:val="0"/>
          <w:numId w:val="116"/>
        </w:numPr>
        <w:tabs>
          <w:tab w:val="left" w:pos="1800"/>
        </w:tabs>
        <w:spacing w:after="60"/>
        <w:rPr>
          <w:lang w:val="de-DE"/>
        </w:rPr>
      </w:pPr>
      <w:r w:rsidRPr="00C83DF5">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E5029B" w:rsidRPr="00DF3F89" w:rsidRDefault="00E5029B">
      <w:pPr>
        <w:rPr>
          <w:rFonts w:eastAsia="Calibri" w:cs="Tahoma"/>
          <w:b/>
          <w:szCs w:val="18"/>
          <w:lang w:val="de-DE"/>
        </w:rPr>
      </w:pPr>
    </w:p>
    <w:p w:rsidR="008558DC" w:rsidRPr="00C83DF5" w:rsidRDefault="00A81E83" w:rsidP="008558DC">
      <w:pPr>
        <w:spacing w:after="60"/>
        <w:ind w:left="720"/>
        <w:rPr>
          <w:lang w:val="de-DE"/>
        </w:rPr>
      </w:pPr>
      <w:r w:rsidRPr="00C83DF5">
        <w:rPr>
          <w:rFonts w:eastAsia="Calibri" w:cs="Tahoma"/>
          <w:b/>
          <w:szCs w:val="18"/>
          <w:lang w:val="de-DE"/>
        </w:rPr>
        <w:t>Erster Verlängerungszeitraum (am oder nach dem 1. April 2015)</w:t>
      </w:r>
    </w:p>
    <w:p w:rsidR="00A81E83" w:rsidRPr="00C83DF5" w:rsidRDefault="00A81E83" w:rsidP="0021021E">
      <w:pPr>
        <w:ind w:left="720"/>
        <w:contextualSpacing/>
        <w:rPr>
          <w:lang w:val="de-DE"/>
        </w:rPr>
      </w:pPr>
      <w:r w:rsidRPr="00C83DF5">
        <w:rPr>
          <w:rFonts w:eastAsia="Calibri" w:cs="Tahoma"/>
          <w:color w:val="000000"/>
          <w:szCs w:val="18"/>
          <w:lang w:val="de-DE"/>
        </w:rPr>
        <w:t>Kunden, die Software Assurance am oder nach dem 1. April 2015</w:t>
      </w:r>
      <w:r w:rsidRPr="00C83DF5">
        <w:rPr>
          <w:rFonts w:eastAsia="Calibri" w:cs="Tahoma"/>
          <w:szCs w:val="18"/>
          <w:lang w:val="de-DE"/>
        </w:rPr>
        <w:t xml:space="preserve"> erstmals verlängern, sind berechtigt, für</w:t>
      </w:r>
      <w:r w:rsidR="0021021E">
        <w:rPr>
          <w:rFonts w:eastAsia="Calibri" w:cs="Tahoma"/>
          <w:szCs w:val="18"/>
          <w:lang w:val="de-DE"/>
        </w:rPr>
        <w:t> </w:t>
      </w:r>
      <w:r w:rsidRPr="00C83DF5">
        <w:rPr>
          <w:rFonts w:eastAsia="Calibri" w:cs="Tahoma"/>
          <w:szCs w:val="18"/>
          <w:lang w:val="de-DE"/>
        </w:rPr>
        <w:t>jeden Server, der unter Produktbenutzungsrechten für SQL Server 2008 R2-Prozessorlizenzen ordnungsgemäß lizenziert ist, Software Assurance wie folgt zu erwerben:</w:t>
      </w:r>
    </w:p>
    <w:p w:rsidR="008558DC" w:rsidRPr="00C83DF5" w:rsidRDefault="008558DC" w:rsidP="008558DC">
      <w:pPr>
        <w:ind w:left="720"/>
        <w:contextualSpacing/>
        <w:rPr>
          <w:lang w:val="de-DE"/>
        </w:rPr>
      </w:pPr>
    </w:p>
    <w:p w:rsidR="00A81E83" w:rsidRPr="0021021E" w:rsidRDefault="00A81E83" w:rsidP="0021021E">
      <w:pPr>
        <w:numPr>
          <w:ilvl w:val="3"/>
          <w:numId w:val="89"/>
        </w:numPr>
        <w:spacing w:after="60"/>
        <w:ind w:left="1440"/>
        <w:rPr>
          <w:lang w:val="de-DE"/>
        </w:rPr>
      </w:pPr>
      <w:r w:rsidRPr="00C83DF5">
        <w:rPr>
          <w:rFonts w:eastAsia="Calibri" w:cs="Tahoma"/>
          <w:szCs w:val="18"/>
          <w:lang w:val="de-DE"/>
        </w:rPr>
        <w:t>Wie im ersten Absatz dieses Produkthinweises dargelegt, sind Lizenzen, die vor dem 1. April 2015 erworben wurden, qualifizierende Lizenzen, und Kunden sind berechtigt, Software Assurance in</w:t>
      </w:r>
      <w:r w:rsidR="0021021E">
        <w:rPr>
          <w:rFonts w:eastAsia="Calibri" w:cs="Tahoma"/>
          <w:szCs w:val="18"/>
          <w:lang w:val="de-DE"/>
        </w:rPr>
        <w:t> </w:t>
      </w:r>
      <w:r w:rsidRPr="00C83DF5">
        <w:rPr>
          <w:rFonts w:eastAsia="Calibri" w:cs="Tahoma"/>
          <w:szCs w:val="18"/>
          <w:lang w:val="de-DE"/>
        </w:rPr>
        <w:t xml:space="preserve">Übereinstimmung mit den Bestimmungen im Abschnitt oben mit der Überschrift „Erster Verlängerungszeitraum (vor dem 1. </w:t>
      </w:r>
      <w:r w:rsidRPr="0021021E">
        <w:rPr>
          <w:rFonts w:eastAsia="Calibri" w:cs="Tahoma"/>
          <w:szCs w:val="18"/>
          <w:lang w:val="de-DE"/>
        </w:rPr>
        <w:t xml:space="preserve">April 2015)“ zu verlängern, und </w:t>
      </w:r>
    </w:p>
    <w:p w:rsidR="00A81E83" w:rsidRPr="00C83DF5" w:rsidRDefault="00A81E83" w:rsidP="0021021E">
      <w:pPr>
        <w:numPr>
          <w:ilvl w:val="3"/>
          <w:numId w:val="89"/>
        </w:numPr>
        <w:spacing w:after="60"/>
        <w:ind w:left="1440"/>
        <w:rPr>
          <w:lang w:val="de-DE"/>
        </w:rPr>
      </w:pPr>
      <w:r w:rsidRPr="00C83DF5">
        <w:rPr>
          <w:rFonts w:eastAsia="Calibri" w:cs="Tahoma"/>
          <w:szCs w:val="18"/>
          <w:lang w:val="de-DE"/>
        </w:rPr>
        <w:t>für Lizenzen, die nach dem 1. April 2015 erworben wurden, sind Kunden berechtigt, Software</w:t>
      </w:r>
      <w:r w:rsidR="0021021E">
        <w:rPr>
          <w:rFonts w:eastAsia="Calibri" w:cs="Tahoma"/>
          <w:szCs w:val="18"/>
          <w:lang w:val="de-DE"/>
        </w:rPr>
        <w:t> </w:t>
      </w:r>
      <w:r w:rsidRPr="00C83DF5">
        <w:rPr>
          <w:rFonts w:eastAsia="Calibri" w:cs="Tahoma"/>
          <w:szCs w:val="18"/>
          <w:lang w:val="de-DE"/>
        </w:rPr>
        <w:t xml:space="preserve">Assurance für vier SQL Server Standard-Core-Lizenzen zu verlängern, ohne die </w:t>
      </w:r>
      <w:r w:rsidRPr="00C83DF5">
        <w:rPr>
          <w:rFonts w:eastAsia="Calibri" w:cs="Tahoma"/>
          <w:szCs w:val="18"/>
          <w:lang w:val="de-DE"/>
        </w:rPr>
        <w:lastRenderedPageBreak/>
        <w:t>zugrunde</w:t>
      </w:r>
      <w:r w:rsidR="0021021E">
        <w:rPr>
          <w:rFonts w:eastAsia="Calibri" w:cs="Tahoma"/>
          <w:szCs w:val="18"/>
          <w:lang w:val="de-DE"/>
        </w:rPr>
        <w:t> </w:t>
      </w:r>
      <w:r w:rsidRPr="00C83DF5">
        <w:rPr>
          <w:rFonts w:eastAsia="Calibri" w:cs="Tahoma"/>
          <w:szCs w:val="18"/>
          <w:lang w:val="de-DE"/>
        </w:rPr>
        <w:t>liegenden Core-Lizenzen für jede SQL Server 2008 R2 Web-Prozessorlizenz zu erwerben. Für die kontinuierliche Verwendung von SQL Server 2012 auf Prozessoren, die mehr als vier Core-Lizenzen pro Prozessor erfordern, muss der Kunde die zusätzlichen Core-Lizenzen erwerben.</w:t>
      </w:r>
    </w:p>
    <w:p w:rsidR="00A81E83" w:rsidRPr="00C83DF5" w:rsidRDefault="00A81E83" w:rsidP="00680BDD">
      <w:pPr>
        <w:numPr>
          <w:ilvl w:val="0"/>
          <w:numId w:val="50"/>
        </w:numPr>
        <w:spacing w:after="60"/>
        <w:ind w:left="1440"/>
        <w:rPr>
          <w:lang w:val="de-DE"/>
        </w:rPr>
      </w:pPr>
      <w:r w:rsidRPr="00C83DF5">
        <w:rPr>
          <w:rFonts w:eastAsia="Calibri" w:cs="Tahoma"/>
          <w:szCs w:val="18"/>
          <w:lang w:val="de-DE"/>
        </w:rPr>
        <w:t>Die Prozessorlizenzen des Kunden sind bei Erwerb von Software Assurance für Core-Lizenzen unter</w:t>
      </w:r>
      <w:r w:rsidR="00680BDD">
        <w:rPr>
          <w:rFonts w:eastAsia="Calibri" w:cs="Tahoma"/>
          <w:szCs w:val="18"/>
          <w:lang w:val="de-DE"/>
        </w:rPr>
        <w:t> </w:t>
      </w:r>
      <w:r w:rsidRPr="00C83DF5">
        <w:rPr>
          <w:rFonts w:eastAsia="Calibri" w:cs="Tahoma"/>
          <w:szCs w:val="18"/>
          <w:lang w:val="de-DE"/>
        </w:rPr>
        <w:t>diesem Angebot nicht mehr gültig. Die Option zum Erwerb von Core-Lizenzen für Software</w:t>
      </w:r>
      <w:r w:rsidR="00680BDD">
        <w:rPr>
          <w:rFonts w:eastAsia="Calibri" w:cs="Tahoma"/>
          <w:szCs w:val="18"/>
          <w:lang w:val="de-DE"/>
        </w:rPr>
        <w:t> </w:t>
      </w:r>
      <w:r w:rsidRPr="00C83DF5">
        <w:rPr>
          <w:rFonts w:eastAsia="Calibri" w:cs="Tahoma"/>
          <w:szCs w:val="18"/>
          <w:lang w:val="de-DE"/>
        </w:rPr>
        <w:t>Assurance für SQL Server ist nicht auf die Software Assurance-Verlängerung unter Abonnementprogrammen anwendbar.</w:t>
      </w:r>
    </w:p>
    <w:p w:rsidR="008558DC" w:rsidRPr="00DF3F89" w:rsidRDefault="008558DC" w:rsidP="008558DC">
      <w:pPr>
        <w:ind w:left="720"/>
        <w:contextualSpacing/>
        <w:rPr>
          <w:rFonts w:eastAsia="Calibri" w:cs="Tahoma"/>
          <w:b/>
          <w:szCs w:val="18"/>
          <w:lang w:val="de-DE"/>
        </w:rPr>
      </w:pPr>
    </w:p>
    <w:p w:rsidR="008558DC" w:rsidRPr="00C83DF5" w:rsidRDefault="00A81E83" w:rsidP="008558DC">
      <w:pPr>
        <w:spacing w:after="60"/>
        <w:ind w:left="720"/>
        <w:rPr>
          <w:lang w:val="de-DE"/>
        </w:rPr>
      </w:pPr>
      <w:r w:rsidRPr="00C83DF5">
        <w:rPr>
          <w:rFonts w:eastAsia="Calibri" w:cs="Tahoma"/>
          <w:b/>
          <w:szCs w:val="18"/>
          <w:lang w:val="de-DE"/>
        </w:rPr>
        <w:t>Für Kunden mit Software Assurance, die vor dem 1. April 2015 abläuft, die sich gegen eine Verlängerung entscheiden</w:t>
      </w:r>
    </w:p>
    <w:p w:rsidR="00A81E83" w:rsidRPr="00C83DF5" w:rsidRDefault="00A81E83" w:rsidP="008558DC">
      <w:pPr>
        <w:ind w:left="720"/>
        <w:contextualSpacing/>
        <w:rPr>
          <w:lang w:val="de-DE"/>
        </w:rPr>
      </w:pPr>
      <w:r w:rsidRPr="00C83DF5">
        <w:rPr>
          <w:rFonts w:eastAsia="Calibri" w:cs="Tahoma"/>
          <w:szCs w:val="18"/>
          <w:lang w:val="de-DE"/>
        </w:rPr>
        <w:t xml:space="preserve">Konzern-Abonnement- </w:t>
      </w:r>
      <w:r w:rsidRPr="00C83DF5">
        <w:rPr>
          <w:rFonts w:cs="Tahoma"/>
          <w:bCs/>
          <w:color w:val="000000"/>
          <w:szCs w:val="18"/>
          <w:lang w:val="de-DE"/>
        </w:rPr>
        <w:t>und Open Value Subscription-</w:t>
      </w:r>
      <w:r w:rsidRPr="00C83DF5">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A81E83" w:rsidRPr="00C83DF5" w:rsidRDefault="00A81E83" w:rsidP="00346F4B">
      <w:pPr>
        <w:numPr>
          <w:ilvl w:val="0"/>
          <w:numId w:val="90"/>
        </w:numPr>
        <w:tabs>
          <w:tab w:val="left" w:pos="1800"/>
        </w:tabs>
        <w:spacing w:after="60"/>
        <w:ind w:left="1800"/>
        <w:rPr>
          <w:lang w:val="de-DE"/>
        </w:rPr>
      </w:pPr>
      <w:r w:rsidRPr="00C83DF5">
        <w:rPr>
          <w:rFonts w:eastAsia="Calibri" w:cs="Tahoma"/>
          <w:b/>
          <w:szCs w:val="18"/>
          <w:lang w:val="de-DE"/>
        </w:rPr>
        <w:t>SQL Server 2008 R2 Web:</w:t>
      </w:r>
      <w:r w:rsidRPr="00C83DF5">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rsidR="00A81E83" w:rsidRPr="00C83DF5" w:rsidRDefault="00A81E83" w:rsidP="00346F4B">
      <w:pPr>
        <w:numPr>
          <w:ilvl w:val="0"/>
          <w:numId w:val="90"/>
        </w:numPr>
        <w:tabs>
          <w:tab w:val="left" w:pos="1800"/>
        </w:tabs>
        <w:spacing w:after="60"/>
        <w:ind w:left="1800"/>
        <w:rPr>
          <w:lang w:val="de-DE"/>
        </w:rPr>
      </w:pPr>
      <w:r w:rsidRPr="00C83DF5">
        <w:rPr>
          <w:rFonts w:eastAsia="Calibri" w:cs="Tahoma"/>
          <w:b/>
          <w:szCs w:val="18"/>
          <w:lang w:val="de-DE"/>
        </w:rPr>
        <w:t xml:space="preserve">SQL Server 2012 Standard Core: </w:t>
      </w:r>
      <w:r w:rsidRPr="00C83DF5">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C83DF5" w:rsidRDefault="00A81E83" w:rsidP="00346F4B">
      <w:pPr>
        <w:numPr>
          <w:ilvl w:val="1"/>
          <w:numId w:val="52"/>
        </w:numPr>
        <w:tabs>
          <w:tab w:val="left" w:pos="2160"/>
        </w:tabs>
        <w:spacing w:after="60"/>
        <w:ind w:left="2160"/>
        <w:rPr>
          <w:lang w:val="de-DE"/>
        </w:rPr>
      </w:pPr>
      <w:r w:rsidRPr="00C83DF5">
        <w:rPr>
          <w:rFonts w:eastAsia="Calibri" w:cs="Tahoma"/>
          <w:szCs w:val="18"/>
          <w:lang w:val="de-DE"/>
        </w:rPr>
        <w:t xml:space="preserve">Kunden verfügen nicht mehr über Rechte unter Lizenzmobilität innerhalb von Serverfarmen oder Lizenzmobilität durch Software Assurance, und </w:t>
      </w:r>
    </w:p>
    <w:p w:rsidR="00A81E83" w:rsidRPr="00367410" w:rsidRDefault="00A81E83" w:rsidP="00B2641F">
      <w:pPr>
        <w:numPr>
          <w:ilvl w:val="1"/>
          <w:numId w:val="52"/>
        </w:numPr>
        <w:tabs>
          <w:tab w:val="left" w:pos="2160"/>
        </w:tabs>
        <w:spacing w:after="60"/>
        <w:ind w:left="2160"/>
        <w:rPr>
          <w:lang w:val="de-DE"/>
        </w:rPr>
      </w:pPr>
      <w:r w:rsidRPr="00C83DF5">
        <w:rPr>
          <w:rFonts w:eastAsia="Calibri" w:cs="Tahoma"/>
          <w:szCs w:val="18"/>
          <w:lang w:val="de-DE"/>
        </w:rPr>
        <w:t>Neuzuweisungen von Lizenzen unterliegen den Beschränkungen unten unter (i) und (ii) in</w:t>
      </w:r>
      <w:r w:rsidR="00B2641F">
        <w:rPr>
          <w:rFonts w:eastAsia="Calibri" w:cs="Tahoma"/>
          <w:szCs w:val="18"/>
          <w:lang w:val="de-DE"/>
        </w:rPr>
        <w:t> </w:t>
      </w:r>
      <w:r w:rsidRPr="00C83DF5">
        <w:rPr>
          <w:rFonts w:eastAsia="Calibri" w:cs="Tahoma"/>
          <w:szCs w:val="18"/>
          <w:lang w:val="de-DE"/>
        </w:rPr>
        <w:t xml:space="preserve">Bezug auf ihre „Core-Lizenzäquivalenz“. </w:t>
      </w:r>
      <w:r w:rsidRPr="00367410">
        <w:rPr>
          <w:rFonts w:eastAsia="Calibri" w:cs="Tahoma"/>
          <w:szCs w:val="18"/>
          <w:lang w:val="de-DE"/>
        </w:rPr>
        <w:t xml:space="preserve">Die Core-Lizenzäquivalenz wird wie folgt bestimmt. </w:t>
      </w:r>
    </w:p>
    <w:p w:rsidR="00A81E83" w:rsidRPr="00C83DF5" w:rsidRDefault="00A81E83" w:rsidP="00346F4B">
      <w:pPr>
        <w:numPr>
          <w:ilvl w:val="2"/>
          <w:numId w:val="52"/>
        </w:numPr>
        <w:tabs>
          <w:tab w:val="left" w:pos="2520"/>
        </w:tabs>
        <w:spacing w:after="60"/>
        <w:ind w:left="2520"/>
        <w:rPr>
          <w:lang w:val="de-DE"/>
        </w:rPr>
      </w:pPr>
      <w:r w:rsidRPr="00C83DF5">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C83DF5" w:rsidRDefault="00A81E83" w:rsidP="00346F4B">
      <w:pPr>
        <w:numPr>
          <w:ilvl w:val="4"/>
          <w:numId w:val="50"/>
        </w:numPr>
        <w:tabs>
          <w:tab w:val="left" w:pos="2880"/>
        </w:tabs>
        <w:spacing w:after="60"/>
        <w:ind w:left="2880"/>
      </w:pPr>
      <w:r w:rsidRPr="00C83DF5">
        <w:rPr>
          <w:rFonts w:eastAsia="Calibri" w:cs="Tahoma"/>
          <w:szCs w:val="18"/>
        </w:rPr>
        <w:t xml:space="preserve">vier Cores pro Prozessorlizenz ODER </w:t>
      </w:r>
    </w:p>
    <w:p w:rsidR="00A81E83" w:rsidRPr="00C83DF5" w:rsidRDefault="00A81E83" w:rsidP="00346F4B">
      <w:pPr>
        <w:numPr>
          <w:ilvl w:val="4"/>
          <w:numId w:val="50"/>
        </w:numPr>
        <w:tabs>
          <w:tab w:val="left" w:pos="2880"/>
        </w:tabs>
        <w:spacing w:after="60"/>
        <w:ind w:left="2880"/>
        <w:rPr>
          <w:lang w:val="de-DE"/>
        </w:rPr>
      </w:pPr>
      <w:r w:rsidRPr="00C83DF5">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558DC" w:rsidRPr="00C83DF5" w:rsidRDefault="00A81E83" w:rsidP="00346F4B">
      <w:pPr>
        <w:numPr>
          <w:ilvl w:val="2"/>
          <w:numId w:val="52"/>
        </w:numPr>
        <w:tabs>
          <w:tab w:val="left" w:pos="2520"/>
        </w:tabs>
        <w:spacing w:after="60"/>
        <w:ind w:left="2520"/>
        <w:rPr>
          <w:lang w:val="de-DE"/>
        </w:rPr>
      </w:pPr>
      <w:r w:rsidRPr="00C83DF5">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C83DF5" w:rsidRDefault="00A81E83" w:rsidP="00346F4B">
      <w:pPr>
        <w:numPr>
          <w:ilvl w:val="1"/>
          <w:numId w:val="52"/>
        </w:numPr>
        <w:tabs>
          <w:tab w:val="left" w:pos="2160"/>
        </w:tabs>
        <w:spacing w:after="60"/>
        <w:ind w:left="2160"/>
        <w:rPr>
          <w:lang w:val="de-DE"/>
        </w:rPr>
      </w:pPr>
      <w:r w:rsidRPr="00C83DF5">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C83DF5" w:rsidRDefault="00A81E83" w:rsidP="00346F4B">
      <w:pPr>
        <w:numPr>
          <w:ilvl w:val="1"/>
          <w:numId w:val="52"/>
        </w:numPr>
        <w:tabs>
          <w:tab w:val="left" w:pos="2160"/>
        </w:tabs>
        <w:spacing w:after="60"/>
        <w:ind w:left="2160"/>
        <w:rPr>
          <w:lang w:val="de-DE"/>
        </w:rPr>
      </w:pPr>
      <w:r w:rsidRPr="00C83DF5">
        <w:rPr>
          <w:rFonts w:eastAsia="Calibri" w:cs="Tahoma"/>
          <w:szCs w:val="18"/>
          <w:lang w:val="de-DE"/>
        </w:rPr>
        <w:t>Die angenommene Core-Lizenzäquivalenz der Kunden impliziert nicht, dass sie berechtigt sind, eine einzelne Prozessorlizenz Cores auf zwei oder mehr Prozessoren zuzuweisen.</w:t>
      </w:r>
    </w:p>
    <w:p w:rsidR="00B06AAC" w:rsidRPr="00C83DF5" w:rsidRDefault="00A81E83" w:rsidP="00B06AAC">
      <w:pPr>
        <w:tabs>
          <w:tab w:val="left" w:pos="720"/>
        </w:tabs>
        <w:spacing w:after="60"/>
        <w:ind w:left="720"/>
        <w:rPr>
          <w:lang w:val="de-DE"/>
        </w:rPr>
      </w:pPr>
      <w:r w:rsidRPr="00C83DF5">
        <w:rPr>
          <w:rFonts w:eastAsia="Calibri" w:cs="Tahoma"/>
          <w:b/>
          <w:szCs w:val="18"/>
          <w:lang w:val="de-DE"/>
        </w:rPr>
        <w:t>Für Kunden mit Software Assurance, die am oder nach dem 1. April 2015 abläuft, die sich gegen eine Verlängerung entscheiden</w:t>
      </w:r>
    </w:p>
    <w:p w:rsidR="00A81E83" w:rsidRPr="00C83DF5" w:rsidRDefault="00A81E83" w:rsidP="00B06AAC">
      <w:pPr>
        <w:tabs>
          <w:tab w:val="left" w:pos="720"/>
        </w:tabs>
        <w:ind w:left="720"/>
        <w:contextualSpacing/>
        <w:rPr>
          <w:lang w:val="de-DE"/>
        </w:rPr>
      </w:pPr>
      <w:r w:rsidRPr="00C83DF5">
        <w:rPr>
          <w:rFonts w:eastAsia="Calibri" w:cs="Tahoma"/>
          <w:color w:val="000000"/>
          <w:szCs w:val="18"/>
          <w:lang w:val="de-DE"/>
        </w:rPr>
        <w:lastRenderedPageBreak/>
        <w:t xml:space="preserve">Konzern-Abonnement- </w:t>
      </w:r>
      <w:r w:rsidRPr="00C83DF5">
        <w:rPr>
          <w:rFonts w:cs="Tahoma"/>
          <w:bCs/>
          <w:color w:val="000000"/>
          <w:szCs w:val="18"/>
          <w:lang w:val="de-DE"/>
        </w:rPr>
        <w:t>und Open Value Subscription-</w:t>
      </w:r>
      <w:r w:rsidRPr="00C83DF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B06AAC" w:rsidRPr="00ED3E5A" w:rsidRDefault="00B06AAC" w:rsidP="00B06AAC">
      <w:pPr>
        <w:tabs>
          <w:tab w:val="left" w:pos="720"/>
        </w:tabs>
        <w:ind w:left="720"/>
        <w:contextualSpacing/>
        <w:rPr>
          <w:sz w:val="16"/>
          <w:szCs w:val="16"/>
          <w:lang w:val="de-DE"/>
        </w:rPr>
      </w:pPr>
    </w:p>
    <w:p w:rsidR="00A81E83" w:rsidRPr="00C83DF5" w:rsidRDefault="00A81E83" w:rsidP="00367410">
      <w:pPr>
        <w:numPr>
          <w:ilvl w:val="2"/>
          <w:numId w:val="50"/>
        </w:numPr>
        <w:spacing w:after="60"/>
        <w:ind w:left="1440"/>
        <w:rPr>
          <w:lang w:val="de-DE"/>
        </w:rPr>
      </w:pPr>
      <w:r w:rsidRPr="00C83DF5">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367410">
        <w:rPr>
          <w:rFonts w:eastAsia="Calibri" w:cs="Tahoma"/>
          <w:szCs w:val="18"/>
          <w:lang w:val="de-DE"/>
        </w:rPr>
        <w:t> </w:t>
      </w:r>
      <w:r w:rsidRPr="00C83DF5">
        <w:rPr>
          <w:rFonts w:eastAsia="Calibri" w:cs="Tahoma"/>
          <w:szCs w:val="18"/>
          <w:lang w:val="de-DE"/>
        </w:rPr>
        <w:t xml:space="preserve">Software Assurance, die vor dem 1. April 2015 abläuft, die sich gegen eine Verlängerung entscheiden“ weiterhin zu verwenden, und </w:t>
      </w:r>
    </w:p>
    <w:p w:rsidR="00A81E83" w:rsidRPr="00C83DF5" w:rsidRDefault="00A81E83" w:rsidP="00367410">
      <w:pPr>
        <w:numPr>
          <w:ilvl w:val="2"/>
          <w:numId w:val="50"/>
        </w:numPr>
        <w:spacing w:after="60"/>
        <w:ind w:left="1440"/>
        <w:rPr>
          <w:lang w:val="de-DE"/>
        </w:rPr>
      </w:pPr>
      <w:r w:rsidRPr="00C83DF5">
        <w:rPr>
          <w:rFonts w:eastAsia="Calibri" w:cs="Tahoma"/>
          <w:szCs w:val="18"/>
          <w:lang w:val="de-DE"/>
        </w:rPr>
        <w:t>für Lizenzen, die nach dem 1. April 2015 erworben wurden, verfügt die Prozessorlizenz von Kunden</w:t>
      </w:r>
      <w:r w:rsidR="00367410">
        <w:rPr>
          <w:rFonts w:eastAsia="Calibri" w:cs="Tahoma"/>
          <w:szCs w:val="18"/>
          <w:lang w:val="de-DE"/>
        </w:rPr>
        <w:t> </w:t>
      </w:r>
      <w:r w:rsidRPr="00C83DF5">
        <w:rPr>
          <w:rFonts w:eastAsia="Calibri" w:cs="Tahoma"/>
          <w:szCs w:val="18"/>
          <w:lang w:val="de-DE"/>
        </w:rPr>
        <w:t>über eine Core-Äquivalenz von vier Core-Lizenzen für SQL Server 2012 Standard. Für</w:t>
      </w:r>
      <w:r w:rsidR="00367410">
        <w:rPr>
          <w:rFonts w:eastAsia="Calibri" w:cs="Tahoma"/>
          <w:szCs w:val="18"/>
          <w:lang w:val="de-DE"/>
        </w:rPr>
        <w:t> </w:t>
      </w:r>
      <w:r w:rsidRPr="00C83DF5">
        <w:rPr>
          <w:rFonts w:eastAsia="Calibri" w:cs="Tahoma"/>
          <w:szCs w:val="18"/>
          <w:lang w:val="de-DE"/>
        </w:rPr>
        <w:t>die</w:t>
      </w:r>
      <w:r w:rsidR="00367410">
        <w:rPr>
          <w:rFonts w:eastAsia="Calibri" w:cs="Tahoma"/>
          <w:szCs w:val="18"/>
          <w:lang w:val="de-DE"/>
        </w:rPr>
        <w:t> </w:t>
      </w:r>
      <w:r w:rsidRPr="00C83DF5">
        <w:rPr>
          <w:rFonts w:eastAsia="Calibri" w:cs="Tahoma"/>
          <w:szCs w:val="18"/>
          <w:lang w:val="de-DE"/>
        </w:rPr>
        <w:t>kontinuierliche Verwendung von SQL Server 2012 auf Prozessoren, die mehr als vier Core-Lizenzen pro Prozessor erfordern, muss der Kunde die zusätzlichen Core-Lizenzen erwerben.</w:t>
      </w:r>
    </w:p>
    <w:p w:rsidR="002512D3" w:rsidRPr="00DF3F89" w:rsidRDefault="002512D3">
      <w:pPr>
        <w:rPr>
          <w:b/>
          <w:sz w:val="16"/>
          <w:szCs w:val="16"/>
          <w:lang w:val="de-DE"/>
        </w:rPr>
      </w:pPr>
    </w:p>
    <w:p w:rsidR="00B06AAC" w:rsidRPr="00C83DF5" w:rsidRDefault="00A81E83" w:rsidP="00B06AAC">
      <w:pPr>
        <w:tabs>
          <w:tab w:val="left" w:pos="720"/>
        </w:tabs>
        <w:spacing w:after="60"/>
        <w:ind w:left="720"/>
        <w:rPr>
          <w:lang w:val="de-DE"/>
        </w:rPr>
      </w:pPr>
      <w:r w:rsidRPr="00C83DF5">
        <w:rPr>
          <w:b/>
          <w:lang w:val="de-DE"/>
        </w:rPr>
        <w:t>Für Kunden in der Volksrepublik</w:t>
      </w:r>
      <w:r w:rsidRPr="00C83DF5">
        <w:rPr>
          <w:lang w:val="de-DE"/>
        </w:rPr>
        <w:t xml:space="preserve"> </w:t>
      </w:r>
      <w:r w:rsidRPr="00C83DF5">
        <w:rPr>
          <w:b/>
          <w:lang w:val="de-DE"/>
        </w:rPr>
        <w:t>China, die dort Prozessorlizenzen und Software Assurance für SQL Server 2008 R2 erwerben</w:t>
      </w:r>
    </w:p>
    <w:p w:rsidR="00A81E83" w:rsidRPr="00C83DF5" w:rsidRDefault="00A81E83" w:rsidP="00367410">
      <w:pPr>
        <w:tabs>
          <w:tab w:val="left" w:pos="720"/>
        </w:tabs>
        <w:ind w:left="720"/>
        <w:contextualSpacing/>
        <w:rPr>
          <w:lang w:val="de-DE"/>
        </w:rPr>
      </w:pPr>
      <w:r w:rsidRPr="00C83DF5">
        <w:rPr>
          <w:lang w:val="de-DE"/>
        </w:rPr>
        <w:t>Die Verweise auf den 1. April 2012 und den 1. April 2015 in dieser Produktliste sind nicht anwendbar. Die</w:t>
      </w:r>
      <w:r w:rsidR="00367410">
        <w:rPr>
          <w:lang w:val="de-DE"/>
        </w:rPr>
        <w:t> </w:t>
      </w:r>
      <w:r w:rsidRPr="00C83DF5">
        <w:rPr>
          <w:lang w:val="de-DE"/>
        </w:rPr>
        <w:t>anwendbaren Daten für diese Kunden sind der 1. Juli 2012 bzw. der 1. Juli 2015.</w:t>
      </w:r>
    </w:p>
    <w:p w:rsidR="00A81E83" w:rsidRPr="00ED3E5A" w:rsidRDefault="00A81E83" w:rsidP="008558DC">
      <w:pPr>
        <w:ind w:left="900"/>
        <w:rPr>
          <w:sz w:val="16"/>
          <w:szCs w:val="16"/>
          <w:lang w:val="de-DE"/>
        </w:rPr>
      </w:pPr>
    </w:p>
    <w:p w:rsidR="00A81E83" w:rsidRPr="00ED3E5A" w:rsidRDefault="00A81E83" w:rsidP="008558DC">
      <w:pPr>
        <w:rPr>
          <w:sz w:val="16"/>
          <w:szCs w:val="16"/>
          <w:lang w:val="de-DE"/>
        </w:rPr>
      </w:pPr>
    </w:p>
    <w:p w:rsidR="00A81E83" w:rsidRPr="00C83DF5" w:rsidRDefault="00A560B6" w:rsidP="00BD4B91">
      <w:pPr>
        <w:pStyle w:val="Heading3"/>
        <w:rPr>
          <w:lang w:val="de-DE"/>
        </w:rPr>
      </w:pPr>
      <w:bookmarkStart w:id="1454" w:name="_85_84_SQL"/>
      <w:bookmarkStart w:id="1455" w:name="_78_76_SQL"/>
      <w:bookmarkStart w:id="1456" w:name="_83_SQL_Server®"/>
      <w:bookmarkStart w:id="1457" w:name="Srv_85SQL2008R2Workgroup5ClientAddon"/>
      <w:bookmarkStart w:id="1458" w:name="_Toc336338343"/>
      <w:bookmarkStart w:id="1459" w:name="_Toc370983450"/>
      <w:bookmarkEnd w:id="1454"/>
      <w:bookmarkEnd w:id="1455"/>
      <w:bookmarkEnd w:id="1456"/>
      <w:r w:rsidRPr="00C83DF5">
        <w:rPr>
          <w:rFonts w:ascii="Tahoma" w:hAnsi="Tahoma"/>
          <w:color w:val="F66400"/>
          <w:sz w:val="22"/>
          <w:vertAlign w:val="superscript"/>
          <w:lang w:val="de-DE"/>
        </w:rPr>
        <w:t>82</w:t>
      </w:r>
      <w:r w:rsidRPr="00C83DF5">
        <w:rPr>
          <w:rFonts w:ascii="Tahoma" w:hAnsi="Tahoma"/>
          <w:color w:val="F66400"/>
          <w:sz w:val="22"/>
          <w:lang w:val="de-DE"/>
        </w:rPr>
        <w:t xml:space="preserve"> SQL Server</w:t>
      </w:r>
      <w:r w:rsidRPr="00C83DF5">
        <w:rPr>
          <w:rFonts w:ascii="Tahoma" w:hAnsi="Tahoma"/>
          <w:color w:val="F66400"/>
          <w:sz w:val="22"/>
          <w:vertAlign w:val="superscript"/>
          <w:lang w:val="de-DE"/>
        </w:rPr>
        <w:t>®</w:t>
      </w:r>
      <w:r w:rsidRPr="00C83DF5">
        <w:rPr>
          <w:rFonts w:ascii="Tahoma" w:hAnsi="Tahoma"/>
          <w:color w:val="F66400"/>
          <w:sz w:val="22"/>
          <w:lang w:val="de-DE"/>
        </w:rPr>
        <w:t xml:space="preserve"> 2008 R2 Workgroup (Add-On für 5 Clients)</w:t>
      </w:r>
      <w:bookmarkEnd w:id="1457"/>
      <w:bookmarkEnd w:id="1458"/>
      <w:bookmarkEnd w:id="1459"/>
    </w:p>
    <w:p w:rsidR="00A81E83" w:rsidRPr="00ED3E5A" w:rsidRDefault="00A81E83" w:rsidP="00DA46D5">
      <w:pPr>
        <w:pStyle w:val="EndnoteText"/>
        <w:ind w:left="0"/>
        <w:rPr>
          <w:sz w:val="16"/>
          <w:szCs w:val="16"/>
          <w:lang w:val="de-DE"/>
        </w:rPr>
      </w:pPr>
    </w:p>
    <w:p w:rsidR="00DA46D5" w:rsidRPr="00C83DF5" w:rsidRDefault="00A81E83" w:rsidP="00DA46D5">
      <w:pPr>
        <w:spacing w:after="60"/>
        <w:ind w:left="720"/>
        <w:rPr>
          <w:lang w:val="de-DE"/>
        </w:rPr>
      </w:pPr>
      <w:r w:rsidRPr="00C83DF5">
        <w:rPr>
          <w:b/>
          <w:lang w:val="de-DE"/>
        </w:rPr>
        <w:t>Lizenzgewährungen im Zusammenhang mit dem Ende der Lebensdauer von SQL Server Workgroup Edition</w:t>
      </w:r>
    </w:p>
    <w:p w:rsidR="00A81E83" w:rsidRPr="00C83DF5" w:rsidRDefault="00A81E83" w:rsidP="00ED3E5A">
      <w:pPr>
        <w:ind w:left="720"/>
        <w:rPr>
          <w:lang w:val="de-DE"/>
        </w:rPr>
      </w:pPr>
      <w:r w:rsidRPr="00C83DF5">
        <w:rPr>
          <w:rFonts w:eastAsia="Calibri" w:cs="Tahoma"/>
          <w:szCs w:val="18"/>
          <w:lang w:val="de-DE"/>
        </w:rPr>
        <w:t>SQL Server 2008 R2 Workgroup ist die letzte Version von SQL Server Workgroup Edition.</w:t>
      </w:r>
      <w:r w:rsidR="00E71F46" w:rsidRPr="00C83DF5">
        <w:rPr>
          <w:rFonts w:eastAsia="Calibri" w:cs="Tahoma"/>
          <w:szCs w:val="18"/>
          <w:lang w:val="de-DE"/>
        </w:rPr>
        <w:t xml:space="preserve"> </w:t>
      </w:r>
      <w:r w:rsidRPr="00C83DF5">
        <w:rPr>
          <w:rFonts w:eastAsia="Calibri" w:cs="Tahoma"/>
          <w:szCs w:val="18"/>
          <w:lang w:val="de-DE"/>
        </w:rPr>
        <w:t>Als Ausnahme sind</w:t>
      </w:r>
      <w:r w:rsidR="00ED3E5A">
        <w:rPr>
          <w:rFonts w:eastAsia="Calibri" w:cs="Tahoma"/>
          <w:szCs w:val="18"/>
          <w:lang w:val="de-DE"/>
        </w:rPr>
        <w:t> </w:t>
      </w:r>
      <w:r w:rsidRPr="00C83DF5">
        <w:rPr>
          <w:rFonts w:eastAsia="Calibri" w:cs="Tahoma"/>
          <w:szCs w:val="18"/>
          <w:lang w:val="de-DE"/>
        </w:rPr>
        <w:t>Volumenlizenzkunden, die am 1. April 2012 über aktive Software Assurance für SQL Server 2008 R2</w:t>
      </w:r>
      <w:r w:rsidR="00ED3E5A">
        <w:rPr>
          <w:rFonts w:eastAsia="Calibri" w:cs="Tahoma"/>
          <w:szCs w:val="18"/>
          <w:lang w:val="de-DE"/>
        </w:rPr>
        <w:t> </w:t>
      </w:r>
      <w:r w:rsidRPr="00C83DF5">
        <w:rPr>
          <w:rFonts w:eastAsia="Calibri" w:cs="Tahoma"/>
          <w:szCs w:val="18"/>
          <w:lang w:val="de-DE"/>
        </w:rPr>
        <w:t>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E71F46" w:rsidRPr="00C83DF5">
        <w:rPr>
          <w:rFonts w:eastAsia="Calibri" w:cs="Tahoma"/>
          <w:szCs w:val="18"/>
          <w:lang w:val="de-DE"/>
        </w:rPr>
        <w:t xml:space="preserve"> </w:t>
      </w:r>
      <w:r w:rsidRPr="00C83DF5">
        <w:rPr>
          <w:rFonts w:eastAsia="Calibri" w:cs="Tahoma"/>
          <w:szCs w:val="18"/>
          <w:lang w:val="de-DE"/>
        </w:rPr>
        <w:t>Die SQL Server Workgroup-Lizenzen des Kunden sind bei Erwerb von Software Assurance für SQL Server Standard unter diesem Angebot nicht mehr gültig.</w:t>
      </w:r>
    </w:p>
    <w:p w:rsidR="000D5F24" w:rsidRPr="00ED3E5A" w:rsidRDefault="000D5F24">
      <w:pPr>
        <w:rPr>
          <w:sz w:val="16"/>
          <w:szCs w:val="16"/>
          <w:lang w:val="de-DE"/>
        </w:rPr>
      </w:pPr>
    </w:p>
    <w:p w:rsidR="00DA46D5" w:rsidRPr="00C83DF5" w:rsidRDefault="00A81E83" w:rsidP="00ED3E5A">
      <w:pPr>
        <w:spacing w:after="60"/>
        <w:ind w:left="720"/>
        <w:rPr>
          <w:lang w:val="de-DE"/>
        </w:rPr>
      </w:pPr>
      <w:r w:rsidRPr="00C83DF5">
        <w:rPr>
          <w:b/>
          <w:lang w:val="de-DE"/>
        </w:rPr>
        <w:t>Für Kunden in der Volksrepublik</w:t>
      </w:r>
      <w:r w:rsidRPr="00C83DF5">
        <w:rPr>
          <w:lang w:val="de-DE"/>
        </w:rPr>
        <w:t xml:space="preserve"> </w:t>
      </w:r>
      <w:r w:rsidRPr="00C83DF5">
        <w:rPr>
          <w:b/>
          <w:lang w:val="de-DE"/>
        </w:rPr>
        <w:t>China, die dort Lizenzen und Software Assurance für SQL</w:t>
      </w:r>
      <w:r w:rsidR="00ED3E5A">
        <w:rPr>
          <w:b/>
          <w:lang w:val="de-DE"/>
        </w:rPr>
        <w:t> </w:t>
      </w:r>
      <w:r w:rsidRPr="00C83DF5">
        <w:rPr>
          <w:b/>
          <w:lang w:val="de-DE"/>
        </w:rPr>
        <w:t>Server 2008 R2 erwerben</w:t>
      </w:r>
    </w:p>
    <w:p w:rsidR="00A81E83" w:rsidRPr="00C83DF5" w:rsidRDefault="00A81E83" w:rsidP="00ED3E5A">
      <w:pPr>
        <w:ind w:left="720"/>
        <w:rPr>
          <w:lang w:val="de-DE"/>
        </w:rPr>
      </w:pPr>
      <w:r w:rsidRPr="00C83DF5">
        <w:rPr>
          <w:lang w:val="de-DE"/>
        </w:rPr>
        <w:t>Die Verweise auf den 1. April 2012 in dieser Produktliste sind nicht anwendbar. Das anwendbare Datum für</w:t>
      </w:r>
      <w:r w:rsidR="00ED3E5A">
        <w:rPr>
          <w:lang w:val="de-DE"/>
        </w:rPr>
        <w:t> </w:t>
      </w:r>
      <w:r w:rsidRPr="00C83DF5">
        <w:rPr>
          <w:lang w:val="de-DE"/>
        </w:rPr>
        <w:t>diese Kunden ist der 1. Juli 2012.</w:t>
      </w:r>
    </w:p>
    <w:p w:rsidR="00DA46D5" w:rsidRPr="00ED3E5A" w:rsidRDefault="00DA46D5" w:rsidP="00DA46D5">
      <w:pPr>
        <w:ind w:left="720"/>
        <w:rPr>
          <w:sz w:val="16"/>
          <w:szCs w:val="16"/>
          <w:lang w:val="de-DE"/>
        </w:rPr>
      </w:pPr>
    </w:p>
    <w:p w:rsidR="00DA46D5" w:rsidRPr="00ED3E5A" w:rsidRDefault="00DA46D5" w:rsidP="00DA46D5">
      <w:pPr>
        <w:ind w:left="720"/>
        <w:rPr>
          <w:sz w:val="16"/>
          <w:szCs w:val="16"/>
          <w:lang w:val="de-DE"/>
        </w:rPr>
      </w:pPr>
    </w:p>
    <w:p w:rsidR="00A81E83" w:rsidRPr="00C83DF5" w:rsidRDefault="00A560B6" w:rsidP="001760D6">
      <w:pPr>
        <w:pStyle w:val="Heading3"/>
        <w:keepNext/>
        <w:ind w:left="720" w:hanging="720"/>
        <w:rPr>
          <w:lang w:val="de-DE"/>
        </w:rPr>
      </w:pPr>
      <w:bookmarkStart w:id="1460" w:name="_79_77_SQL"/>
      <w:bookmarkStart w:id="1461" w:name="_81_SQL_Server®"/>
      <w:bookmarkStart w:id="1462" w:name="_84_SQL_Server®"/>
      <w:bookmarkStart w:id="1463" w:name="_Toc336338344"/>
      <w:bookmarkStart w:id="1464" w:name="Srv_72SQLSvr08R2WorkgroupProc"/>
      <w:bookmarkStart w:id="1465" w:name="_Toc370983451"/>
      <w:bookmarkEnd w:id="1460"/>
      <w:bookmarkEnd w:id="1461"/>
      <w:bookmarkEnd w:id="1462"/>
      <w:r w:rsidRPr="00C83DF5">
        <w:rPr>
          <w:rFonts w:ascii="Tahoma" w:hAnsi="Tahoma" w:cs="Tahoma"/>
          <w:color w:val="F66400"/>
          <w:sz w:val="22"/>
          <w:vertAlign w:val="superscript"/>
          <w:lang w:val="de-DE"/>
        </w:rPr>
        <w:t>83</w:t>
      </w:r>
      <w:r w:rsidRPr="00C83DF5">
        <w:rPr>
          <w:rFonts w:ascii="Tahoma" w:hAnsi="Tahoma" w:cs="Tahoma"/>
          <w:color w:val="F66400"/>
          <w:sz w:val="22"/>
          <w:lang w:val="de-DE"/>
        </w:rPr>
        <w:t xml:space="preserve"> SQL Server</w:t>
      </w:r>
      <w:r w:rsidRPr="00C83DF5">
        <w:rPr>
          <w:rFonts w:ascii="Tahoma" w:hAnsi="Tahoma" w:cs="Tahoma"/>
          <w:color w:val="F66400"/>
          <w:sz w:val="22"/>
          <w:vertAlign w:val="superscript"/>
          <w:lang w:val="de-DE"/>
        </w:rPr>
        <w:t>®</w:t>
      </w:r>
      <w:r w:rsidRPr="00C83DF5">
        <w:rPr>
          <w:rFonts w:ascii="Tahoma" w:hAnsi="Tahoma" w:cs="Tahoma"/>
          <w:color w:val="F66400"/>
          <w:sz w:val="22"/>
          <w:lang w:val="de-DE"/>
        </w:rPr>
        <w:t xml:space="preserve"> 2008 R2 Workgroup Prozessor</w:t>
      </w:r>
      <w:bookmarkEnd w:id="1463"/>
      <w:bookmarkEnd w:id="1465"/>
    </w:p>
    <w:bookmarkEnd w:id="1464"/>
    <w:p w:rsidR="00A81E83" w:rsidRPr="00ED3E5A" w:rsidRDefault="00A81E83" w:rsidP="000C03F3">
      <w:pPr>
        <w:ind w:left="720"/>
        <w:rPr>
          <w:sz w:val="16"/>
          <w:szCs w:val="16"/>
          <w:lang w:val="de-DE"/>
        </w:rPr>
      </w:pPr>
    </w:p>
    <w:p w:rsidR="000C03F3" w:rsidRPr="00C83DF5" w:rsidRDefault="00A81E83" w:rsidP="000C03F3">
      <w:pPr>
        <w:spacing w:after="60"/>
        <w:ind w:left="720"/>
        <w:rPr>
          <w:lang w:val="de-DE"/>
        </w:rPr>
      </w:pPr>
      <w:r w:rsidRPr="00C83DF5">
        <w:rPr>
          <w:rFonts w:eastAsia="Calibri" w:cs="Tahoma"/>
          <w:b/>
          <w:color w:val="000000"/>
          <w:szCs w:val="18"/>
          <w:lang w:val="de-DE"/>
        </w:rPr>
        <w:t>Lizenzgewährungen im Zusammenhang mit der Änderung des Lizenzmodells</w:t>
      </w:r>
    </w:p>
    <w:p w:rsidR="00A81E83" w:rsidRPr="00C83DF5" w:rsidRDefault="00A81E83" w:rsidP="00ED3E5A">
      <w:pPr>
        <w:ind w:left="720"/>
        <w:rPr>
          <w:lang w:val="de-DE"/>
        </w:rPr>
      </w:pPr>
      <w:r w:rsidRPr="00C83DF5">
        <w:rPr>
          <w:rFonts w:eastAsia="Calibri" w:cs="Tahoma"/>
          <w:color w:val="000000"/>
          <w:szCs w:val="18"/>
          <w:lang w:val="de-DE"/>
        </w:rPr>
        <w:t>SQL Server 2008 R2 ist die letzte Version von SQL Server, die unter dem Pro-Prozessor-Lizenzmodell lizenziert wird, und die letzte Version von SQL Server Workgroup Edition.</w:t>
      </w:r>
      <w:r w:rsidR="00E71F46" w:rsidRPr="00C83DF5">
        <w:rPr>
          <w:rFonts w:eastAsia="Calibri" w:cs="Tahoma"/>
          <w:color w:val="000000"/>
          <w:szCs w:val="18"/>
          <w:lang w:val="de-DE"/>
        </w:rPr>
        <w:t xml:space="preserve"> </w:t>
      </w:r>
      <w:r w:rsidRPr="00C83DF5">
        <w:rPr>
          <w:rFonts w:eastAsia="Calibri" w:cs="Tahoma"/>
          <w:color w:val="000000"/>
          <w:szCs w:val="18"/>
          <w:lang w:val="de-DE"/>
        </w:rPr>
        <w:t>Als Ausnahme erhalten Volumenlizenzkunden, die am 1. April 2012 über aktive Software Assurance für SQL Server 2008 R2 Workgroup-Prozessorlizenzen („qualifizierende Lizenzen“) verfügen, die folgenden Optionen. Prozessorlizenzen für SQL Server 2008 R2 Workgroup</w:t>
      </w:r>
      <w:r w:rsidRPr="00C83DF5">
        <w:rPr>
          <w:rFonts w:cs="Tahoma"/>
          <w:bCs/>
          <w:color w:val="000000"/>
          <w:szCs w:val="18"/>
          <w:lang w:val="de-DE"/>
        </w:rPr>
        <w:t>, die danach unter derselben Beitrittslaufzeit, jedoch</w:t>
      </w:r>
      <w:r w:rsidR="00ED3E5A">
        <w:rPr>
          <w:rFonts w:cs="Tahoma"/>
          <w:bCs/>
          <w:color w:val="000000"/>
          <w:szCs w:val="18"/>
          <w:lang w:val="de-DE"/>
        </w:rPr>
        <w:t> </w:t>
      </w:r>
      <w:r w:rsidRPr="00C83DF5">
        <w:rPr>
          <w:rFonts w:cs="Tahoma"/>
          <w:bCs/>
          <w:color w:val="000000"/>
          <w:szCs w:val="18"/>
          <w:lang w:val="de-DE"/>
        </w:rPr>
        <w:t>vor dem 1. April 2015 im Rahmen des planmäßigen True Up-Prozesses eines Konzern-, Konzern-Abonnement-, Open Value Subscription- oder Beitritt für Bildungslösungen-Kunden erworben werden, sind ebenfalls qualifizierende Lizenzen im Sinne dieser Optionen.</w:t>
      </w:r>
      <w:r w:rsidR="00E71F46" w:rsidRPr="00C83DF5">
        <w:rPr>
          <w:rFonts w:cs="Tahoma"/>
          <w:bCs/>
          <w:color w:val="000000"/>
          <w:szCs w:val="18"/>
          <w:lang w:val="de-DE"/>
        </w:rPr>
        <w:t xml:space="preserve"> </w:t>
      </w:r>
      <w:r w:rsidRPr="00C83DF5">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0C03F3" w:rsidRPr="00C83DF5" w:rsidRDefault="000C03F3" w:rsidP="000C03F3">
      <w:pPr>
        <w:spacing w:after="60"/>
        <w:ind w:left="720"/>
        <w:rPr>
          <w:lang w:val="de-DE"/>
        </w:rPr>
      </w:pPr>
      <w:r w:rsidRPr="00C83DF5">
        <w:rPr>
          <w:rFonts w:eastAsia="Calibri" w:cs="Tahoma"/>
          <w:b/>
          <w:color w:val="000000"/>
          <w:szCs w:val="18"/>
          <w:lang w:val="de-DE"/>
        </w:rPr>
        <w:t>Aktuelle Laufzeit</w:t>
      </w:r>
    </w:p>
    <w:p w:rsidR="00A81E83" w:rsidRPr="00C83DF5" w:rsidRDefault="00A81E83" w:rsidP="00ED3E5A">
      <w:pPr>
        <w:tabs>
          <w:tab w:val="left" w:pos="720"/>
        </w:tabs>
        <w:ind w:left="720"/>
        <w:rPr>
          <w:lang w:val="de-DE"/>
        </w:rPr>
      </w:pPr>
      <w:r w:rsidRPr="00C83DF5">
        <w:rPr>
          <w:rFonts w:eastAsia="Calibri" w:cs="Tahoma"/>
          <w:szCs w:val="18"/>
          <w:lang w:val="de-DE"/>
        </w:rPr>
        <w:lastRenderedPageBreak/>
        <w:t>Während der aktuellen Laufzeit ihrer Software Assurance zum 1. April 2012 sind Kunden (einschließlich</w:t>
      </w:r>
      <w:r w:rsidR="00ED3E5A">
        <w:rPr>
          <w:rFonts w:eastAsia="Calibri" w:cs="Tahoma"/>
          <w:szCs w:val="18"/>
          <w:lang w:val="de-DE"/>
        </w:rPr>
        <w:t> </w:t>
      </w:r>
      <w:r w:rsidRPr="00C83DF5">
        <w:rPr>
          <w:rFonts w:eastAsia="Calibri" w:cs="Tahoma"/>
          <w:szCs w:val="18"/>
          <w:lang w:val="de-DE"/>
        </w:rPr>
        <w:t>Kunden mit Abonnementverträgen) unter qualifizierenden Lizenzen berechtigt, vorbehaltlich</w:t>
      </w:r>
      <w:r w:rsidR="00ED3E5A">
        <w:rPr>
          <w:rFonts w:eastAsia="Calibri" w:cs="Tahoma"/>
          <w:szCs w:val="18"/>
          <w:lang w:val="de-DE"/>
        </w:rPr>
        <w:t> </w:t>
      </w:r>
      <w:r w:rsidRPr="00C83DF5">
        <w:rPr>
          <w:rFonts w:eastAsia="Calibri" w:cs="Tahoma"/>
          <w:szCs w:val="18"/>
          <w:lang w:val="de-DE"/>
        </w:rPr>
        <w:t>der Produktbenutzungsrechte für SQL Server 2008 R2 Standard-Prozessorlizenzen (wie in den</w:t>
      </w:r>
      <w:r w:rsidR="00ED3E5A">
        <w:rPr>
          <w:rFonts w:eastAsia="Calibri" w:cs="Tahoma"/>
          <w:szCs w:val="18"/>
          <w:lang w:val="de-DE"/>
        </w:rPr>
        <w:t> </w:t>
      </w:r>
      <w:r w:rsidRPr="00C83DF5">
        <w:rPr>
          <w:rFonts w:eastAsia="Calibri" w:cs="Tahoma"/>
          <w:szCs w:val="18"/>
          <w:lang w:val="de-DE"/>
        </w:rPr>
        <w:t>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rsidR="000C03F3" w:rsidRPr="00C83DF5" w:rsidRDefault="000C03F3" w:rsidP="000C03F3">
      <w:pPr>
        <w:tabs>
          <w:tab w:val="left" w:pos="720"/>
        </w:tabs>
        <w:ind w:left="720"/>
        <w:rPr>
          <w:lang w:val="de-DE"/>
        </w:rPr>
      </w:pPr>
    </w:p>
    <w:p w:rsidR="000C03F3" w:rsidRPr="00C83DF5" w:rsidRDefault="00A81E83" w:rsidP="000C03F3">
      <w:pPr>
        <w:spacing w:after="60"/>
        <w:ind w:left="720"/>
        <w:rPr>
          <w:lang w:val="de-DE"/>
        </w:rPr>
      </w:pPr>
      <w:r w:rsidRPr="00C83DF5">
        <w:rPr>
          <w:rFonts w:eastAsia="Calibri" w:cs="Tahoma"/>
          <w:b/>
          <w:color w:val="000000"/>
          <w:szCs w:val="18"/>
          <w:lang w:val="de-DE"/>
        </w:rPr>
        <w:t>Erster Verlängerungszeitraum (vor dem 1. April 2015)</w:t>
      </w:r>
    </w:p>
    <w:p w:rsidR="00A81E83" w:rsidRPr="00C83DF5" w:rsidRDefault="00A81E83" w:rsidP="00ED3E5A">
      <w:pPr>
        <w:tabs>
          <w:tab w:val="left" w:pos="720"/>
        </w:tabs>
        <w:ind w:left="720"/>
        <w:rPr>
          <w:lang w:val="de-DE"/>
        </w:rPr>
      </w:pPr>
      <w:r w:rsidRPr="00C83DF5">
        <w:rPr>
          <w:rFonts w:eastAsia="Calibri" w:cs="Tahoma"/>
          <w:szCs w:val="18"/>
          <w:lang w:val="de-DE"/>
        </w:rPr>
        <w:t>Bei der ersten Software Assurance-Verlängerung am oder nach dem 1. April 2012 (jedoch vor</w:t>
      </w:r>
      <w:r w:rsidR="00ED3E5A">
        <w:rPr>
          <w:rFonts w:eastAsia="Calibri" w:cs="Tahoma"/>
          <w:szCs w:val="18"/>
          <w:lang w:val="de-DE"/>
        </w:rPr>
        <w:t> </w:t>
      </w:r>
      <w:r w:rsidRPr="00C83DF5">
        <w:rPr>
          <w:rFonts w:eastAsia="Calibri" w:cs="Tahoma"/>
          <w:szCs w:val="18"/>
          <w:lang w:val="de-DE"/>
        </w:rPr>
        <w:t>dem</w:t>
      </w:r>
      <w:r w:rsidR="00ED3E5A">
        <w:rPr>
          <w:rFonts w:eastAsia="Calibri" w:cs="Tahoma"/>
          <w:szCs w:val="18"/>
          <w:lang w:val="de-DE"/>
        </w:rPr>
        <w:t> </w:t>
      </w:r>
      <w:r w:rsidRPr="00C83DF5">
        <w:rPr>
          <w:rFonts w:eastAsia="Calibri" w:cs="Tahoma"/>
          <w:szCs w:val="18"/>
          <w:lang w:val="de-DE"/>
        </w:rPr>
        <w:t>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A81E83" w:rsidRPr="00C83DF5" w:rsidRDefault="00A81E83" w:rsidP="00346F4B">
      <w:pPr>
        <w:numPr>
          <w:ilvl w:val="0"/>
          <w:numId w:val="117"/>
        </w:numPr>
        <w:tabs>
          <w:tab w:val="left" w:pos="1440"/>
        </w:tabs>
        <w:ind w:left="1440"/>
        <w:rPr>
          <w:lang w:val="de-DE"/>
        </w:rPr>
      </w:pPr>
      <w:r w:rsidRPr="00C83DF5">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C83DF5" w:rsidRDefault="00A81E83" w:rsidP="00346F4B">
      <w:pPr>
        <w:numPr>
          <w:ilvl w:val="0"/>
          <w:numId w:val="91"/>
        </w:numPr>
        <w:tabs>
          <w:tab w:val="left" w:pos="1800"/>
        </w:tabs>
        <w:ind w:left="1800"/>
      </w:pPr>
      <w:r w:rsidRPr="00C83DF5">
        <w:rPr>
          <w:rFonts w:eastAsia="Calibri" w:cs="Tahoma"/>
          <w:szCs w:val="18"/>
        </w:rPr>
        <w:t>vier ODER</w:t>
      </w:r>
    </w:p>
    <w:p w:rsidR="00A81E83" w:rsidRPr="00C83DF5" w:rsidRDefault="00A81E83" w:rsidP="00346F4B">
      <w:pPr>
        <w:numPr>
          <w:ilvl w:val="0"/>
          <w:numId w:val="91"/>
        </w:numPr>
        <w:tabs>
          <w:tab w:val="left" w:pos="1800"/>
        </w:tabs>
        <w:ind w:left="1800"/>
        <w:rPr>
          <w:lang w:val="de-DE"/>
        </w:rPr>
      </w:pPr>
      <w:r w:rsidRPr="00C83DF5">
        <w:rPr>
          <w:rFonts w:eastAsia="Calibri" w:cs="Tahoma"/>
          <w:szCs w:val="18"/>
          <w:lang w:val="de-DE"/>
        </w:rPr>
        <w:t>der tatsächlichen Anzahl von Cores pro physischem Prozessor multipliziert mit dem entsprechenden Core-Faktor.</w:t>
      </w:r>
      <w:r w:rsidR="00E71F46" w:rsidRPr="00C83DF5">
        <w:rPr>
          <w:rFonts w:eastAsia="Calibri" w:cs="Tahoma"/>
          <w:szCs w:val="18"/>
          <w:lang w:val="de-DE"/>
        </w:rPr>
        <w:t xml:space="preserve"> </w:t>
      </w:r>
      <w:r w:rsidRPr="00C83DF5">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C83DF5" w:rsidRDefault="00A81E83" w:rsidP="00346F4B">
      <w:pPr>
        <w:numPr>
          <w:ilvl w:val="0"/>
          <w:numId w:val="117"/>
        </w:numPr>
        <w:tabs>
          <w:tab w:val="left" w:pos="1440"/>
        </w:tabs>
        <w:ind w:left="1440"/>
        <w:rPr>
          <w:lang w:val="de-DE"/>
        </w:rPr>
      </w:pPr>
      <w:r w:rsidRPr="00C83DF5">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0C03F3" w:rsidRPr="00C83DF5" w:rsidRDefault="000C03F3" w:rsidP="000C03F3">
      <w:pPr>
        <w:tabs>
          <w:tab w:val="left" w:pos="1440"/>
        </w:tabs>
        <w:rPr>
          <w:lang w:val="de-DE"/>
        </w:rPr>
      </w:pPr>
    </w:p>
    <w:p w:rsidR="000C03F3" w:rsidRPr="00C83DF5" w:rsidRDefault="00A81E83" w:rsidP="000C03F3">
      <w:pPr>
        <w:spacing w:after="60"/>
        <w:ind w:left="720"/>
        <w:rPr>
          <w:lang w:val="de-DE"/>
        </w:rPr>
      </w:pPr>
      <w:r w:rsidRPr="00C83DF5">
        <w:rPr>
          <w:rFonts w:eastAsia="Calibri" w:cs="Tahoma"/>
          <w:b/>
          <w:szCs w:val="18"/>
          <w:lang w:val="de-DE"/>
        </w:rPr>
        <w:t>Erster Verlängerungszeitraum (am oder nach dem 1. April 2015)</w:t>
      </w:r>
    </w:p>
    <w:p w:rsidR="00A81E83" w:rsidRPr="00C83DF5" w:rsidRDefault="00A81E83" w:rsidP="007B6F8E">
      <w:pPr>
        <w:ind w:left="720"/>
        <w:rPr>
          <w:lang w:val="de-DE"/>
        </w:rPr>
      </w:pPr>
      <w:r w:rsidRPr="00C83DF5">
        <w:rPr>
          <w:rFonts w:eastAsia="Calibri" w:cs="Tahoma"/>
          <w:color w:val="000000"/>
          <w:szCs w:val="18"/>
          <w:lang w:val="de-DE"/>
        </w:rPr>
        <w:t>Kunden, die Software Assurance am oder nach dem 1. April 2015</w:t>
      </w:r>
      <w:r w:rsidRPr="00C83DF5">
        <w:rPr>
          <w:rFonts w:eastAsia="Calibri" w:cs="Tahoma"/>
          <w:szCs w:val="18"/>
          <w:lang w:val="de-DE"/>
        </w:rPr>
        <w:t xml:space="preserve"> erstmals verlängern, sind berechtigt, für</w:t>
      </w:r>
      <w:r w:rsidR="007B6F8E">
        <w:rPr>
          <w:rFonts w:eastAsia="Calibri" w:cs="Tahoma"/>
          <w:szCs w:val="18"/>
          <w:lang w:val="de-DE"/>
        </w:rPr>
        <w:t> </w:t>
      </w:r>
      <w:r w:rsidRPr="00C83DF5">
        <w:rPr>
          <w:rFonts w:eastAsia="Calibri" w:cs="Tahoma"/>
          <w:szCs w:val="18"/>
          <w:lang w:val="de-DE"/>
        </w:rPr>
        <w:t>jeden Server, der unter Produktbenutzungsrechten für SQL Server 2008 R2-Prozessorlizenzen ordnungsgemäß lizenziert ist, Software Assurance wie folgt zu erwerben:</w:t>
      </w:r>
    </w:p>
    <w:p w:rsidR="000C03F3" w:rsidRPr="00C83DF5" w:rsidRDefault="000C03F3" w:rsidP="000C03F3">
      <w:pPr>
        <w:ind w:left="720"/>
        <w:rPr>
          <w:lang w:val="de-DE"/>
        </w:rPr>
      </w:pPr>
    </w:p>
    <w:p w:rsidR="00A81E83" w:rsidRPr="007B6F8E" w:rsidRDefault="00A81E83" w:rsidP="007B6F8E">
      <w:pPr>
        <w:numPr>
          <w:ilvl w:val="3"/>
          <w:numId w:val="92"/>
        </w:numPr>
        <w:tabs>
          <w:tab w:val="left" w:pos="1170"/>
        </w:tabs>
        <w:spacing w:after="60"/>
        <w:ind w:left="1440" w:hanging="360"/>
        <w:rPr>
          <w:lang w:val="de-DE"/>
        </w:rPr>
      </w:pPr>
      <w:r w:rsidRPr="00C83DF5">
        <w:rPr>
          <w:rFonts w:eastAsia="Calibri" w:cs="Tahoma"/>
          <w:szCs w:val="18"/>
          <w:lang w:val="de-DE"/>
        </w:rPr>
        <w:t>Wie im ersten Absatz dieses Produkthinweises dargelegt, sind Lizenzen, die vor dem 1. April 2015 erworben wurden, qualifizierende Lizenzen, und Kunden sind berechtigt, Software Assurance in</w:t>
      </w:r>
      <w:r w:rsidR="007B6F8E">
        <w:rPr>
          <w:rFonts w:eastAsia="Calibri" w:cs="Tahoma"/>
          <w:szCs w:val="18"/>
          <w:lang w:val="de-DE"/>
        </w:rPr>
        <w:t> </w:t>
      </w:r>
      <w:r w:rsidRPr="00C83DF5">
        <w:rPr>
          <w:rFonts w:eastAsia="Calibri" w:cs="Tahoma"/>
          <w:szCs w:val="18"/>
          <w:lang w:val="de-DE"/>
        </w:rPr>
        <w:t>Übereinstimmung mit den Bestimmungen im Abschnitt oben mit der Überschrift „Erster</w:t>
      </w:r>
      <w:r w:rsidR="007B6F8E">
        <w:rPr>
          <w:rFonts w:eastAsia="Calibri" w:cs="Tahoma"/>
          <w:szCs w:val="18"/>
          <w:lang w:val="de-DE"/>
        </w:rPr>
        <w:t> </w:t>
      </w:r>
      <w:r w:rsidRPr="00C83DF5">
        <w:rPr>
          <w:rFonts w:eastAsia="Calibri" w:cs="Tahoma"/>
          <w:szCs w:val="18"/>
          <w:lang w:val="de-DE"/>
        </w:rPr>
        <w:t xml:space="preserve">Verlängerungszeitraum (vor dem 1. </w:t>
      </w:r>
      <w:r w:rsidRPr="007B6F8E">
        <w:rPr>
          <w:rFonts w:eastAsia="Calibri" w:cs="Tahoma"/>
          <w:szCs w:val="18"/>
          <w:lang w:val="de-DE"/>
        </w:rPr>
        <w:t xml:space="preserve">April 2015)“ zu verlängern, und </w:t>
      </w:r>
    </w:p>
    <w:p w:rsidR="00A81E83" w:rsidRPr="00C83DF5" w:rsidRDefault="00A81E83" w:rsidP="00346F4B">
      <w:pPr>
        <w:numPr>
          <w:ilvl w:val="3"/>
          <w:numId w:val="92"/>
        </w:numPr>
        <w:tabs>
          <w:tab w:val="left" w:pos="1170"/>
        </w:tabs>
        <w:spacing w:after="60"/>
        <w:ind w:left="1440" w:hanging="360"/>
        <w:rPr>
          <w:lang w:val="de-DE"/>
        </w:rPr>
      </w:pPr>
      <w:r w:rsidRPr="00C83DF5">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Workgroup-Prozessorlizenz zu erwerben. Für die kontinuierliche Verwendung von SQL Server 2012 auf Prozessoren, die mehr als vier Core-Lizenzen pro Prozessor erfordern, muss der Kunde die zusätzlichen Core-Lizenzen erwerben.</w:t>
      </w:r>
    </w:p>
    <w:p w:rsidR="00A81E83" w:rsidRPr="00C83DF5" w:rsidRDefault="00A81E83" w:rsidP="00415B7A">
      <w:pPr>
        <w:numPr>
          <w:ilvl w:val="0"/>
          <w:numId w:val="50"/>
        </w:numPr>
        <w:tabs>
          <w:tab w:val="left" w:pos="720"/>
          <w:tab w:val="left" w:pos="1170"/>
        </w:tabs>
        <w:spacing w:after="60"/>
        <w:ind w:left="1440"/>
        <w:rPr>
          <w:lang w:val="de-DE"/>
        </w:rPr>
      </w:pPr>
      <w:r w:rsidRPr="00C83DF5">
        <w:rPr>
          <w:rFonts w:eastAsia="Calibri" w:cs="Tahoma"/>
          <w:szCs w:val="18"/>
          <w:lang w:val="de-DE"/>
        </w:rPr>
        <w:t>Die Prozessorlizenzen des Kunden sind bei Erwerb von Software Assurance für Core-Lizenzen unter</w:t>
      </w:r>
      <w:r w:rsidR="007B6F8E">
        <w:rPr>
          <w:rFonts w:eastAsia="Calibri" w:cs="Tahoma"/>
          <w:szCs w:val="18"/>
          <w:lang w:val="de-DE"/>
        </w:rPr>
        <w:t> </w:t>
      </w:r>
      <w:r w:rsidRPr="00C83DF5">
        <w:rPr>
          <w:rFonts w:eastAsia="Calibri" w:cs="Tahoma"/>
          <w:szCs w:val="18"/>
          <w:lang w:val="de-DE"/>
        </w:rPr>
        <w:t>diesem Angebot nicht mehr gültig. Die Option zum Erwerb von Core-Lizenzen für Software</w:t>
      </w:r>
      <w:r w:rsidR="00415B7A">
        <w:rPr>
          <w:rFonts w:eastAsia="Calibri" w:cs="Tahoma"/>
          <w:szCs w:val="18"/>
          <w:lang w:val="de-DE"/>
        </w:rPr>
        <w:t> </w:t>
      </w:r>
      <w:r w:rsidRPr="00C83DF5">
        <w:rPr>
          <w:rFonts w:eastAsia="Calibri" w:cs="Tahoma"/>
          <w:szCs w:val="18"/>
          <w:lang w:val="de-DE"/>
        </w:rPr>
        <w:t>Assurance für SQL Server ist nicht auf die Software Assurance-Verlängerung unter</w:t>
      </w:r>
      <w:r w:rsidR="00415B7A">
        <w:rPr>
          <w:rFonts w:eastAsia="Calibri" w:cs="Tahoma"/>
          <w:szCs w:val="18"/>
          <w:lang w:val="de-DE"/>
        </w:rPr>
        <w:t> </w:t>
      </w:r>
      <w:r w:rsidRPr="00C83DF5">
        <w:rPr>
          <w:rFonts w:eastAsia="Calibri" w:cs="Tahoma"/>
          <w:szCs w:val="18"/>
          <w:lang w:val="de-DE"/>
        </w:rPr>
        <w:t>Abonnementprogrammen anwendbar.</w:t>
      </w:r>
      <w:r w:rsidR="00E71F46" w:rsidRPr="00C83DF5">
        <w:rPr>
          <w:rFonts w:eastAsia="Calibri" w:cs="Tahoma"/>
          <w:szCs w:val="18"/>
          <w:lang w:val="de-DE"/>
        </w:rPr>
        <w:t xml:space="preserve"> </w:t>
      </w:r>
    </w:p>
    <w:p w:rsidR="000C03F3" w:rsidRDefault="000C03F3" w:rsidP="000C03F3">
      <w:pPr>
        <w:tabs>
          <w:tab w:val="left" w:pos="720"/>
        </w:tabs>
        <w:ind w:left="720"/>
        <w:rPr>
          <w:lang w:val="de-DE"/>
        </w:rPr>
      </w:pPr>
    </w:p>
    <w:p w:rsidR="00D14099" w:rsidRDefault="00D14099" w:rsidP="000C03F3">
      <w:pPr>
        <w:tabs>
          <w:tab w:val="left" w:pos="720"/>
        </w:tabs>
        <w:ind w:left="720"/>
        <w:rPr>
          <w:lang w:val="de-DE"/>
        </w:rPr>
      </w:pPr>
    </w:p>
    <w:p w:rsidR="00D14099" w:rsidRDefault="00D14099" w:rsidP="000C03F3">
      <w:pPr>
        <w:tabs>
          <w:tab w:val="left" w:pos="720"/>
        </w:tabs>
        <w:ind w:left="720"/>
        <w:rPr>
          <w:lang w:val="de-DE"/>
        </w:rPr>
      </w:pPr>
    </w:p>
    <w:p w:rsidR="00D14099" w:rsidRDefault="00D14099" w:rsidP="000C03F3">
      <w:pPr>
        <w:tabs>
          <w:tab w:val="left" w:pos="720"/>
        </w:tabs>
        <w:ind w:left="720"/>
        <w:rPr>
          <w:lang w:val="de-DE"/>
        </w:rPr>
      </w:pPr>
    </w:p>
    <w:p w:rsidR="00D14099" w:rsidRDefault="00D14099" w:rsidP="000C03F3">
      <w:pPr>
        <w:tabs>
          <w:tab w:val="left" w:pos="720"/>
        </w:tabs>
        <w:ind w:left="720"/>
        <w:rPr>
          <w:lang w:val="de-DE"/>
        </w:rPr>
      </w:pPr>
    </w:p>
    <w:p w:rsidR="00D14099" w:rsidRPr="00C83DF5" w:rsidRDefault="00D14099" w:rsidP="000C03F3">
      <w:pPr>
        <w:tabs>
          <w:tab w:val="left" w:pos="720"/>
        </w:tabs>
        <w:ind w:left="720"/>
        <w:rPr>
          <w:lang w:val="de-DE"/>
        </w:rPr>
      </w:pPr>
    </w:p>
    <w:p w:rsidR="000C03F3" w:rsidRPr="00C83DF5" w:rsidRDefault="00A81E83" w:rsidP="001760D6">
      <w:pPr>
        <w:keepNext/>
        <w:tabs>
          <w:tab w:val="left" w:pos="720"/>
          <w:tab w:val="left" w:pos="1800"/>
        </w:tabs>
        <w:spacing w:after="60"/>
        <w:ind w:left="720"/>
        <w:rPr>
          <w:lang w:val="de-DE"/>
        </w:rPr>
      </w:pPr>
      <w:r w:rsidRPr="00C83DF5">
        <w:rPr>
          <w:rFonts w:eastAsia="Calibri" w:cs="Tahoma"/>
          <w:b/>
          <w:szCs w:val="18"/>
          <w:lang w:val="de-DE"/>
        </w:rPr>
        <w:lastRenderedPageBreak/>
        <w:t>Für Kunden mit Software Assurance, die vor dem 1. April 2015 abläuft, die sich gegen eine Verlängerung entscheiden</w:t>
      </w:r>
    </w:p>
    <w:p w:rsidR="00A81E83" w:rsidRPr="00C83DF5" w:rsidRDefault="00A81E83" w:rsidP="000C03F3">
      <w:pPr>
        <w:tabs>
          <w:tab w:val="left" w:pos="720"/>
          <w:tab w:val="left" w:pos="1800"/>
        </w:tabs>
        <w:ind w:left="720"/>
        <w:rPr>
          <w:lang w:val="de-DE"/>
        </w:rPr>
      </w:pPr>
      <w:r w:rsidRPr="00C83DF5">
        <w:rPr>
          <w:rFonts w:eastAsia="Calibri" w:cs="Tahoma"/>
          <w:szCs w:val="18"/>
          <w:lang w:val="de-DE"/>
        </w:rPr>
        <w:t xml:space="preserve">Konzern-Abonnement- </w:t>
      </w:r>
      <w:r w:rsidRPr="00C83DF5">
        <w:rPr>
          <w:rFonts w:cs="Tahoma"/>
          <w:bCs/>
          <w:color w:val="000000"/>
          <w:szCs w:val="18"/>
          <w:lang w:val="de-DE"/>
        </w:rPr>
        <w:t>und Open Value Subscription-</w:t>
      </w:r>
      <w:r w:rsidRPr="00C83DF5">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0C03F3" w:rsidRPr="00D14099" w:rsidRDefault="000C03F3" w:rsidP="000C03F3">
      <w:pPr>
        <w:tabs>
          <w:tab w:val="left" w:pos="720"/>
          <w:tab w:val="left" w:pos="1800"/>
        </w:tabs>
        <w:ind w:left="720"/>
        <w:rPr>
          <w:sz w:val="16"/>
          <w:szCs w:val="16"/>
          <w:lang w:val="de-DE"/>
        </w:rPr>
      </w:pPr>
    </w:p>
    <w:p w:rsidR="00A81E83" w:rsidRPr="00C83DF5" w:rsidRDefault="00A81E83" w:rsidP="00346F4B">
      <w:pPr>
        <w:numPr>
          <w:ilvl w:val="0"/>
          <w:numId w:val="58"/>
        </w:numPr>
        <w:tabs>
          <w:tab w:val="left" w:pos="1440"/>
        </w:tabs>
        <w:spacing w:after="60"/>
        <w:ind w:left="1440"/>
        <w:rPr>
          <w:lang w:val="de-DE"/>
        </w:rPr>
      </w:pPr>
      <w:r w:rsidRPr="00C83DF5">
        <w:rPr>
          <w:rFonts w:eastAsia="Calibri" w:cs="Tahoma"/>
          <w:b/>
          <w:szCs w:val="18"/>
          <w:lang w:val="de-DE"/>
        </w:rPr>
        <w:t>SQL Server 2008 R2 Workgroup:</w:t>
      </w:r>
      <w:r w:rsidRPr="00C83DF5">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rsidR="00A81E83" w:rsidRPr="00C83DF5" w:rsidRDefault="00A81E83" w:rsidP="00346F4B">
      <w:pPr>
        <w:numPr>
          <w:ilvl w:val="0"/>
          <w:numId w:val="58"/>
        </w:numPr>
        <w:tabs>
          <w:tab w:val="left" w:pos="1440"/>
        </w:tabs>
        <w:spacing w:after="60"/>
        <w:ind w:left="1440"/>
        <w:rPr>
          <w:lang w:val="de-DE"/>
        </w:rPr>
      </w:pPr>
      <w:r w:rsidRPr="00C83DF5">
        <w:rPr>
          <w:rFonts w:eastAsia="Calibri" w:cs="Tahoma"/>
          <w:b/>
          <w:szCs w:val="18"/>
          <w:lang w:val="de-DE"/>
        </w:rPr>
        <w:t xml:space="preserve">SQL Server 2012 Standard Core: </w:t>
      </w:r>
      <w:r w:rsidRPr="00C83DF5">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C83DF5" w:rsidRDefault="00A81E83" w:rsidP="00346F4B">
      <w:pPr>
        <w:numPr>
          <w:ilvl w:val="1"/>
          <w:numId w:val="58"/>
        </w:numPr>
        <w:tabs>
          <w:tab w:val="left" w:pos="1800"/>
        </w:tabs>
        <w:spacing w:after="60"/>
        <w:ind w:left="1800"/>
        <w:rPr>
          <w:lang w:val="de-DE"/>
        </w:rPr>
      </w:pPr>
      <w:r w:rsidRPr="00C83DF5">
        <w:rPr>
          <w:rFonts w:eastAsia="Calibri" w:cs="Tahoma"/>
          <w:szCs w:val="18"/>
          <w:lang w:val="de-DE"/>
        </w:rPr>
        <w:t xml:space="preserve">Kunden verfügen nicht mehr über Rechte unter Lizenzmobilität innerhalb von Serverfarmen oder Lizenzmobilität durch Software Assurance, und </w:t>
      </w:r>
    </w:p>
    <w:p w:rsidR="00A81E83" w:rsidRPr="00C83DF5" w:rsidRDefault="00A81E83" w:rsidP="00346F4B">
      <w:pPr>
        <w:numPr>
          <w:ilvl w:val="1"/>
          <w:numId w:val="58"/>
        </w:numPr>
        <w:tabs>
          <w:tab w:val="left" w:pos="1800"/>
        </w:tabs>
        <w:spacing w:after="60"/>
        <w:ind w:left="1800"/>
      </w:pPr>
      <w:r w:rsidRPr="00C83DF5">
        <w:rPr>
          <w:rFonts w:eastAsia="Calibri" w:cs="Tahoma"/>
          <w:szCs w:val="18"/>
          <w:lang w:val="de-DE"/>
        </w:rPr>
        <w:t xml:space="preserve">Neuzuweisungen von Lizenzen unterliegen den Beschränkungen unten unter (i) und (ii) in Bezug auf ihre „Core-Lizenzäquivalenz“. </w:t>
      </w:r>
      <w:r w:rsidRPr="00C83DF5">
        <w:rPr>
          <w:rFonts w:eastAsia="Calibri" w:cs="Tahoma"/>
          <w:szCs w:val="18"/>
        </w:rPr>
        <w:t xml:space="preserve">Die Core-Lizenzäquivalenz wird wie folgt bestimmt. </w:t>
      </w:r>
    </w:p>
    <w:p w:rsidR="00A81E83" w:rsidRPr="00C83DF5" w:rsidRDefault="00A81E83" w:rsidP="00346F4B">
      <w:pPr>
        <w:numPr>
          <w:ilvl w:val="2"/>
          <w:numId w:val="58"/>
        </w:numPr>
        <w:tabs>
          <w:tab w:val="left" w:pos="2160"/>
        </w:tabs>
        <w:spacing w:after="60"/>
        <w:rPr>
          <w:lang w:val="de-DE"/>
        </w:rPr>
      </w:pPr>
      <w:r w:rsidRPr="00C83DF5">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C83DF5" w:rsidRDefault="00A81E83" w:rsidP="00346F4B">
      <w:pPr>
        <w:numPr>
          <w:ilvl w:val="4"/>
          <w:numId w:val="50"/>
        </w:numPr>
        <w:tabs>
          <w:tab w:val="left" w:pos="2520"/>
        </w:tabs>
        <w:spacing w:after="60"/>
        <w:ind w:left="2520"/>
      </w:pPr>
      <w:r w:rsidRPr="00C83DF5">
        <w:rPr>
          <w:rFonts w:eastAsia="Calibri" w:cs="Tahoma"/>
          <w:szCs w:val="18"/>
        </w:rPr>
        <w:t xml:space="preserve">vier Cores pro Prozessorlizenz ODER </w:t>
      </w:r>
    </w:p>
    <w:p w:rsidR="00A81E83" w:rsidRPr="00C83DF5" w:rsidRDefault="00A81E83" w:rsidP="00346F4B">
      <w:pPr>
        <w:numPr>
          <w:ilvl w:val="4"/>
          <w:numId w:val="50"/>
        </w:numPr>
        <w:tabs>
          <w:tab w:val="left" w:pos="2520"/>
        </w:tabs>
        <w:spacing w:after="60"/>
        <w:ind w:left="2520"/>
        <w:rPr>
          <w:lang w:val="de-DE"/>
        </w:rPr>
      </w:pPr>
      <w:r w:rsidRPr="00C83DF5">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C83DF5" w:rsidRDefault="00A81E83" w:rsidP="00346F4B">
      <w:pPr>
        <w:numPr>
          <w:ilvl w:val="1"/>
          <w:numId w:val="58"/>
        </w:numPr>
        <w:tabs>
          <w:tab w:val="left" w:pos="1800"/>
        </w:tabs>
        <w:spacing w:after="60"/>
        <w:ind w:left="1800"/>
        <w:rPr>
          <w:lang w:val="de-DE"/>
        </w:rPr>
      </w:pPr>
      <w:r w:rsidRPr="00C83DF5">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C83DF5" w:rsidRDefault="00A81E83" w:rsidP="00E7470D">
      <w:pPr>
        <w:numPr>
          <w:ilvl w:val="1"/>
          <w:numId w:val="58"/>
        </w:numPr>
        <w:tabs>
          <w:tab w:val="left" w:pos="1800"/>
        </w:tabs>
        <w:spacing w:after="60"/>
        <w:ind w:left="1800"/>
        <w:rPr>
          <w:lang w:val="de-DE"/>
        </w:rPr>
      </w:pPr>
      <w:r w:rsidRPr="00C83DF5">
        <w:rPr>
          <w:rFonts w:eastAsia="Calibri" w:cs="Tahoma"/>
          <w:szCs w:val="18"/>
          <w:lang w:val="de-DE"/>
        </w:rPr>
        <w:t>Kunden sind berechtigt, Lizenzen einem anderen Server neu zuzuweisen. Wenn der Kunde jedoch eine Lizenz einem anderen Server neu zuweist, muss der Kunde die Nutzungsrechte für</w:t>
      </w:r>
      <w:r w:rsidR="00E7470D">
        <w:rPr>
          <w:rFonts w:eastAsia="Calibri" w:cs="Tahoma"/>
          <w:szCs w:val="18"/>
          <w:lang w:val="de-DE"/>
        </w:rPr>
        <w:t> </w:t>
      </w:r>
      <w:r w:rsidRPr="00C83DF5">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C83DF5" w:rsidRDefault="00A81E83" w:rsidP="00346F4B">
      <w:pPr>
        <w:numPr>
          <w:ilvl w:val="1"/>
          <w:numId w:val="58"/>
        </w:numPr>
        <w:tabs>
          <w:tab w:val="left" w:pos="1800"/>
        </w:tabs>
        <w:spacing w:after="60"/>
        <w:ind w:left="1800"/>
        <w:rPr>
          <w:lang w:val="de-DE"/>
        </w:rPr>
      </w:pPr>
      <w:r w:rsidRPr="00C83DF5">
        <w:rPr>
          <w:rFonts w:eastAsia="Calibri" w:cs="Tahoma"/>
          <w:szCs w:val="18"/>
          <w:lang w:val="de-DE"/>
        </w:rPr>
        <w:t>Die angenommene Core-Lizenzäquivalenz der Kunden impliziert nicht, dass sie berechtigt sind, eine einzelne Prozessorlizenz Cores auf zwei oder mehr Prozessoren zuzuweisen.</w:t>
      </w:r>
    </w:p>
    <w:p w:rsidR="000C03F3" w:rsidRPr="00D14099" w:rsidRDefault="000C03F3" w:rsidP="000C03F3">
      <w:pPr>
        <w:tabs>
          <w:tab w:val="left" w:pos="1800"/>
        </w:tabs>
        <w:spacing w:after="60"/>
        <w:rPr>
          <w:sz w:val="16"/>
          <w:szCs w:val="16"/>
          <w:lang w:val="de-DE"/>
        </w:rPr>
      </w:pPr>
    </w:p>
    <w:p w:rsidR="000C03F3" w:rsidRPr="00C83DF5" w:rsidRDefault="00A81E83" w:rsidP="000C03F3">
      <w:pPr>
        <w:tabs>
          <w:tab w:val="left" w:pos="720"/>
        </w:tabs>
        <w:spacing w:after="60"/>
        <w:ind w:left="720"/>
        <w:rPr>
          <w:lang w:val="de-DE"/>
        </w:rPr>
      </w:pPr>
      <w:r w:rsidRPr="00C83DF5">
        <w:rPr>
          <w:rFonts w:eastAsia="Calibri" w:cs="Tahoma"/>
          <w:b/>
          <w:color w:val="000000"/>
          <w:szCs w:val="18"/>
          <w:lang w:val="de-DE"/>
        </w:rPr>
        <w:t>Für Kunden mit Software Assurance, die am oder nach dem 1. April 2015 abläuft, die sich gegen eine Verlängerung entscheiden</w:t>
      </w:r>
    </w:p>
    <w:p w:rsidR="00A81E83" w:rsidRPr="00C83DF5" w:rsidRDefault="00A81E83" w:rsidP="000C03F3">
      <w:pPr>
        <w:tabs>
          <w:tab w:val="left" w:pos="720"/>
        </w:tabs>
        <w:ind w:left="720"/>
        <w:rPr>
          <w:lang w:val="de-DE"/>
        </w:rPr>
      </w:pPr>
      <w:r w:rsidRPr="00C83DF5">
        <w:rPr>
          <w:rFonts w:eastAsia="Calibri" w:cs="Tahoma"/>
          <w:color w:val="000000"/>
          <w:szCs w:val="18"/>
          <w:lang w:val="de-DE"/>
        </w:rPr>
        <w:t xml:space="preserve">Konzern-Abonnement- </w:t>
      </w:r>
      <w:r w:rsidRPr="00C83DF5">
        <w:rPr>
          <w:rFonts w:cs="Tahoma"/>
          <w:bCs/>
          <w:color w:val="000000"/>
          <w:szCs w:val="18"/>
          <w:lang w:val="de-DE"/>
        </w:rPr>
        <w:t>und Open Value Subscription-</w:t>
      </w:r>
      <w:r w:rsidRPr="00C83DF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0C03F3" w:rsidRPr="00D14099" w:rsidRDefault="000C03F3" w:rsidP="000C03F3">
      <w:pPr>
        <w:tabs>
          <w:tab w:val="left" w:pos="720"/>
        </w:tabs>
        <w:ind w:left="720"/>
        <w:rPr>
          <w:sz w:val="16"/>
          <w:szCs w:val="16"/>
          <w:lang w:val="de-DE"/>
        </w:rPr>
      </w:pPr>
    </w:p>
    <w:p w:rsidR="00A81E83" w:rsidRPr="00C83DF5" w:rsidRDefault="00A81E83" w:rsidP="00346F4B">
      <w:pPr>
        <w:numPr>
          <w:ilvl w:val="2"/>
          <w:numId w:val="50"/>
        </w:numPr>
        <w:spacing w:after="60"/>
        <w:ind w:left="1440"/>
        <w:rPr>
          <w:lang w:val="de-DE"/>
        </w:rPr>
      </w:pPr>
      <w:r w:rsidRPr="00C83DF5">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C83DF5" w:rsidRDefault="00A81E83" w:rsidP="00D14099">
      <w:pPr>
        <w:numPr>
          <w:ilvl w:val="2"/>
          <w:numId w:val="50"/>
        </w:numPr>
        <w:spacing w:after="60"/>
        <w:ind w:left="1440"/>
        <w:rPr>
          <w:lang w:val="de-DE"/>
        </w:rPr>
      </w:pPr>
      <w:r w:rsidRPr="00C83DF5">
        <w:rPr>
          <w:rFonts w:eastAsia="Calibri" w:cs="Tahoma"/>
          <w:color w:val="000000"/>
          <w:szCs w:val="18"/>
          <w:lang w:val="de-DE"/>
        </w:rPr>
        <w:lastRenderedPageBreak/>
        <w:t>für Lizenzen, die nach dem 1. April 2015 erworben wurden, verfügt die Prozessorlizenz von Kunden</w:t>
      </w:r>
      <w:r w:rsidR="00D14099">
        <w:rPr>
          <w:rFonts w:eastAsia="Calibri" w:cs="Tahoma"/>
          <w:color w:val="000000"/>
          <w:szCs w:val="18"/>
          <w:lang w:val="de-DE"/>
        </w:rPr>
        <w:t> </w:t>
      </w:r>
      <w:r w:rsidRPr="00C83DF5">
        <w:rPr>
          <w:rFonts w:eastAsia="Calibri" w:cs="Tahoma"/>
          <w:color w:val="000000"/>
          <w:szCs w:val="18"/>
          <w:lang w:val="de-DE"/>
        </w:rPr>
        <w:t>über eine Core-Äquivalenz von vier Core-Lizenzen für SQL Server 2012 Standard. Für</w:t>
      </w:r>
      <w:r w:rsidR="00D14099">
        <w:rPr>
          <w:rFonts w:eastAsia="Calibri" w:cs="Tahoma"/>
          <w:color w:val="000000"/>
          <w:szCs w:val="18"/>
          <w:lang w:val="de-DE"/>
        </w:rPr>
        <w:t> </w:t>
      </w:r>
      <w:r w:rsidRPr="00C83DF5">
        <w:rPr>
          <w:rFonts w:eastAsia="Calibri" w:cs="Tahoma"/>
          <w:color w:val="000000"/>
          <w:szCs w:val="18"/>
          <w:lang w:val="de-DE"/>
        </w:rPr>
        <w:t>die</w:t>
      </w:r>
      <w:r w:rsidR="00D14099">
        <w:rPr>
          <w:rFonts w:eastAsia="Calibri" w:cs="Tahoma"/>
          <w:color w:val="000000"/>
          <w:szCs w:val="18"/>
          <w:lang w:val="de-DE"/>
        </w:rPr>
        <w:t> </w:t>
      </w:r>
      <w:r w:rsidRPr="00C83DF5">
        <w:rPr>
          <w:rFonts w:eastAsia="Calibri" w:cs="Tahoma"/>
          <w:color w:val="000000"/>
          <w:szCs w:val="18"/>
          <w:lang w:val="de-DE"/>
        </w:rPr>
        <w:t>kontinuierliche Verwendung von SQL Server 2012 auf Prozessoren, die mehr als vier Core-Lizenzen pro Prozessor erfordern, muss der Kunde die zusätzlichen Core-Lizenzen erwerben.</w:t>
      </w:r>
    </w:p>
    <w:p w:rsidR="000C03F3" w:rsidRPr="00C83DF5" w:rsidRDefault="000C03F3" w:rsidP="000C03F3">
      <w:pPr>
        <w:rPr>
          <w:lang w:val="de-DE"/>
        </w:rPr>
      </w:pPr>
    </w:p>
    <w:p w:rsidR="000C03F3" w:rsidRPr="00C83DF5" w:rsidRDefault="00A81E83" w:rsidP="00D14099">
      <w:pPr>
        <w:pStyle w:val="ListParagraph"/>
        <w:tabs>
          <w:tab w:val="left" w:pos="720"/>
        </w:tabs>
        <w:spacing w:after="60"/>
        <w:contextualSpacing w:val="0"/>
        <w:rPr>
          <w:lang w:val="de-DE"/>
        </w:rPr>
      </w:pPr>
      <w:r w:rsidRPr="00C83DF5">
        <w:rPr>
          <w:rFonts w:ascii="Tahoma" w:hAnsi="Tahoma" w:cs="Tahoma"/>
          <w:b/>
          <w:color w:val="000000"/>
          <w:sz w:val="18"/>
          <w:szCs w:val="18"/>
          <w:lang w:val="de-DE"/>
        </w:rPr>
        <w:t>Für Kunden in der Volksrepublik</w:t>
      </w:r>
      <w:r w:rsidRPr="00C83DF5">
        <w:rPr>
          <w:rFonts w:ascii="Tahoma" w:hAnsi="Tahoma" w:cs="Tahoma"/>
          <w:color w:val="000000"/>
          <w:sz w:val="18"/>
          <w:szCs w:val="18"/>
          <w:lang w:val="de-DE"/>
        </w:rPr>
        <w:t xml:space="preserve"> </w:t>
      </w:r>
      <w:r w:rsidRPr="00C83DF5">
        <w:rPr>
          <w:rFonts w:ascii="Tahoma" w:hAnsi="Tahoma" w:cs="Tahoma"/>
          <w:b/>
          <w:color w:val="000000"/>
          <w:sz w:val="18"/>
          <w:szCs w:val="18"/>
          <w:lang w:val="de-DE"/>
        </w:rPr>
        <w:t>China, die dort Prozessorlizenzen und Software Assurance für</w:t>
      </w:r>
      <w:r w:rsidR="00D14099">
        <w:rPr>
          <w:rFonts w:ascii="Tahoma" w:hAnsi="Tahoma" w:cs="Tahoma"/>
          <w:b/>
          <w:color w:val="000000"/>
          <w:sz w:val="18"/>
          <w:szCs w:val="18"/>
          <w:lang w:val="de-DE"/>
        </w:rPr>
        <w:t> </w:t>
      </w:r>
      <w:r w:rsidRPr="00C83DF5">
        <w:rPr>
          <w:rFonts w:ascii="Tahoma" w:hAnsi="Tahoma" w:cs="Tahoma"/>
          <w:b/>
          <w:color w:val="000000"/>
          <w:sz w:val="18"/>
          <w:szCs w:val="18"/>
          <w:lang w:val="de-DE"/>
        </w:rPr>
        <w:t>SQL Server 2008 R2 erwerben</w:t>
      </w:r>
    </w:p>
    <w:p w:rsidR="00A81E83" w:rsidRPr="00C83DF5" w:rsidRDefault="00A81E83" w:rsidP="00D14099">
      <w:pPr>
        <w:pStyle w:val="ListParagraph"/>
        <w:tabs>
          <w:tab w:val="left" w:pos="720"/>
        </w:tabs>
        <w:contextualSpacing w:val="0"/>
        <w:rPr>
          <w:lang w:val="de-DE"/>
        </w:rPr>
      </w:pPr>
      <w:r w:rsidRPr="00C83DF5">
        <w:rPr>
          <w:rFonts w:ascii="Tahoma" w:hAnsi="Tahoma" w:cs="Tahoma"/>
          <w:color w:val="000000"/>
          <w:sz w:val="18"/>
          <w:szCs w:val="18"/>
          <w:lang w:val="de-DE"/>
        </w:rPr>
        <w:t>Die Verweise auf den 1. April 2012 und den 1. April 2015 in dieser Produktliste sind nicht anwendbar. Die</w:t>
      </w:r>
      <w:r w:rsidR="00D14099">
        <w:rPr>
          <w:rFonts w:ascii="Tahoma" w:hAnsi="Tahoma" w:cs="Tahoma"/>
          <w:color w:val="000000"/>
          <w:sz w:val="18"/>
          <w:szCs w:val="18"/>
          <w:lang w:val="de-DE"/>
        </w:rPr>
        <w:t> </w:t>
      </w:r>
      <w:r w:rsidRPr="00C83DF5">
        <w:rPr>
          <w:rFonts w:ascii="Tahoma" w:hAnsi="Tahoma" w:cs="Tahoma"/>
          <w:color w:val="000000"/>
          <w:sz w:val="18"/>
          <w:szCs w:val="18"/>
          <w:lang w:val="de-DE"/>
        </w:rPr>
        <w:t>anwendbaren Daten für diese Kunden sind der 1. Juli 2012 bzw. der 1. Juli 2015.</w:t>
      </w:r>
    </w:p>
    <w:p w:rsidR="00A81E83" w:rsidRPr="00C83DF5" w:rsidRDefault="00A81E83" w:rsidP="000C03F3">
      <w:pPr>
        <w:tabs>
          <w:tab w:val="left" w:pos="1080"/>
          <w:tab w:val="left" w:pos="1800"/>
        </w:tabs>
        <w:rPr>
          <w:lang w:val="de-DE"/>
        </w:rPr>
      </w:pPr>
      <w:bookmarkStart w:id="1466" w:name="Srv_87SQLServer2012Developer"/>
    </w:p>
    <w:p w:rsidR="00BE30E6" w:rsidRPr="00C83DF5" w:rsidRDefault="00BE30E6" w:rsidP="000C03F3">
      <w:pPr>
        <w:tabs>
          <w:tab w:val="left" w:pos="1080"/>
          <w:tab w:val="left" w:pos="1800"/>
        </w:tabs>
        <w:rPr>
          <w:lang w:val="de-DE"/>
        </w:rPr>
      </w:pPr>
    </w:p>
    <w:p w:rsidR="00A81E83" w:rsidRPr="00C83DF5" w:rsidRDefault="00A560B6" w:rsidP="00EF5637">
      <w:pPr>
        <w:pStyle w:val="Heading3"/>
        <w:rPr>
          <w:lang w:val="de-DE"/>
        </w:rPr>
      </w:pPr>
      <w:bookmarkStart w:id="1467" w:name="_80_78_SQL"/>
      <w:bookmarkStart w:id="1468" w:name="_85_SQL_Server®"/>
      <w:bookmarkStart w:id="1469" w:name="_Toc336338345"/>
      <w:bookmarkStart w:id="1470" w:name="_Toc370983452"/>
      <w:bookmarkEnd w:id="1467"/>
      <w:bookmarkEnd w:id="1468"/>
      <w:r w:rsidRPr="00C83DF5">
        <w:rPr>
          <w:rFonts w:ascii="Tahoma" w:hAnsi="Tahoma"/>
          <w:color w:val="F66400"/>
          <w:sz w:val="22"/>
          <w:vertAlign w:val="superscript"/>
          <w:lang w:val="de-DE"/>
        </w:rPr>
        <w:t>84</w:t>
      </w:r>
      <w:r w:rsidRPr="00C83DF5">
        <w:rPr>
          <w:rFonts w:ascii="Tahoma" w:hAnsi="Tahoma"/>
          <w:color w:val="F66400"/>
          <w:sz w:val="22"/>
          <w:lang w:val="de-DE"/>
        </w:rPr>
        <w:t xml:space="preserve"> SQL Server</w:t>
      </w:r>
      <w:r w:rsidRPr="00C83DF5">
        <w:rPr>
          <w:rFonts w:ascii="Tahoma" w:hAnsi="Tahoma"/>
          <w:color w:val="F66400"/>
          <w:sz w:val="22"/>
          <w:vertAlign w:val="superscript"/>
          <w:lang w:val="de-DE"/>
        </w:rPr>
        <w:t>®</w:t>
      </w:r>
      <w:r w:rsidRPr="00C83DF5">
        <w:rPr>
          <w:rFonts w:ascii="Tahoma" w:hAnsi="Tahoma"/>
          <w:color w:val="F66400"/>
          <w:sz w:val="22"/>
          <w:lang w:val="de-DE"/>
        </w:rPr>
        <w:t xml:space="preserve"> 2012 Developer</w:t>
      </w:r>
      <w:bookmarkEnd w:id="1469"/>
      <w:bookmarkEnd w:id="1470"/>
    </w:p>
    <w:bookmarkEnd w:id="1466"/>
    <w:p w:rsidR="00A81E83" w:rsidRPr="00C83DF5" w:rsidRDefault="00A81E83" w:rsidP="00EF5637">
      <w:pPr>
        <w:rPr>
          <w:lang w:val="de-DE"/>
        </w:rPr>
      </w:pPr>
    </w:p>
    <w:p w:rsidR="000C03F3" w:rsidRPr="00C83DF5" w:rsidRDefault="00A81E83" w:rsidP="000C03F3">
      <w:pPr>
        <w:spacing w:after="60"/>
        <w:ind w:left="720"/>
        <w:rPr>
          <w:lang w:val="de-DE"/>
        </w:rPr>
      </w:pPr>
      <w:r w:rsidRPr="00C83DF5">
        <w:rPr>
          <w:b/>
          <w:color w:val="000000"/>
          <w:szCs w:val="18"/>
          <w:lang w:val="de-DE"/>
        </w:rPr>
        <w:t>Wichtiger Hinweis</w:t>
      </w:r>
    </w:p>
    <w:p w:rsidR="00A81E83" w:rsidRPr="00C83DF5" w:rsidRDefault="00A81E83" w:rsidP="00333DA8">
      <w:pPr>
        <w:ind w:left="720"/>
        <w:rPr>
          <w:lang w:val="de-DE"/>
        </w:rPr>
      </w:pPr>
      <w:r w:rsidRPr="00C83DF5">
        <w:rPr>
          <w:color w:val="000000"/>
          <w:szCs w:val="18"/>
          <w:lang w:val="de-DE"/>
        </w:rPr>
        <w:t>Automatische Aktualisierungen für SQL Server 2008, SQL Server 2005 und SQL Server 2000. Wenn diese Software auf Servern oder Geräten installiert ist, auf denen beliebige Editionen von SQL Server 2008, SQL</w:t>
      </w:r>
      <w:r w:rsidR="00333DA8">
        <w:rPr>
          <w:color w:val="000000"/>
          <w:szCs w:val="18"/>
          <w:lang w:val="de-DE"/>
        </w:rPr>
        <w:t> </w:t>
      </w:r>
      <w:r w:rsidRPr="00C83DF5">
        <w:rPr>
          <w:color w:val="000000"/>
          <w:szCs w:val="18"/>
          <w:lang w:val="de-DE"/>
        </w:rPr>
        <w:t>Server 2005 oder SQL Server 2000 (oder Komponenten von diesen) ausgeführt werden, aktualisiert und</w:t>
      </w:r>
      <w:r w:rsidR="00333DA8">
        <w:rPr>
          <w:color w:val="000000"/>
          <w:szCs w:val="18"/>
          <w:lang w:val="de-DE"/>
        </w:rPr>
        <w:t> </w:t>
      </w:r>
      <w:r w:rsidRPr="00C83DF5">
        <w:rPr>
          <w:color w:val="000000"/>
          <w:szCs w:val="18"/>
          <w:lang w:val="de-DE"/>
        </w:rPr>
        <w:t>ersetzt diese Software automatisch bestimme Dateien oder Features innerhalb dieser Editionen durch Dateien von dieser Software.</w:t>
      </w:r>
      <w:r w:rsidR="00E71F46" w:rsidRPr="00C83DF5">
        <w:rPr>
          <w:color w:val="000000"/>
          <w:szCs w:val="18"/>
          <w:lang w:val="de-DE"/>
        </w:rPr>
        <w:t xml:space="preserve"> </w:t>
      </w:r>
      <w:r w:rsidRPr="00C83DF5">
        <w:rPr>
          <w:color w:val="000000"/>
          <w:szCs w:val="18"/>
          <w:lang w:val="de-DE"/>
        </w:rPr>
        <w:t>Dieses Feature kann nicht abgeschaltet werden.</w:t>
      </w:r>
      <w:r w:rsidR="00E71F46" w:rsidRPr="00C83DF5">
        <w:rPr>
          <w:color w:val="000000"/>
          <w:szCs w:val="18"/>
          <w:lang w:val="de-DE"/>
        </w:rPr>
        <w:t xml:space="preserve"> </w:t>
      </w:r>
      <w:r w:rsidRPr="00C83DF5">
        <w:rPr>
          <w:color w:val="000000"/>
          <w:szCs w:val="18"/>
          <w:lang w:val="de-DE"/>
        </w:rPr>
        <w:t>Die aktualisierten Dateien können nicht entfernt und die ursprünglichen Dateien möglicherweise nicht wiederhergestellt werden.</w:t>
      </w:r>
      <w:r w:rsidR="00E71F46" w:rsidRPr="00C83DF5">
        <w:rPr>
          <w:color w:val="000000"/>
          <w:szCs w:val="18"/>
          <w:lang w:val="de-DE"/>
        </w:rPr>
        <w:t xml:space="preserve"> </w:t>
      </w:r>
      <w:r w:rsidRPr="00C83DF5">
        <w:rPr>
          <w:color w:val="000000"/>
          <w:szCs w:val="18"/>
          <w:lang w:val="de-DE"/>
        </w:rPr>
        <w:t>Durch</w:t>
      </w:r>
      <w:r w:rsidR="00F60259">
        <w:rPr>
          <w:color w:val="000000"/>
          <w:szCs w:val="18"/>
          <w:lang w:val="de-DE"/>
        </w:rPr>
        <w:t> </w:t>
      </w:r>
      <w:r w:rsidRPr="00C83DF5">
        <w:rPr>
          <w:color w:val="000000"/>
          <w:szCs w:val="18"/>
          <w:lang w:val="de-DE"/>
        </w:rPr>
        <w:t>die Installation dieser Software auf einem Server oder Gerät, auf dem beliebige Editionen von SQL</w:t>
      </w:r>
      <w:r w:rsidR="00F60259">
        <w:rPr>
          <w:color w:val="000000"/>
          <w:szCs w:val="18"/>
          <w:lang w:val="de-DE"/>
        </w:rPr>
        <w:t> </w:t>
      </w:r>
      <w:r w:rsidRPr="00C83DF5">
        <w:rPr>
          <w:color w:val="000000"/>
          <w:szCs w:val="18"/>
          <w:lang w:val="de-DE"/>
        </w:rPr>
        <w:t>Server 2008, SQL Server 2005 oder SQL Server 2000 ausgeführt werden, erklären Sie sich mit diesen Aktualisierungen in allen Editionen und Kopien von SQL Server (einschließlich Komponenten von diesen), die</w:t>
      </w:r>
      <w:r w:rsidR="00F60259">
        <w:rPr>
          <w:color w:val="000000"/>
          <w:szCs w:val="18"/>
          <w:lang w:val="de-DE"/>
        </w:rPr>
        <w:t> </w:t>
      </w:r>
      <w:r w:rsidRPr="00C83DF5">
        <w:rPr>
          <w:color w:val="000000"/>
          <w:szCs w:val="18"/>
          <w:lang w:val="de-DE"/>
        </w:rPr>
        <w:t>auf dem betreffenden Server oder Gerät ausgeführt werden, einverstanden.</w:t>
      </w:r>
      <w:r w:rsidR="00E71F46" w:rsidRPr="00C83DF5">
        <w:rPr>
          <w:color w:val="000000"/>
          <w:szCs w:val="18"/>
          <w:lang w:val="de-DE"/>
        </w:rPr>
        <w:t xml:space="preserve"> </w:t>
      </w:r>
    </w:p>
    <w:p w:rsidR="00A81E83" w:rsidRPr="00C83DF5" w:rsidRDefault="00A81E83" w:rsidP="00EF5637">
      <w:pPr>
        <w:ind w:left="720"/>
        <w:rPr>
          <w:lang w:val="de-DE"/>
        </w:rPr>
      </w:pPr>
    </w:p>
    <w:p w:rsidR="00155B9B" w:rsidRPr="00C83DF5" w:rsidRDefault="00155B9B" w:rsidP="00EF5637">
      <w:pPr>
        <w:ind w:left="720"/>
        <w:rPr>
          <w:lang w:val="de-DE"/>
        </w:rPr>
      </w:pPr>
    </w:p>
    <w:p w:rsidR="00A81E83" w:rsidRPr="00C83DF5" w:rsidRDefault="00A560B6" w:rsidP="00EF5637">
      <w:pPr>
        <w:pStyle w:val="Heading3"/>
        <w:rPr>
          <w:lang w:val="de-DE"/>
        </w:rPr>
      </w:pPr>
      <w:bookmarkStart w:id="1471" w:name="_81_79_SQL"/>
      <w:bookmarkStart w:id="1472" w:name="_86_SQL_Server®"/>
      <w:bookmarkStart w:id="1473" w:name="_Toc336338346"/>
      <w:bookmarkStart w:id="1474" w:name="Srv_88SQLServer2012Enterprise"/>
      <w:bookmarkStart w:id="1475" w:name="_Toc370983453"/>
      <w:bookmarkEnd w:id="1471"/>
      <w:bookmarkEnd w:id="1472"/>
      <w:r w:rsidRPr="00C83DF5">
        <w:rPr>
          <w:rFonts w:ascii="Tahoma" w:hAnsi="Tahoma"/>
          <w:color w:val="F66400"/>
          <w:sz w:val="22"/>
          <w:vertAlign w:val="superscript"/>
          <w:lang w:val="de-DE"/>
        </w:rPr>
        <w:t>85</w:t>
      </w:r>
      <w:r w:rsidRPr="00C83DF5">
        <w:rPr>
          <w:rFonts w:ascii="Tahoma" w:hAnsi="Tahoma"/>
          <w:color w:val="F66400"/>
          <w:sz w:val="22"/>
          <w:lang w:val="de-DE"/>
        </w:rPr>
        <w:t xml:space="preserve"> SQL Server</w:t>
      </w:r>
      <w:r w:rsidRPr="00C83DF5">
        <w:rPr>
          <w:rFonts w:ascii="Tahoma" w:hAnsi="Tahoma"/>
          <w:color w:val="F66400"/>
          <w:sz w:val="22"/>
          <w:vertAlign w:val="superscript"/>
          <w:lang w:val="de-DE"/>
        </w:rPr>
        <w:t>®</w:t>
      </w:r>
      <w:r w:rsidRPr="00C83DF5">
        <w:rPr>
          <w:rFonts w:ascii="Tahoma" w:hAnsi="Tahoma"/>
          <w:color w:val="F66400"/>
          <w:sz w:val="22"/>
          <w:lang w:val="de-DE"/>
        </w:rPr>
        <w:t xml:space="preserve"> 2012 Enterprise</w:t>
      </w:r>
      <w:bookmarkEnd w:id="1473"/>
      <w:bookmarkEnd w:id="1475"/>
    </w:p>
    <w:bookmarkEnd w:id="1474"/>
    <w:p w:rsidR="00A81E83" w:rsidRPr="00C83DF5" w:rsidRDefault="00A81E83" w:rsidP="00C321B6">
      <w:pPr>
        <w:rPr>
          <w:lang w:val="de-DE"/>
        </w:rPr>
      </w:pPr>
    </w:p>
    <w:p w:rsidR="00A81E83" w:rsidRPr="00C83DF5" w:rsidRDefault="00A81E83" w:rsidP="00C321B6">
      <w:pPr>
        <w:ind w:left="720"/>
        <w:rPr>
          <w:lang w:val="de-DE"/>
        </w:rPr>
      </w:pPr>
      <w:r w:rsidRPr="00C83DF5">
        <w:rPr>
          <w:rFonts w:eastAsia="Calibri" w:cs="Tahoma"/>
          <w:color w:val="000000"/>
          <w:szCs w:val="18"/>
          <w:lang w:val="de-DE"/>
        </w:rPr>
        <w:t>SQL Server 2012 Enterprise ist die nächste Version von SQL Server Enterprise, und CAL für SQL Server 2012 ist die nächste Version von CAL für SQL Server.</w:t>
      </w:r>
    </w:p>
    <w:p w:rsidR="00C321B6" w:rsidRPr="00DF3F89" w:rsidRDefault="00C321B6" w:rsidP="00C321B6">
      <w:pPr>
        <w:ind w:left="720"/>
        <w:rPr>
          <w:rFonts w:eastAsia="Calibri" w:cs="Tahoma"/>
          <w:b/>
          <w:color w:val="000000"/>
          <w:szCs w:val="18"/>
          <w:lang w:val="de-DE"/>
        </w:rPr>
      </w:pPr>
    </w:p>
    <w:p w:rsidR="00C321B6" w:rsidRPr="00C83DF5" w:rsidRDefault="00A81E83" w:rsidP="00C321B6">
      <w:pPr>
        <w:spacing w:after="60"/>
        <w:ind w:left="720"/>
        <w:rPr>
          <w:lang w:val="de-DE"/>
        </w:rPr>
      </w:pPr>
      <w:r w:rsidRPr="00C83DF5">
        <w:rPr>
          <w:rFonts w:eastAsia="Calibri" w:cs="Tahoma"/>
          <w:b/>
          <w:color w:val="000000"/>
          <w:szCs w:val="18"/>
          <w:lang w:val="de-DE"/>
        </w:rPr>
        <w:t>SQL Server Enterprise Server-/CAL-Kunden – Besondere Software Assurance-Verlängerungsoption</w:t>
      </w:r>
    </w:p>
    <w:p w:rsidR="00A81E83" w:rsidRPr="00C83DF5" w:rsidRDefault="00A81E83" w:rsidP="00333DA8">
      <w:pPr>
        <w:ind w:left="720"/>
        <w:rPr>
          <w:lang w:val="de-DE"/>
        </w:rPr>
      </w:pPr>
      <w:r w:rsidRPr="00C83DF5">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E71F46" w:rsidRPr="00C83DF5">
        <w:rPr>
          <w:rFonts w:eastAsia="Calibri" w:cs="Tahoma"/>
          <w:color w:val="000000"/>
          <w:szCs w:val="18"/>
          <w:lang w:val="de-DE"/>
        </w:rPr>
        <w:t xml:space="preserve"> </w:t>
      </w:r>
      <w:r w:rsidRPr="00C83DF5">
        <w:rPr>
          <w:rFonts w:eastAsia="Calibri" w:cs="Tahoma"/>
          <w:color w:val="000000"/>
          <w:szCs w:val="18"/>
          <w:lang w:val="de-DE"/>
        </w:rPr>
        <w:t>Bei Erwerb von Software Assurance für</w:t>
      </w:r>
      <w:r w:rsidR="00333DA8">
        <w:rPr>
          <w:rFonts w:eastAsia="Calibri" w:cs="Tahoma"/>
          <w:color w:val="000000"/>
          <w:szCs w:val="18"/>
          <w:lang w:val="de-DE"/>
        </w:rPr>
        <w:t> </w:t>
      </w:r>
      <w:r w:rsidRPr="00C83DF5">
        <w:rPr>
          <w:rFonts w:eastAsia="Calibri" w:cs="Tahoma"/>
          <w:color w:val="000000"/>
          <w:szCs w:val="18"/>
          <w:lang w:val="de-DE"/>
        </w:rPr>
        <w:t>SQL</w:t>
      </w:r>
      <w:r w:rsidR="00F60259">
        <w:rPr>
          <w:rFonts w:eastAsia="Calibri" w:cs="Tahoma"/>
          <w:color w:val="000000"/>
          <w:szCs w:val="18"/>
          <w:lang w:val="de-DE"/>
        </w:rPr>
        <w:t> </w:t>
      </w:r>
      <w:r w:rsidRPr="00C83DF5">
        <w:rPr>
          <w:rFonts w:eastAsia="Calibri" w:cs="Tahoma"/>
          <w:color w:val="000000"/>
          <w:szCs w:val="18"/>
          <w:lang w:val="de-DE"/>
        </w:rPr>
        <w:t>Server 2012 Business Intelligence unter diesem Angebot sind Kunden nicht mehr berechtigt, SQL</w:t>
      </w:r>
      <w:r w:rsidR="00333DA8">
        <w:rPr>
          <w:rFonts w:eastAsia="Calibri" w:cs="Tahoma"/>
          <w:color w:val="000000"/>
          <w:szCs w:val="18"/>
          <w:lang w:val="de-DE"/>
        </w:rPr>
        <w:t> </w:t>
      </w:r>
      <w:r w:rsidRPr="00C83DF5">
        <w:rPr>
          <w:rFonts w:eastAsia="Calibri" w:cs="Tahoma"/>
          <w:color w:val="000000"/>
          <w:szCs w:val="18"/>
          <w:lang w:val="de-DE"/>
        </w:rPr>
        <w:t>Server Enterprise unter ihren qualifizierenden Lizenzen zu verwenden.</w:t>
      </w:r>
      <w:r w:rsidR="00E71F46" w:rsidRPr="00C83DF5">
        <w:rPr>
          <w:rFonts w:eastAsia="Calibri" w:cs="Tahoma"/>
          <w:color w:val="000000"/>
          <w:szCs w:val="18"/>
          <w:lang w:val="de-DE"/>
        </w:rPr>
        <w:t xml:space="preserve"> </w:t>
      </w:r>
      <w:r w:rsidRPr="00C83DF5">
        <w:rPr>
          <w:rFonts w:eastAsia="Calibri" w:cs="Tahoma"/>
          <w:color w:val="000000"/>
          <w:szCs w:val="18"/>
          <w:lang w:val="de-DE"/>
        </w:rPr>
        <w:t>Kunden, die Software Assurance</w:t>
      </w:r>
      <w:r w:rsidR="00333DA8">
        <w:rPr>
          <w:rFonts w:eastAsia="Calibri" w:cs="Tahoma"/>
          <w:color w:val="000000"/>
          <w:szCs w:val="18"/>
          <w:lang w:val="de-DE"/>
        </w:rPr>
        <w:t> </w:t>
      </w:r>
      <w:r w:rsidRPr="00C83DF5">
        <w:rPr>
          <w:rFonts w:eastAsia="Calibri" w:cs="Tahoma"/>
          <w:color w:val="000000"/>
          <w:szCs w:val="18"/>
          <w:lang w:val="de-DE"/>
        </w:rPr>
        <w:t>für SQL Server Business Intelligence unter diesem Angebot erwerben, haben außerdem nicht</w:t>
      </w:r>
      <w:r w:rsidR="00333DA8">
        <w:rPr>
          <w:rFonts w:eastAsia="Calibri" w:cs="Tahoma"/>
          <w:color w:val="000000"/>
          <w:szCs w:val="18"/>
          <w:lang w:val="de-DE"/>
        </w:rPr>
        <w:t> </w:t>
      </w:r>
      <w:r w:rsidRPr="00C83DF5">
        <w:rPr>
          <w:rFonts w:eastAsia="Calibri" w:cs="Tahoma"/>
          <w:color w:val="000000"/>
          <w:szCs w:val="18"/>
          <w:lang w:val="de-DE"/>
        </w:rPr>
        <w:t>die</w:t>
      </w:r>
      <w:r w:rsidR="00333DA8">
        <w:rPr>
          <w:rFonts w:eastAsia="Calibri" w:cs="Tahoma"/>
          <w:color w:val="000000"/>
          <w:szCs w:val="18"/>
          <w:lang w:val="de-DE"/>
        </w:rPr>
        <w:t> </w:t>
      </w:r>
      <w:r w:rsidRPr="00C83DF5">
        <w:rPr>
          <w:rFonts w:eastAsia="Calibri" w:cs="Tahoma"/>
          <w:color w:val="000000"/>
          <w:szCs w:val="18"/>
          <w:lang w:val="de-DE"/>
        </w:rPr>
        <w:t>Möglichkeit, wieder auf Software Assurance für SQL Server Enterprise für ihre qualifizierenden SQL</w:t>
      </w:r>
      <w:r w:rsidR="00333DA8">
        <w:rPr>
          <w:rFonts w:eastAsia="Calibri" w:cs="Tahoma"/>
          <w:color w:val="000000"/>
          <w:szCs w:val="18"/>
          <w:lang w:val="de-DE"/>
        </w:rPr>
        <w:t> </w:t>
      </w:r>
      <w:r w:rsidRPr="00C83DF5">
        <w:rPr>
          <w:rFonts w:eastAsia="Calibri" w:cs="Tahoma"/>
          <w:color w:val="000000"/>
          <w:szCs w:val="18"/>
          <w:lang w:val="de-DE"/>
        </w:rPr>
        <w:t>Server Enterprise-Lizenzen umzustellen.</w:t>
      </w:r>
    </w:p>
    <w:p w:rsidR="002512D3" w:rsidRPr="00C83DF5" w:rsidRDefault="002512D3">
      <w:pPr>
        <w:rPr>
          <w:lang w:val="de-DE"/>
        </w:rPr>
      </w:pPr>
    </w:p>
    <w:p w:rsidR="00C321B6" w:rsidRPr="00C83DF5" w:rsidRDefault="00A81E83" w:rsidP="00C321B6">
      <w:pPr>
        <w:spacing w:after="60"/>
        <w:ind w:left="720"/>
        <w:rPr>
          <w:lang w:val="de-DE"/>
        </w:rPr>
      </w:pPr>
      <w:r w:rsidRPr="00C83DF5">
        <w:rPr>
          <w:rFonts w:eastAsia="Calibri" w:cs="Tahoma"/>
          <w:b/>
          <w:color w:val="000000"/>
          <w:szCs w:val="18"/>
          <w:lang w:val="de-DE"/>
        </w:rPr>
        <w:t>Fulfillment-Optionen für SQL Server 2012</w:t>
      </w:r>
    </w:p>
    <w:p w:rsidR="00A81E83" w:rsidRPr="00C83DF5" w:rsidRDefault="00A81E83" w:rsidP="00C321B6">
      <w:pPr>
        <w:ind w:left="720"/>
        <w:rPr>
          <w:lang w:val="de-DE"/>
        </w:rPr>
      </w:pPr>
      <w:r w:rsidRPr="00C83DF5">
        <w:rPr>
          <w:rFonts w:eastAsia="Calibri" w:cs="Tahoma"/>
          <w:color w:val="000000"/>
          <w:szCs w:val="18"/>
          <w:lang w:val="de-DE"/>
        </w:rPr>
        <w:t>Kunden dürfen nur die Software verwenden, die dem Lizenzmodell entspricht, unter dem ihre SQL Server-Lizenzen erworben wurden.</w:t>
      </w:r>
      <w:r w:rsidR="00E71F46" w:rsidRPr="00C83DF5">
        <w:rPr>
          <w:rFonts w:eastAsia="Calibri" w:cs="Tahoma"/>
          <w:color w:val="000000"/>
          <w:szCs w:val="18"/>
          <w:lang w:val="de-DE"/>
        </w:rPr>
        <w:t xml:space="preserve"> </w:t>
      </w:r>
    </w:p>
    <w:p w:rsidR="00C321B6" w:rsidRPr="00DF3F89" w:rsidRDefault="00C321B6" w:rsidP="00C321B6">
      <w:pPr>
        <w:ind w:left="720"/>
        <w:rPr>
          <w:rFonts w:eastAsia="Calibri" w:cs="Tahoma"/>
          <w:b/>
          <w:bCs/>
          <w:color w:val="000000"/>
          <w:szCs w:val="18"/>
          <w:lang w:val="de-DE"/>
        </w:rPr>
      </w:pPr>
    </w:p>
    <w:p w:rsidR="00C321B6" w:rsidRPr="00C83DF5" w:rsidRDefault="00A81E83" w:rsidP="00C321B6">
      <w:pPr>
        <w:spacing w:after="60"/>
        <w:ind w:left="720"/>
        <w:rPr>
          <w:lang w:val="de-DE"/>
        </w:rPr>
      </w:pPr>
      <w:r w:rsidRPr="00C83DF5">
        <w:rPr>
          <w:rFonts w:eastAsia="Calibri" w:cs="Tahoma"/>
          <w:b/>
          <w:color w:val="000000"/>
          <w:szCs w:val="18"/>
          <w:lang w:val="de-DE"/>
        </w:rPr>
        <w:t>Buy-Out-Option für SQL Server unter EAP</w:t>
      </w:r>
    </w:p>
    <w:p w:rsidR="00A81E83" w:rsidRPr="00C83DF5" w:rsidRDefault="00A81E83" w:rsidP="00C321B6">
      <w:pPr>
        <w:ind w:left="720"/>
        <w:rPr>
          <w:lang w:val="de-DE"/>
        </w:rPr>
      </w:pPr>
      <w:r w:rsidRPr="00C83DF5">
        <w:rPr>
          <w:rFonts w:eastAsia="Calibri" w:cs="Tahoma"/>
          <w:color w:val="000000"/>
          <w:szCs w:val="18"/>
          <w:lang w:val="de-DE"/>
        </w:rPr>
        <w:t>Kunden haben die Option, Software Assurance für SQL Server Enterprise Server-/CAL-Lizenzen nach dem 30. Juni 2012</w:t>
      </w:r>
      <w:r w:rsidR="00E71F46" w:rsidRPr="00C83DF5">
        <w:rPr>
          <w:rFonts w:eastAsia="Calibri" w:cs="Tahoma"/>
          <w:color w:val="000000"/>
          <w:szCs w:val="18"/>
          <w:lang w:val="de-DE"/>
        </w:rPr>
        <w:t xml:space="preserve"> </w:t>
      </w:r>
      <w:r w:rsidRPr="00C83DF5">
        <w:rPr>
          <w:rFonts w:eastAsia="Calibri" w:cs="Tahoma"/>
          <w:color w:val="000000"/>
          <w:szCs w:val="18"/>
          <w:lang w:val="de-DE"/>
        </w:rPr>
        <w:t>zu verlängern, ihre einzige Buy-Out-Option am Ende ihrer Beitrittslaufzeit gilt jedoch nur für Core-Lizenzen.</w:t>
      </w:r>
    </w:p>
    <w:p w:rsidR="00C321B6" w:rsidRPr="00DF3F89" w:rsidRDefault="00C321B6" w:rsidP="00C321B6">
      <w:pPr>
        <w:ind w:left="720"/>
        <w:rPr>
          <w:rFonts w:eastAsia="Calibri" w:cs="Tahoma"/>
          <w:b/>
          <w:bCs/>
          <w:color w:val="000000"/>
          <w:szCs w:val="18"/>
          <w:lang w:val="de-DE"/>
        </w:rPr>
      </w:pPr>
    </w:p>
    <w:p w:rsidR="00F60259" w:rsidRPr="00DF3F89" w:rsidRDefault="00F60259" w:rsidP="00C321B6">
      <w:pPr>
        <w:ind w:left="720"/>
        <w:rPr>
          <w:rFonts w:eastAsia="Calibri" w:cs="Tahoma"/>
          <w:b/>
          <w:bCs/>
          <w:color w:val="000000"/>
          <w:szCs w:val="18"/>
          <w:lang w:val="de-DE"/>
        </w:rPr>
      </w:pPr>
    </w:p>
    <w:p w:rsidR="00F60259" w:rsidRPr="00DF3F89" w:rsidRDefault="00F60259" w:rsidP="00C321B6">
      <w:pPr>
        <w:ind w:left="720"/>
        <w:rPr>
          <w:rFonts w:eastAsia="Calibri" w:cs="Tahoma"/>
          <w:b/>
          <w:bCs/>
          <w:color w:val="000000"/>
          <w:szCs w:val="18"/>
          <w:lang w:val="de-DE"/>
        </w:rPr>
      </w:pPr>
    </w:p>
    <w:p w:rsidR="00F60259" w:rsidRPr="00DF3F89" w:rsidRDefault="00F60259" w:rsidP="00C321B6">
      <w:pPr>
        <w:ind w:left="720"/>
        <w:rPr>
          <w:rFonts w:eastAsia="Calibri" w:cs="Tahoma"/>
          <w:b/>
          <w:bCs/>
          <w:color w:val="000000"/>
          <w:szCs w:val="18"/>
          <w:lang w:val="de-DE"/>
        </w:rPr>
      </w:pPr>
    </w:p>
    <w:p w:rsidR="00F60259" w:rsidRPr="00DF3F89" w:rsidRDefault="00F60259" w:rsidP="00C321B6">
      <w:pPr>
        <w:ind w:left="720"/>
        <w:rPr>
          <w:rFonts w:eastAsia="Calibri" w:cs="Tahoma"/>
          <w:b/>
          <w:bCs/>
          <w:color w:val="000000"/>
          <w:szCs w:val="18"/>
          <w:lang w:val="de-DE"/>
        </w:rPr>
      </w:pPr>
    </w:p>
    <w:p w:rsidR="00F60259" w:rsidRPr="00DF3F89" w:rsidRDefault="00F60259" w:rsidP="00C321B6">
      <w:pPr>
        <w:ind w:left="720"/>
        <w:rPr>
          <w:rFonts w:eastAsia="Calibri" w:cs="Tahoma"/>
          <w:b/>
          <w:bCs/>
          <w:color w:val="000000"/>
          <w:szCs w:val="18"/>
          <w:lang w:val="de-DE"/>
        </w:rPr>
      </w:pPr>
    </w:p>
    <w:p w:rsidR="00C321B6" w:rsidRPr="00C83DF5" w:rsidRDefault="00A81E83" w:rsidP="00C321B6">
      <w:pPr>
        <w:spacing w:after="60"/>
        <w:ind w:left="720"/>
        <w:rPr>
          <w:lang w:val="de-DE"/>
        </w:rPr>
      </w:pPr>
      <w:r w:rsidRPr="00C83DF5">
        <w:rPr>
          <w:rFonts w:eastAsia="Calibri" w:cs="Tahoma"/>
          <w:b/>
          <w:color w:val="000000"/>
          <w:szCs w:val="18"/>
          <w:lang w:val="de-DE"/>
        </w:rPr>
        <w:lastRenderedPageBreak/>
        <w:t>Kontinuierliche Verwendung von SQL Server 2008 R2 Enterprise</w:t>
      </w:r>
    </w:p>
    <w:p w:rsidR="00A81E83" w:rsidRPr="00C83DF5" w:rsidRDefault="00A81E83" w:rsidP="00F60259">
      <w:pPr>
        <w:ind w:left="720"/>
        <w:rPr>
          <w:lang w:val="de-DE"/>
        </w:rPr>
      </w:pPr>
      <w:r w:rsidRPr="00C83DF5">
        <w:rPr>
          <w:rFonts w:eastAsia="Calibri" w:cs="Tahoma"/>
          <w:color w:val="000000"/>
          <w:szCs w:val="18"/>
          <w:lang w:val="de-DE"/>
        </w:rPr>
        <w:t>Software Assurance</w:t>
      </w:r>
      <w:r w:rsidRPr="00C83DF5">
        <w:rPr>
          <w:rFonts w:eastAsia="Calibri" w:cs="Tahoma"/>
          <w:b/>
          <w:bCs/>
          <w:color w:val="000000"/>
          <w:szCs w:val="18"/>
          <w:lang w:val="de-DE"/>
        </w:rPr>
        <w:t xml:space="preserve"> </w:t>
      </w:r>
      <w:r w:rsidRPr="00C83DF5">
        <w:rPr>
          <w:rFonts w:eastAsia="Calibri" w:cs="Tahoma"/>
          <w:color w:val="000000"/>
          <w:szCs w:val="18"/>
          <w:lang w:val="de-DE"/>
        </w:rPr>
        <w:t>-Kunden, die SQL Server 2008 R2 Enterprise weiterhin unter Lizenzen verwenden, die</w:t>
      </w:r>
      <w:r w:rsidR="00F60259">
        <w:rPr>
          <w:rFonts w:eastAsia="Calibri" w:cs="Tahoma"/>
          <w:color w:val="000000"/>
          <w:szCs w:val="18"/>
          <w:lang w:val="de-DE"/>
        </w:rPr>
        <w:t> </w:t>
      </w:r>
      <w:r w:rsidRPr="00C83DF5">
        <w:rPr>
          <w:rFonts w:eastAsia="Calibri" w:cs="Tahoma"/>
          <w:color w:val="000000"/>
          <w:szCs w:val="18"/>
          <w:lang w:val="de-DE"/>
        </w:rPr>
        <w:t>unter ihrem am 1. April 2012 wirksamen Vertrag oder Beitritt erworben wurden, sind berechtigt, die</w:t>
      </w:r>
      <w:r w:rsidR="00F60259">
        <w:rPr>
          <w:rFonts w:eastAsia="Calibri" w:cs="Tahoma"/>
          <w:color w:val="000000"/>
          <w:szCs w:val="18"/>
          <w:lang w:val="de-DE"/>
        </w:rPr>
        <w:t> </w:t>
      </w:r>
      <w:r w:rsidRPr="00C83DF5">
        <w:rPr>
          <w:rFonts w:eastAsia="Calibri" w:cs="Tahoma"/>
          <w:color w:val="000000"/>
          <w:szCs w:val="18"/>
          <w:lang w:val="de-DE"/>
        </w:rPr>
        <w:t>Software während der aktuellen Laufzeit und Verlängerungszeiträumen unter Nutzungsrechten für</w:t>
      </w:r>
      <w:r w:rsidR="00F60259">
        <w:rPr>
          <w:rFonts w:eastAsia="Calibri" w:cs="Tahoma"/>
          <w:color w:val="000000"/>
          <w:szCs w:val="18"/>
          <w:lang w:val="de-DE"/>
        </w:rPr>
        <w:t> </w:t>
      </w:r>
      <w:r w:rsidRPr="00C83DF5">
        <w:rPr>
          <w:rFonts w:eastAsia="Calibri" w:cs="Tahoma"/>
          <w:color w:val="000000"/>
          <w:szCs w:val="18"/>
          <w:lang w:val="de-DE"/>
        </w:rPr>
        <w:t>SQL</w:t>
      </w:r>
      <w:r w:rsidR="00F60259">
        <w:rPr>
          <w:rFonts w:eastAsia="Calibri" w:cs="Tahoma"/>
          <w:color w:val="000000"/>
          <w:szCs w:val="18"/>
          <w:lang w:val="de-DE"/>
        </w:rPr>
        <w:t> </w:t>
      </w:r>
      <w:r w:rsidRPr="00C83DF5">
        <w:rPr>
          <w:rFonts w:eastAsia="Calibri" w:cs="Tahoma"/>
          <w:color w:val="000000"/>
          <w:szCs w:val="18"/>
          <w:lang w:val="de-DE"/>
        </w:rPr>
        <w:t>Server 2008 R2 Enterprise zu verwenden.</w:t>
      </w:r>
      <w:r w:rsidR="00E71F46" w:rsidRPr="00C83DF5">
        <w:rPr>
          <w:rFonts w:eastAsia="Calibri" w:cs="Tahoma"/>
          <w:color w:val="000000"/>
          <w:szCs w:val="18"/>
          <w:lang w:val="de-DE"/>
        </w:rPr>
        <w:t xml:space="preserve"> </w:t>
      </w:r>
      <w:r w:rsidRPr="00C83DF5">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p>
    <w:p w:rsidR="00C321B6" w:rsidRPr="00C83DF5" w:rsidRDefault="00C321B6" w:rsidP="00C321B6">
      <w:pPr>
        <w:ind w:left="720"/>
        <w:rPr>
          <w:lang w:val="de-DE"/>
        </w:rPr>
      </w:pPr>
    </w:p>
    <w:p w:rsidR="00C321B6" w:rsidRPr="00C83DF5" w:rsidRDefault="00A81E83" w:rsidP="00C321B6">
      <w:pPr>
        <w:spacing w:after="60"/>
        <w:ind w:left="720"/>
        <w:rPr>
          <w:lang w:val="de-DE"/>
        </w:rPr>
      </w:pPr>
      <w:r w:rsidRPr="00C83DF5">
        <w:rPr>
          <w:rFonts w:eastAsia="Calibri" w:cs="Tahoma"/>
          <w:b/>
          <w:color w:val="000000"/>
          <w:szCs w:val="18"/>
          <w:lang w:val="de-DE"/>
        </w:rPr>
        <w:t>Für Kunden in der Volksrepublik China, die dort Lizenzen und Software Assurance für SQL Server 2008 R2 erwerben</w:t>
      </w:r>
    </w:p>
    <w:p w:rsidR="00A81E83" w:rsidRPr="00C83DF5" w:rsidRDefault="00A81E83" w:rsidP="00C321B6">
      <w:pPr>
        <w:ind w:left="720"/>
        <w:rPr>
          <w:lang w:val="de-DE"/>
        </w:rPr>
      </w:pPr>
      <w:r w:rsidRPr="00C83DF5">
        <w:rPr>
          <w:lang w:val="de-DE"/>
        </w:rPr>
        <w:t>Die Verweise auf den 1. April 2012 in dieser Produktliste sind nicht anwendbar. Das anwendbare Datum für diese Kunden ist der 1. Juli 2012.</w:t>
      </w:r>
    </w:p>
    <w:p w:rsidR="00A81E83" w:rsidRPr="00C83DF5" w:rsidRDefault="00A81E83" w:rsidP="00C321B6">
      <w:pPr>
        <w:rPr>
          <w:lang w:val="de-DE"/>
        </w:rPr>
      </w:pPr>
    </w:p>
    <w:p w:rsidR="00A81E83" w:rsidRPr="00C83DF5" w:rsidRDefault="00A81E83" w:rsidP="00C321B6">
      <w:pPr>
        <w:rPr>
          <w:lang w:val="de-DE"/>
        </w:rPr>
      </w:pPr>
    </w:p>
    <w:p w:rsidR="00A81E83" w:rsidRPr="00C83DF5" w:rsidRDefault="00A560B6" w:rsidP="001760D6">
      <w:pPr>
        <w:pStyle w:val="Heading3"/>
        <w:keepNext/>
        <w:rPr>
          <w:lang w:val="de-DE"/>
        </w:rPr>
      </w:pPr>
      <w:bookmarkStart w:id="1476" w:name="_80_SQL_Server®"/>
      <w:bookmarkStart w:id="1477" w:name="_87_SQL_Server®"/>
      <w:bookmarkStart w:id="1478" w:name="_Toc336338347"/>
      <w:bookmarkStart w:id="1479" w:name="Srv_89SQLServer2012EnterpriseCore"/>
      <w:bookmarkStart w:id="1480" w:name="_Toc370983454"/>
      <w:bookmarkEnd w:id="1476"/>
      <w:bookmarkEnd w:id="1477"/>
      <w:r w:rsidRPr="00C83DF5">
        <w:rPr>
          <w:rFonts w:ascii="Tahoma" w:hAnsi="Tahoma"/>
          <w:caps/>
          <w:color w:val="F66400"/>
          <w:sz w:val="22"/>
          <w:vertAlign w:val="superscript"/>
          <w:lang w:val="de-DE"/>
        </w:rPr>
        <w:t>86</w:t>
      </w:r>
      <w:r w:rsidRPr="00672BCE">
        <w:rPr>
          <w:rFonts w:ascii="Tahoma" w:hAnsi="Tahoma"/>
          <w:caps/>
          <w:color w:val="F66400"/>
          <w:sz w:val="22"/>
          <w:lang w:val="de-DE"/>
        </w:rPr>
        <w:t xml:space="preserve"> </w:t>
      </w:r>
      <w:r w:rsidRPr="00C83DF5">
        <w:rPr>
          <w:rFonts w:ascii="Tahoma" w:hAnsi="Tahoma"/>
          <w:color w:val="F66400"/>
          <w:sz w:val="22"/>
          <w:lang w:val="de-DE"/>
        </w:rPr>
        <w:t>SQL Server</w:t>
      </w:r>
      <w:r w:rsidRPr="00C83DF5">
        <w:rPr>
          <w:rFonts w:ascii="Tahoma" w:hAnsi="Tahoma"/>
          <w:color w:val="F66400"/>
          <w:sz w:val="22"/>
          <w:vertAlign w:val="superscript"/>
          <w:lang w:val="de-DE"/>
        </w:rPr>
        <w:t>®</w:t>
      </w:r>
      <w:r w:rsidRPr="00C83DF5">
        <w:rPr>
          <w:rFonts w:ascii="Tahoma" w:hAnsi="Tahoma"/>
          <w:color w:val="F66400"/>
          <w:sz w:val="22"/>
          <w:lang w:val="de-DE"/>
        </w:rPr>
        <w:t xml:space="preserve"> 2012 Enterprise Core</w:t>
      </w:r>
      <w:bookmarkEnd w:id="1478"/>
      <w:bookmarkEnd w:id="1480"/>
    </w:p>
    <w:bookmarkEnd w:id="1479"/>
    <w:p w:rsidR="00A81E83" w:rsidRPr="00DF3F89" w:rsidRDefault="00A81E83" w:rsidP="00C321B6">
      <w:pPr>
        <w:pStyle w:val="EndnoteText"/>
        <w:rPr>
          <w:rFonts w:ascii="Tahoma" w:hAnsi="Tahoma" w:cs="Tahoma"/>
          <w:sz w:val="18"/>
          <w:szCs w:val="20"/>
          <w:lang w:val="de-DE"/>
        </w:rPr>
      </w:pPr>
    </w:p>
    <w:p w:rsidR="00C321B6" w:rsidRPr="00C83DF5" w:rsidRDefault="00A81E83" w:rsidP="00C321B6">
      <w:pPr>
        <w:spacing w:after="60"/>
        <w:ind w:left="720"/>
        <w:rPr>
          <w:lang w:val="de-DE"/>
        </w:rPr>
      </w:pPr>
      <w:r w:rsidRPr="00C83DF5">
        <w:rPr>
          <w:rFonts w:eastAsia="Calibri" w:cs="Tahoma"/>
          <w:b/>
          <w:color w:val="000000"/>
          <w:szCs w:val="18"/>
          <w:lang w:val="de-DE"/>
        </w:rPr>
        <w:t>Verlängerung von Nutzungsrechten für Unbegrenzte Virtualisierung für SQL Server 2008 R2 Enterprise (pro Prozessor)</w:t>
      </w:r>
    </w:p>
    <w:p w:rsidR="00A81E83" w:rsidRPr="00C83DF5" w:rsidRDefault="00A81E83" w:rsidP="00672BCE">
      <w:pPr>
        <w:ind w:left="720"/>
        <w:rPr>
          <w:lang w:val="de-DE"/>
        </w:rPr>
      </w:pPr>
      <w:r w:rsidRPr="00C83DF5">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672BCE">
        <w:rPr>
          <w:rFonts w:eastAsia="Calibri" w:cs="Tahoma"/>
          <w:color w:val="000000"/>
          <w:szCs w:val="18"/>
          <w:lang w:val="de-DE"/>
        </w:rPr>
        <w:t> </w:t>
      </w:r>
      <w:r w:rsidRPr="00C83DF5">
        <w:rPr>
          <w:rFonts w:eastAsia="Calibri" w:cs="Tahoma"/>
          <w:color w:val="000000"/>
          <w:szCs w:val="18"/>
          <w:lang w:val="de-DE"/>
        </w:rPr>
        <w:t xml:space="preserve">Serversoftware in einer unbegrenzten Anzahl von Betriebssystemumgebungen auf diesem Server auszuführen. </w:t>
      </w:r>
    </w:p>
    <w:p w:rsidR="00C321B6" w:rsidRPr="00FB257E" w:rsidRDefault="00C321B6" w:rsidP="00C321B6">
      <w:pPr>
        <w:ind w:left="720"/>
        <w:rPr>
          <w:rFonts w:eastAsia="Calibri" w:cs="Tahoma"/>
          <w:color w:val="000000"/>
          <w:szCs w:val="18"/>
          <w:lang w:val="de-DE"/>
        </w:rPr>
      </w:pPr>
    </w:p>
    <w:p w:rsidR="00C321B6" w:rsidRPr="00C83DF5" w:rsidRDefault="00A81E83" w:rsidP="00C321B6">
      <w:pPr>
        <w:spacing w:after="60"/>
        <w:ind w:left="720"/>
        <w:rPr>
          <w:lang w:val="de-DE"/>
        </w:rPr>
      </w:pPr>
      <w:r w:rsidRPr="00C83DF5">
        <w:rPr>
          <w:rFonts w:eastAsia="Calibri" w:cs="Tahoma"/>
          <w:b/>
          <w:color w:val="000000"/>
          <w:szCs w:val="18"/>
          <w:lang w:val="de-DE"/>
        </w:rPr>
        <w:t>Lizenzgewährungen im Zusammenhang mit der Änderung des Lizenzmodells</w:t>
      </w:r>
    </w:p>
    <w:p w:rsidR="00A81E83" w:rsidRPr="00C83DF5" w:rsidRDefault="00A81E83" w:rsidP="00672BCE">
      <w:pPr>
        <w:ind w:left="720"/>
        <w:rPr>
          <w:lang w:val="de-DE"/>
        </w:rPr>
      </w:pPr>
      <w:r w:rsidRPr="00C83DF5">
        <w:rPr>
          <w:rFonts w:eastAsia="Calibri" w:cs="Tahoma"/>
          <w:color w:val="000000"/>
          <w:szCs w:val="18"/>
          <w:lang w:val="de-DE"/>
        </w:rPr>
        <w:t>SQL Server 2008 R2 ist die letzte Version von SQL Server, die unter dem Pro-Prozessor-Lizenzmodell lizenziert wird.</w:t>
      </w:r>
      <w:r w:rsidR="00E71F46" w:rsidRPr="00C83DF5">
        <w:rPr>
          <w:rFonts w:eastAsia="Calibri" w:cs="Tahoma"/>
          <w:color w:val="000000"/>
          <w:szCs w:val="18"/>
          <w:lang w:val="de-DE"/>
        </w:rPr>
        <w:t xml:space="preserve"> </w:t>
      </w:r>
      <w:r w:rsidRPr="00C83DF5">
        <w:rPr>
          <w:rFonts w:eastAsia="Calibri" w:cs="Tahoma"/>
          <w:color w:val="000000"/>
          <w:szCs w:val="18"/>
          <w:lang w:val="de-DE"/>
        </w:rPr>
        <w:t>Als Ausnahme erhalten Volumenlizenzkunden, die am 1. April 2012 über aktive Software Assurance für SQL Server 2008 R2 Enterprise-Prozessorlizenzen („qualifizierende Lizenzen“) verfügen, die folgenden Optionen. Prozessorlizenzen für SQL Server 2008 R2 Enterprise</w:t>
      </w:r>
      <w:r w:rsidRPr="00C83DF5">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E71F46" w:rsidRPr="00C83DF5">
        <w:rPr>
          <w:rFonts w:cs="Tahoma"/>
          <w:bCs/>
          <w:color w:val="000000"/>
          <w:szCs w:val="18"/>
          <w:lang w:val="de-DE"/>
        </w:rPr>
        <w:t xml:space="preserve"> </w:t>
      </w:r>
      <w:r w:rsidRPr="00C83DF5">
        <w:rPr>
          <w:rFonts w:cs="Tahoma"/>
          <w:bCs/>
          <w:color w:val="000000"/>
          <w:szCs w:val="18"/>
          <w:lang w:val="de-DE"/>
        </w:rPr>
        <w:t>Lizenzen, die nach dem</w:t>
      </w:r>
      <w:r w:rsidR="00672BCE">
        <w:rPr>
          <w:rFonts w:cs="Tahoma"/>
          <w:bCs/>
          <w:color w:val="000000"/>
          <w:szCs w:val="18"/>
          <w:lang w:val="de-DE"/>
        </w:rPr>
        <w:t> </w:t>
      </w:r>
      <w:r w:rsidRPr="00C83DF5">
        <w:rPr>
          <w:rFonts w:cs="Tahoma"/>
          <w:bCs/>
          <w:color w:val="000000"/>
          <w:szCs w:val="18"/>
          <w:lang w:val="de-DE"/>
        </w:rPr>
        <w:t>1. April 2015 oder unter einer nachfolgenden Beitrittslaufzeit, einem separaten Vertrag oder einem</w:t>
      </w:r>
      <w:r w:rsidR="00672BCE">
        <w:rPr>
          <w:rFonts w:cs="Tahoma"/>
          <w:bCs/>
          <w:color w:val="000000"/>
          <w:szCs w:val="18"/>
          <w:lang w:val="de-DE"/>
        </w:rPr>
        <w:t> </w:t>
      </w:r>
      <w:r w:rsidRPr="00C83DF5">
        <w:rPr>
          <w:rFonts w:cs="Tahoma"/>
          <w:bCs/>
          <w:color w:val="000000"/>
          <w:szCs w:val="18"/>
          <w:lang w:val="de-DE"/>
        </w:rPr>
        <w:t>Beitritt erworben werden, dessen Wirksamkeitsdatum nach dem 1. April 2012 liegt, sind keine qualifizierenden Lizenzen.</w:t>
      </w:r>
    </w:p>
    <w:p w:rsidR="00C321B6" w:rsidRPr="00DF3F89" w:rsidRDefault="00C321B6" w:rsidP="00C321B6">
      <w:pPr>
        <w:ind w:left="720"/>
        <w:rPr>
          <w:rFonts w:eastAsia="Calibri" w:cs="Tahoma"/>
          <w:color w:val="000000"/>
          <w:szCs w:val="18"/>
          <w:lang w:val="de-DE"/>
        </w:rPr>
      </w:pPr>
    </w:p>
    <w:p w:rsidR="00F94F25" w:rsidRPr="00C83DF5" w:rsidRDefault="00F94F25" w:rsidP="00F94F25">
      <w:pPr>
        <w:spacing w:after="60"/>
        <w:ind w:left="720"/>
        <w:rPr>
          <w:lang w:val="de-DE"/>
        </w:rPr>
      </w:pPr>
      <w:r w:rsidRPr="00C83DF5">
        <w:rPr>
          <w:rFonts w:eastAsia="Calibri" w:cs="Tahoma"/>
          <w:b/>
          <w:color w:val="000000"/>
          <w:szCs w:val="18"/>
          <w:lang w:val="de-DE"/>
        </w:rPr>
        <w:t>Aktuelle Laufzeit</w:t>
      </w:r>
    </w:p>
    <w:p w:rsidR="00A81E83" w:rsidRPr="00C83DF5" w:rsidRDefault="00A81E83" w:rsidP="00F94F25">
      <w:pPr>
        <w:ind w:left="720"/>
        <w:rPr>
          <w:lang w:val="de-DE"/>
        </w:rPr>
      </w:pPr>
      <w:r w:rsidRPr="00C83DF5">
        <w:rPr>
          <w:rFonts w:eastAsia="Calibri" w:cs="Tahoma"/>
          <w:color w:val="000000"/>
          <w:szCs w:val="18"/>
          <w:lang w:val="de-DE"/>
        </w:rPr>
        <w:t xml:space="preserve">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 </w:t>
      </w:r>
    </w:p>
    <w:p w:rsidR="00672BCE" w:rsidRPr="00DF3F89" w:rsidRDefault="00672BCE" w:rsidP="00672BCE">
      <w:pPr>
        <w:ind w:left="720"/>
        <w:rPr>
          <w:rFonts w:eastAsia="Calibri" w:cs="Tahoma"/>
          <w:color w:val="000000"/>
          <w:szCs w:val="18"/>
          <w:lang w:val="de-DE"/>
        </w:rPr>
      </w:pPr>
    </w:p>
    <w:p w:rsidR="00F94F25" w:rsidRPr="00C83DF5" w:rsidRDefault="00A81E83" w:rsidP="00F94F25">
      <w:pPr>
        <w:spacing w:after="60"/>
        <w:ind w:left="720"/>
        <w:rPr>
          <w:lang w:val="de-DE"/>
        </w:rPr>
      </w:pPr>
      <w:r w:rsidRPr="00C83DF5">
        <w:rPr>
          <w:rFonts w:eastAsia="Calibri" w:cs="Tahoma"/>
          <w:b/>
          <w:color w:val="000000"/>
          <w:szCs w:val="18"/>
          <w:lang w:val="de-DE"/>
        </w:rPr>
        <w:t>Erster Verlängerungszeitraum (vor dem 1. April 2015)</w:t>
      </w:r>
    </w:p>
    <w:p w:rsidR="00A81E83" w:rsidRPr="00C83DF5" w:rsidRDefault="00A81E83" w:rsidP="00F94F25">
      <w:pPr>
        <w:tabs>
          <w:tab w:val="left" w:pos="1440"/>
        </w:tabs>
        <w:ind w:left="720"/>
        <w:rPr>
          <w:lang w:val="de-DE"/>
        </w:rPr>
      </w:pPr>
      <w:r w:rsidRPr="00C83DF5">
        <w:rPr>
          <w:rFonts w:eastAsia="Calibri" w:cs="Tahoma"/>
          <w:color w:val="000000"/>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2512D3" w:rsidRPr="00C83DF5" w:rsidRDefault="002512D3">
      <w:pPr>
        <w:rPr>
          <w:lang w:val="de-DE"/>
        </w:rPr>
      </w:pPr>
    </w:p>
    <w:p w:rsidR="00A81E83" w:rsidRPr="00C83DF5" w:rsidRDefault="00A81E83" w:rsidP="00FB257E">
      <w:pPr>
        <w:numPr>
          <w:ilvl w:val="0"/>
          <w:numId w:val="118"/>
        </w:numPr>
        <w:tabs>
          <w:tab w:val="left" w:pos="1800"/>
        </w:tabs>
        <w:spacing w:after="60"/>
        <w:ind w:left="1440"/>
        <w:rPr>
          <w:lang w:val="de-DE"/>
        </w:rPr>
      </w:pPr>
      <w:r w:rsidRPr="00C83DF5">
        <w:rPr>
          <w:rFonts w:eastAsia="Calibri" w:cs="Tahoma"/>
          <w:color w:val="000000"/>
          <w:szCs w:val="18"/>
          <w:lang w:val="de-DE"/>
        </w:rPr>
        <w:t>eine Anzahl, die der Anzahl von dem Server zugewiesenen qualifizierenden Lizenzen oder der</w:t>
      </w:r>
      <w:r w:rsidR="00FB257E">
        <w:rPr>
          <w:rFonts w:eastAsia="Calibri" w:cs="Tahoma"/>
          <w:color w:val="000000"/>
          <w:szCs w:val="18"/>
          <w:lang w:val="de-DE"/>
        </w:rPr>
        <w:t> </w:t>
      </w:r>
      <w:r w:rsidRPr="00C83DF5">
        <w:rPr>
          <w:rFonts w:eastAsia="Calibri" w:cs="Tahoma"/>
          <w:color w:val="000000"/>
          <w:szCs w:val="18"/>
          <w:lang w:val="de-DE"/>
        </w:rPr>
        <w:t>Gesamtzahl von physischen Prozessoren auf dem Server entspricht, multipliziert mit dem</w:t>
      </w:r>
      <w:r w:rsidR="00FB257E">
        <w:rPr>
          <w:rFonts w:eastAsia="Calibri" w:cs="Tahoma"/>
          <w:color w:val="000000"/>
          <w:szCs w:val="18"/>
          <w:lang w:val="de-DE"/>
        </w:rPr>
        <w:t> </w:t>
      </w:r>
      <w:r w:rsidRPr="00C83DF5">
        <w:rPr>
          <w:rFonts w:eastAsia="Calibri" w:cs="Tahoma"/>
          <w:color w:val="000000"/>
          <w:szCs w:val="18"/>
          <w:lang w:val="de-DE"/>
        </w:rPr>
        <w:t>größeren</w:t>
      </w:r>
      <w:r w:rsidR="00FB257E">
        <w:rPr>
          <w:rFonts w:eastAsia="Calibri" w:cs="Tahoma"/>
          <w:color w:val="000000"/>
          <w:szCs w:val="18"/>
          <w:lang w:val="de-DE"/>
        </w:rPr>
        <w:t> </w:t>
      </w:r>
      <w:r w:rsidRPr="00C83DF5">
        <w:rPr>
          <w:rFonts w:eastAsia="Calibri" w:cs="Tahoma"/>
          <w:color w:val="000000"/>
          <w:szCs w:val="18"/>
          <w:lang w:val="de-DE"/>
        </w:rPr>
        <w:t xml:space="preserve">Wert folgender Zahlen, wobei die kleinere Zahl maßgeblich ist: </w:t>
      </w:r>
    </w:p>
    <w:p w:rsidR="00A81E83" w:rsidRPr="00FB257E" w:rsidRDefault="00A81E83" w:rsidP="00346F4B">
      <w:pPr>
        <w:numPr>
          <w:ilvl w:val="3"/>
          <w:numId w:val="93"/>
        </w:numPr>
        <w:tabs>
          <w:tab w:val="left" w:pos="2160"/>
        </w:tabs>
        <w:spacing w:after="60"/>
        <w:ind w:left="2160"/>
      </w:pPr>
      <w:r w:rsidRPr="00C83DF5">
        <w:rPr>
          <w:rFonts w:eastAsia="Calibri" w:cs="Tahoma"/>
          <w:color w:val="000000"/>
          <w:szCs w:val="18"/>
        </w:rPr>
        <w:t>vier ODER</w:t>
      </w:r>
    </w:p>
    <w:p w:rsidR="00FB257E" w:rsidRPr="00C83DF5" w:rsidRDefault="00FB257E" w:rsidP="00FB257E">
      <w:pPr>
        <w:tabs>
          <w:tab w:val="left" w:pos="2160"/>
        </w:tabs>
        <w:spacing w:after="60"/>
      </w:pPr>
    </w:p>
    <w:p w:rsidR="00A81E83" w:rsidRPr="00C83DF5" w:rsidRDefault="00A81E83" w:rsidP="00FB257E">
      <w:pPr>
        <w:numPr>
          <w:ilvl w:val="3"/>
          <w:numId w:val="93"/>
        </w:numPr>
        <w:tabs>
          <w:tab w:val="left" w:pos="2160"/>
        </w:tabs>
        <w:spacing w:after="60"/>
        <w:ind w:left="2160"/>
        <w:rPr>
          <w:lang w:val="de-DE"/>
        </w:rPr>
      </w:pPr>
      <w:r w:rsidRPr="00C83DF5">
        <w:rPr>
          <w:rFonts w:eastAsia="Calibri" w:cs="Tahoma"/>
          <w:color w:val="000000"/>
          <w:szCs w:val="18"/>
          <w:lang w:val="de-DE"/>
        </w:rPr>
        <w:lastRenderedPageBreak/>
        <w:t>der tatsächlichen Anzahl von Cores pro physischem Prozessor multipliziert mit dem entsprechenden Core-Faktor.</w:t>
      </w:r>
      <w:r w:rsidR="00E71F46" w:rsidRPr="00C83DF5">
        <w:rPr>
          <w:rFonts w:eastAsia="Calibri" w:cs="Tahoma"/>
          <w:color w:val="000000"/>
          <w:szCs w:val="18"/>
          <w:lang w:val="de-DE"/>
        </w:rPr>
        <w:t xml:space="preserve"> </w:t>
      </w:r>
      <w:r w:rsidRPr="00C83DF5">
        <w:rPr>
          <w:rFonts w:eastAsia="Calibri" w:cs="Tahoma"/>
          <w:color w:val="000000"/>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w:t>
      </w:r>
      <w:r w:rsidR="00FB257E">
        <w:rPr>
          <w:rFonts w:eastAsia="Calibri" w:cs="Tahoma"/>
          <w:color w:val="000000"/>
          <w:szCs w:val="18"/>
          <w:lang w:val="de-DE"/>
        </w:rPr>
        <w:t> </w:t>
      </w:r>
      <w:r w:rsidRPr="00C83DF5">
        <w:rPr>
          <w:rFonts w:eastAsia="Calibri" w:cs="Tahoma"/>
          <w:color w:val="000000"/>
          <w:szCs w:val="18"/>
          <w:lang w:val="de-DE"/>
        </w:rPr>
        <w:t xml:space="preserve">ausgeführt werden), und der physischen Hardware führen, die diese Software unterstützt.) </w:t>
      </w:r>
    </w:p>
    <w:p w:rsidR="00A81E83" w:rsidRPr="00C83DF5" w:rsidRDefault="00A81E83" w:rsidP="00346F4B">
      <w:pPr>
        <w:numPr>
          <w:ilvl w:val="0"/>
          <w:numId w:val="118"/>
        </w:numPr>
        <w:tabs>
          <w:tab w:val="left" w:pos="1800"/>
        </w:tabs>
        <w:spacing w:after="60"/>
        <w:ind w:left="1440"/>
        <w:rPr>
          <w:lang w:val="de-DE"/>
        </w:rPr>
      </w:pPr>
      <w:r w:rsidRPr="00C83DF5">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rsidR="00F94F25" w:rsidRPr="00C83DF5" w:rsidRDefault="00F94F25" w:rsidP="00F94F25">
      <w:pPr>
        <w:tabs>
          <w:tab w:val="left" w:pos="1800"/>
        </w:tabs>
        <w:ind w:left="1080"/>
        <w:rPr>
          <w:lang w:val="de-DE"/>
        </w:rPr>
      </w:pPr>
    </w:p>
    <w:p w:rsidR="00F94F25" w:rsidRPr="00C83DF5" w:rsidRDefault="007A34E3" w:rsidP="00F94F25">
      <w:pPr>
        <w:spacing w:after="60"/>
        <w:ind w:left="720"/>
        <w:rPr>
          <w:lang w:val="de-DE"/>
        </w:rPr>
      </w:pPr>
      <w:r w:rsidRPr="00C83DF5">
        <w:rPr>
          <w:rFonts w:eastAsia="Calibri" w:cs="Tahoma"/>
          <w:b/>
          <w:color w:val="000000"/>
          <w:szCs w:val="18"/>
          <w:lang w:val="de-DE"/>
        </w:rPr>
        <w:t>Erster Verlängerungszeitraum am oder nach dem 1. April 2015</w:t>
      </w:r>
    </w:p>
    <w:p w:rsidR="00A81E83" w:rsidRPr="00C83DF5" w:rsidRDefault="00A81E83" w:rsidP="00FB257E">
      <w:pPr>
        <w:ind w:left="720"/>
        <w:rPr>
          <w:lang w:val="de-DE"/>
        </w:rPr>
      </w:pPr>
      <w:r w:rsidRPr="00C83DF5">
        <w:rPr>
          <w:rFonts w:eastAsia="Calibri" w:cs="Tahoma"/>
          <w:color w:val="000000"/>
          <w:szCs w:val="18"/>
          <w:lang w:val="de-DE"/>
        </w:rPr>
        <w:t>Kunden, die Software Assurance am oder nach dem 1. April 2015</w:t>
      </w:r>
      <w:r w:rsidRPr="00C83DF5">
        <w:rPr>
          <w:rFonts w:eastAsia="Calibri" w:cs="Tahoma"/>
          <w:szCs w:val="18"/>
          <w:lang w:val="de-DE"/>
        </w:rPr>
        <w:t xml:space="preserve"> erstmals verlängern, sind berechtigt, für</w:t>
      </w:r>
      <w:r w:rsidR="00FB257E">
        <w:rPr>
          <w:rFonts w:eastAsia="Calibri" w:cs="Tahoma"/>
          <w:szCs w:val="18"/>
          <w:lang w:val="de-DE"/>
        </w:rPr>
        <w:t> </w:t>
      </w:r>
      <w:r w:rsidRPr="00C83DF5">
        <w:rPr>
          <w:rFonts w:eastAsia="Calibri" w:cs="Tahoma"/>
          <w:szCs w:val="18"/>
          <w:lang w:val="de-DE"/>
        </w:rPr>
        <w:t>jeden Server, der unter Produktbenutzungsrechten für SQL Server 2008 R2-Prozessorlizenzen ordnungsgemäß lizenziert ist, Software Assurance wie folgt zu erwerben:</w:t>
      </w:r>
    </w:p>
    <w:p w:rsidR="00F94F25" w:rsidRPr="00C83DF5" w:rsidRDefault="00F94F25" w:rsidP="00F94F25">
      <w:pPr>
        <w:ind w:left="720"/>
        <w:rPr>
          <w:lang w:val="de-DE"/>
        </w:rPr>
      </w:pPr>
    </w:p>
    <w:p w:rsidR="00A81E83" w:rsidRPr="00FB257E" w:rsidRDefault="00A81E83" w:rsidP="00FB257E">
      <w:pPr>
        <w:numPr>
          <w:ilvl w:val="3"/>
          <w:numId w:val="94"/>
        </w:numPr>
        <w:spacing w:after="60"/>
        <w:ind w:left="1440" w:hanging="360"/>
        <w:rPr>
          <w:lang w:val="de-DE"/>
        </w:rPr>
      </w:pPr>
      <w:r w:rsidRPr="00C83DF5">
        <w:rPr>
          <w:rFonts w:eastAsia="Calibri" w:cs="Tahoma"/>
          <w:szCs w:val="18"/>
          <w:lang w:val="de-DE"/>
        </w:rPr>
        <w:t>Wie im ersten Absatz dieses Produkthinweises dargelegt, sind Lizenzen, die vor dem 1. April 2015 erworben wurden, qualifizierende Lizenzen, und Kunden sind berechtigt, Software Assurance in</w:t>
      </w:r>
      <w:r w:rsidR="00FB257E">
        <w:rPr>
          <w:rFonts w:eastAsia="Calibri" w:cs="Tahoma"/>
          <w:szCs w:val="18"/>
          <w:lang w:val="de-DE"/>
        </w:rPr>
        <w:t> </w:t>
      </w:r>
      <w:r w:rsidRPr="00C83DF5">
        <w:rPr>
          <w:rFonts w:eastAsia="Calibri" w:cs="Tahoma"/>
          <w:szCs w:val="18"/>
          <w:lang w:val="de-DE"/>
        </w:rPr>
        <w:t xml:space="preserve">Übereinstimmung mit den Bestimmungen im Abschnitt oben mit der Überschrift „Erster Verlängerungszeitraum (vor dem 1. </w:t>
      </w:r>
      <w:r w:rsidRPr="00FB257E">
        <w:rPr>
          <w:rFonts w:eastAsia="Calibri" w:cs="Tahoma"/>
          <w:szCs w:val="18"/>
          <w:lang w:val="de-DE"/>
        </w:rPr>
        <w:t xml:space="preserve">April 2015)“ zu verlängern, und </w:t>
      </w:r>
    </w:p>
    <w:p w:rsidR="00A81E83" w:rsidRPr="00C83DF5" w:rsidRDefault="00A81E83" w:rsidP="00FB257E">
      <w:pPr>
        <w:numPr>
          <w:ilvl w:val="3"/>
          <w:numId w:val="94"/>
        </w:numPr>
        <w:spacing w:after="60"/>
        <w:ind w:left="1440" w:hanging="360"/>
        <w:rPr>
          <w:lang w:val="de-DE"/>
        </w:rPr>
      </w:pPr>
      <w:r w:rsidRPr="00C83DF5">
        <w:rPr>
          <w:rFonts w:eastAsia="Calibri" w:cs="Tahoma"/>
          <w:szCs w:val="18"/>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 Für</w:t>
      </w:r>
      <w:r w:rsidR="00FB257E">
        <w:rPr>
          <w:rFonts w:eastAsia="Calibri" w:cs="Tahoma"/>
          <w:szCs w:val="18"/>
          <w:lang w:val="de-DE"/>
        </w:rPr>
        <w:t> </w:t>
      </w:r>
      <w:r w:rsidRPr="00C83DF5">
        <w:rPr>
          <w:rFonts w:eastAsia="Calibri" w:cs="Tahoma"/>
          <w:szCs w:val="18"/>
          <w:lang w:val="de-DE"/>
        </w:rPr>
        <w:t>die kontinuierliche Verwendung von SQL Server 2012 auf Prozessoren, die mehr als vier Core-Lizenzen pro Prozessor erfordern, muss der Kunde die zusätzlichen Core-Lizenzen erwerben.</w:t>
      </w:r>
    </w:p>
    <w:p w:rsidR="00A81E83" w:rsidRPr="00C83DF5" w:rsidRDefault="00A81E83" w:rsidP="00FB257E">
      <w:pPr>
        <w:numPr>
          <w:ilvl w:val="0"/>
          <w:numId w:val="50"/>
        </w:numPr>
        <w:spacing w:after="60"/>
        <w:ind w:left="1440"/>
        <w:rPr>
          <w:lang w:val="de-DE"/>
        </w:rPr>
      </w:pPr>
      <w:r w:rsidRPr="00C83DF5">
        <w:rPr>
          <w:rFonts w:eastAsia="Calibri" w:cs="Tahoma"/>
          <w:color w:val="000000"/>
          <w:szCs w:val="18"/>
          <w:lang w:val="de-DE"/>
        </w:rPr>
        <w:t>Die Prozessorlizenzen des Kunden sind bei Erwerb von Software Assurance für Core-Lizenzen unter</w:t>
      </w:r>
      <w:r w:rsidR="00FB257E">
        <w:rPr>
          <w:rFonts w:eastAsia="Calibri" w:cs="Tahoma"/>
          <w:color w:val="000000"/>
          <w:szCs w:val="18"/>
          <w:lang w:val="de-DE"/>
        </w:rPr>
        <w:t> </w:t>
      </w:r>
      <w:r w:rsidRPr="00C83DF5">
        <w:rPr>
          <w:rFonts w:eastAsia="Calibri" w:cs="Tahoma"/>
          <w:color w:val="000000"/>
          <w:szCs w:val="18"/>
          <w:lang w:val="de-DE"/>
        </w:rPr>
        <w:t xml:space="preserve">diesem Angebot nicht mehr gültig. </w:t>
      </w:r>
      <w:r w:rsidRPr="00C83DF5">
        <w:rPr>
          <w:rFonts w:eastAsia="Calibri" w:cs="Tahoma"/>
          <w:szCs w:val="18"/>
          <w:lang w:val="de-DE"/>
        </w:rPr>
        <w:t>Die Option zum Erwerb</w:t>
      </w:r>
      <w:r w:rsidR="00FB257E">
        <w:rPr>
          <w:rFonts w:eastAsia="Calibri" w:cs="Tahoma"/>
          <w:szCs w:val="18"/>
          <w:lang w:val="de-DE"/>
        </w:rPr>
        <w:t xml:space="preserve"> von Core-Lizenzen für Software </w:t>
      </w:r>
      <w:r w:rsidRPr="00C83DF5">
        <w:rPr>
          <w:rFonts w:eastAsia="Calibri" w:cs="Tahoma"/>
          <w:szCs w:val="18"/>
          <w:lang w:val="de-DE"/>
        </w:rPr>
        <w:t>Assurance für SQL Server ist nicht auf die Software Assurance-Verlängerung unter Abonnementprogrammen anwendbar.</w:t>
      </w:r>
      <w:r w:rsidR="00E71F46" w:rsidRPr="00C83DF5">
        <w:rPr>
          <w:rFonts w:eastAsia="Calibri" w:cs="Tahoma"/>
          <w:szCs w:val="18"/>
          <w:lang w:val="de-DE"/>
        </w:rPr>
        <w:t xml:space="preserve"> </w:t>
      </w:r>
    </w:p>
    <w:p w:rsidR="00F94F25" w:rsidRPr="00DF3F89" w:rsidRDefault="00F94F25" w:rsidP="00F94F25">
      <w:pPr>
        <w:ind w:left="1440"/>
        <w:rPr>
          <w:rFonts w:eastAsia="Calibri" w:cs="Tahoma"/>
          <w:color w:val="000000"/>
          <w:szCs w:val="18"/>
          <w:lang w:val="de-DE"/>
        </w:rPr>
      </w:pPr>
    </w:p>
    <w:p w:rsidR="00204D6D" w:rsidRPr="00C83DF5" w:rsidRDefault="00A81E83" w:rsidP="00204D6D">
      <w:pPr>
        <w:tabs>
          <w:tab w:val="left" w:pos="1440"/>
        </w:tabs>
        <w:spacing w:after="60"/>
        <w:ind w:left="720"/>
        <w:rPr>
          <w:lang w:val="de-DE"/>
        </w:rPr>
      </w:pPr>
      <w:r w:rsidRPr="00C83DF5">
        <w:rPr>
          <w:rFonts w:eastAsia="Calibri" w:cs="Tahoma"/>
          <w:b/>
          <w:color w:val="000000"/>
          <w:szCs w:val="18"/>
          <w:lang w:val="de-DE"/>
        </w:rPr>
        <w:t>Für Kunden mit Software Assurance, die vor dem 1. April 2015 abläuft, die sich gegen eine Verlängerung entscheiden</w:t>
      </w:r>
    </w:p>
    <w:p w:rsidR="00A81E83" w:rsidRPr="00C83DF5" w:rsidRDefault="00A81E83" w:rsidP="00204D6D">
      <w:pPr>
        <w:tabs>
          <w:tab w:val="left" w:pos="1440"/>
        </w:tabs>
        <w:ind w:left="720"/>
        <w:rPr>
          <w:lang w:val="de-DE"/>
        </w:rPr>
      </w:pPr>
      <w:r w:rsidRPr="00C83DF5">
        <w:rPr>
          <w:rFonts w:eastAsia="Calibri" w:cs="Tahoma"/>
          <w:color w:val="000000"/>
          <w:szCs w:val="18"/>
          <w:lang w:val="de-DE"/>
        </w:rPr>
        <w:t xml:space="preserve">Konzern-Abonnement- </w:t>
      </w:r>
      <w:r w:rsidRPr="00C83DF5">
        <w:rPr>
          <w:rFonts w:cs="Tahoma"/>
          <w:bCs/>
          <w:color w:val="000000"/>
          <w:szCs w:val="18"/>
          <w:lang w:val="de-DE"/>
        </w:rPr>
        <w:t>und Open Value Subscription-</w:t>
      </w:r>
      <w:r w:rsidRPr="00C83DF5">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204D6D" w:rsidRPr="00C83DF5" w:rsidRDefault="00204D6D" w:rsidP="00204D6D">
      <w:pPr>
        <w:tabs>
          <w:tab w:val="left" w:pos="1440"/>
        </w:tabs>
        <w:ind w:left="720"/>
        <w:rPr>
          <w:lang w:val="de-DE"/>
        </w:rPr>
      </w:pPr>
    </w:p>
    <w:p w:rsidR="00A81E83" w:rsidRPr="00C83DF5" w:rsidRDefault="00A81E83" w:rsidP="00346F4B">
      <w:pPr>
        <w:numPr>
          <w:ilvl w:val="0"/>
          <w:numId w:val="53"/>
        </w:numPr>
        <w:spacing w:after="60"/>
        <w:ind w:left="1440"/>
        <w:rPr>
          <w:lang w:val="de-DE"/>
        </w:rPr>
      </w:pPr>
      <w:r w:rsidRPr="00C83DF5">
        <w:rPr>
          <w:rFonts w:eastAsia="Calibri" w:cs="Tahoma"/>
          <w:b/>
          <w:color w:val="000000"/>
          <w:szCs w:val="18"/>
          <w:lang w:val="de-DE"/>
        </w:rPr>
        <w:t>SQL Server 2008 R2 Enterprise:</w:t>
      </w:r>
      <w:r w:rsidRPr="00C83DF5">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rsidR="00A81E83" w:rsidRPr="00C83DF5" w:rsidRDefault="00A81E83" w:rsidP="007379CF">
      <w:pPr>
        <w:numPr>
          <w:ilvl w:val="0"/>
          <w:numId w:val="53"/>
        </w:numPr>
        <w:tabs>
          <w:tab w:val="left" w:pos="1800"/>
        </w:tabs>
        <w:spacing w:after="60"/>
        <w:ind w:left="1440"/>
        <w:rPr>
          <w:lang w:val="de-DE"/>
        </w:rPr>
      </w:pPr>
      <w:r w:rsidRPr="00C83DF5">
        <w:rPr>
          <w:rFonts w:eastAsia="Calibri" w:cs="Tahoma"/>
          <w:b/>
          <w:color w:val="000000"/>
          <w:szCs w:val="18"/>
          <w:lang w:val="de-DE"/>
        </w:rPr>
        <w:t xml:space="preserve">SQL Server 2012 Enterprise Core: </w:t>
      </w:r>
      <w:r w:rsidRPr="00C83DF5">
        <w:rPr>
          <w:rFonts w:eastAsia="Calibri" w:cs="Tahoma"/>
          <w:color w:val="000000"/>
          <w:szCs w:val="18"/>
          <w:lang w:val="de-DE"/>
        </w:rPr>
        <w:t>Die Verwendung dieser Version der Software unterliegt den</w:t>
      </w:r>
      <w:r w:rsidR="007379CF">
        <w:rPr>
          <w:rFonts w:eastAsia="Calibri" w:cs="Tahoma"/>
          <w:color w:val="000000"/>
          <w:szCs w:val="18"/>
          <w:lang w:val="de-DE"/>
        </w:rPr>
        <w:t> </w:t>
      </w:r>
      <w:r w:rsidRPr="00C83DF5">
        <w:rPr>
          <w:rFonts w:eastAsia="Calibri" w:cs="Tahoma"/>
          <w:color w:val="000000"/>
          <w:szCs w:val="18"/>
          <w:lang w:val="de-DE"/>
        </w:rPr>
        <w:t>Produktbenutzungsrechten für SQL Server 2008 R2 Enterprise-Prozessorlizenzen, jedoch mit</w:t>
      </w:r>
      <w:r w:rsidR="007379CF">
        <w:rPr>
          <w:rFonts w:eastAsia="Calibri" w:cs="Tahoma"/>
          <w:color w:val="000000"/>
          <w:szCs w:val="18"/>
          <w:lang w:val="de-DE"/>
        </w:rPr>
        <w:t> </w:t>
      </w:r>
      <w:r w:rsidRPr="00C83DF5">
        <w:rPr>
          <w:rFonts w:eastAsia="Calibri" w:cs="Tahoma"/>
          <w:color w:val="000000"/>
          <w:szCs w:val="18"/>
          <w:lang w:val="de-DE"/>
        </w:rPr>
        <w:t xml:space="preserve">folgenden Einschränkungen: </w:t>
      </w:r>
    </w:p>
    <w:p w:rsidR="00A81E83" w:rsidRPr="00C83DF5" w:rsidRDefault="00A81E83" w:rsidP="00346F4B">
      <w:pPr>
        <w:numPr>
          <w:ilvl w:val="1"/>
          <w:numId w:val="53"/>
        </w:numPr>
        <w:tabs>
          <w:tab w:val="left" w:pos="2160"/>
        </w:tabs>
        <w:spacing w:after="60"/>
        <w:ind w:left="2160"/>
        <w:rPr>
          <w:lang w:val="de-DE"/>
        </w:rPr>
      </w:pPr>
      <w:r w:rsidRPr="00C83DF5">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rsidR="00A81E83" w:rsidRPr="007379CF" w:rsidRDefault="00A81E83" w:rsidP="007379CF">
      <w:pPr>
        <w:numPr>
          <w:ilvl w:val="1"/>
          <w:numId w:val="53"/>
        </w:numPr>
        <w:tabs>
          <w:tab w:val="left" w:pos="2160"/>
          <w:tab w:val="left" w:pos="2970"/>
        </w:tabs>
        <w:spacing w:after="60"/>
        <w:ind w:left="2160"/>
        <w:rPr>
          <w:lang w:val="de-DE"/>
        </w:rPr>
      </w:pPr>
      <w:r w:rsidRPr="00C83DF5">
        <w:rPr>
          <w:rFonts w:eastAsia="Calibri" w:cs="Tahoma"/>
          <w:color w:val="000000"/>
          <w:szCs w:val="18"/>
          <w:lang w:val="de-DE"/>
        </w:rPr>
        <w:t>Neuzuweisungen von Lizenzen unterliegen den Beschränkungen unten unter (i) und (ii) in</w:t>
      </w:r>
      <w:r w:rsidR="007379CF">
        <w:rPr>
          <w:rFonts w:eastAsia="Calibri" w:cs="Tahoma"/>
          <w:color w:val="000000"/>
          <w:szCs w:val="18"/>
          <w:lang w:val="de-DE"/>
        </w:rPr>
        <w:t> </w:t>
      </w:r>
      <w:r w:rsidRPr="00C83DF5">
        <w:rPr>
          <w:rFonts w:eastAsia="Calibri" w:cs="Tahoma"/>
          <w:color w:val="000000"/>
          <w:szCs w:val="18"/>
          <w:lang w:val="de-DE"/>
        </w:rPr>
        <w:t xml:space="preserve">Bezug auf ihre „Core-Lizenzäquivalenz“. </w:t>
      </w:r>
      <w:r w:rsidRPr="007379CF">
        <w:rPr>
          <w:rFonts w:eastAsia="Calibri" w:cs="Tahoma"/>
          <w:color w:val="000000"/>
          <w:szCs w:val="18"/>
          <w:lang w:val="de-DE"/>
        </w:rPr>
        <w:t xml:space="preserve">Die Core-Lizenzäquivalenz wird wie folgt bestimmt. </w:t>
      </w:r>
    </w:p>
    <w:p w:rsidR="007379CF" w:rsidRDefault="007379CF" w:rsidP="007379CF">
      <w:pPr>
        <w:tabs>
          <w:tab w:val="left" w:pos="2160"/>
          <w:tab w:val="left" w:pos="2970"/>
        </w:tabs>
        <w:spacing w:after="60"/>
        <w:rPr>
          <w:rFonts w:eastAsia="Calibri" w:cs="Tahoma"/>
          <w:color w:val="000000"/>
          <w:szCs w:val="18"/>
          <w:lang w:val="de-DE"/>
        </w:rPr>
      </w:pPr>
    </w:p>
    <w:p w:rsidR="007379CF" w:rsidRDefault="007379CF" w:rsidP="007379CF">
      <w:pPr>
        <w:tabs>
          <w:tab w:val="left" w:pos="2160"/>
          <w:tab w:val="left" w:pos="2970"/>
        </w:tabs>
        <w:spacing w:after="60"/>
        <w:rPr>
          <w:rFonts w:eastAsia="Calibri" w:cs="Tahoma"/>
          <w:color w:val="000000"/>
          <w:szCs w:val="18"/>
          <w:lang w:val="de-DE"/>
        </w:rPr>
      </w:pPr>
    </w:p>
    <w:p w:rsidR="007379CF" w:rsidRPr="007379CF" w:rsidRDefault="007379CF" w:rsidP="007379CF">
      <w:pPr>
        <w:tabs>
          <w:tab w:val="left" w:pos="2160"/>
          <w:tab w:val="left" w:pos="2970"/>
        </w:tabs>
        <w:spacing w:after="60"/>
        <w:rPr>
          <w:lang w:val="de-DE"/>
        </w:rPr>
      </w:pPr>
    </w:p>
    <w:p w:rsidR="00A81E83" w:rsidRPr="00C83DF5" w:rsidRDefault="00A81E83" w:rsidP="00346F4B">
      <w:pPr>
        <w:numPr>
          <w:ilvl w:val="2"/>
          <w:numId w:val="53"/>
        </w:numPr>
        <w:tabs>
          <w:tab w:val="left" w:pos="2520"/>
        </w:tabs>
        <w:spacing w:after="60"/>
        <w:ind w:left="2520"/>
        <w:rPr>
          <w:lang w:val="de-DE"/>
        </w:rPr>
      </w:pPr>
      <w:r w:rsidRPr="00C83DF5">
        <w:rPr>
          <w:rFonts w:eastAsia="Calibri" w:cs="Tahoma"/>
          <w:color w:val="000000"/>
          <w:szCs w:val="18"/>
          <w:lang w:val="de-DE"/>
        </w:rPr>
        <w:lastRenderedPageBreak/>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C83DF5" w:rsidRDefault="00A81E83" w:rsidP="00346F4B">
      <w:pPr>
        <w:numPr>
          <w:ilvl w:val="4"/>
          <w:numId w:val="50"/>
        </w:numPr>
        <w:tabs>
          <w:tab w:val="left" w:pos="2880"/>
        </w:tabs>
        <w:spacing w:after="60"/>
        <w:ind w:left="2880"/>
      </w:pPr>
      <w:r w:rsidRPr="00C83DF5">
        <w:rPr>
          <w:rFonts w:eastAsia="Calibri" w:cs="Tahoma"/>
          <w:color w:val="000000"/>
          <w:szCs w:val="18"/>
        </w:rPr>
        <w:t xml:space="preserve">vier Cores pro Prozessorlizenz ODER </w:t>
      </w:r>
    </w:p>
    <w:p w:rsidR="00A81E83" w:rsidRPr="00C83DF5" w:rsidRDefault="00A81E83" w:rsidP="00346F4B">
      <w:pPr>
        <w:numPr>
          <w:ilvl w:val="4"/>
          <w:numId w:val="50"/>
        </w:numPr>
        <w:tabs>
          <w:tab w:val="left" w:pos="2880"/>
        </w:tabs>
        <w:spacing w:after="60"/>
        <w:ind w:left="2880"/>
        <w:rPr>
          <w:lang w:val="de-DE"/>
        </w:rPr>
      </w:pPr>
      <w:r w:rsidRPr="00C83DF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C83DF5" w:rsidRDefault="00A81E83" w:rsidP="00346F4B">
      <w:pPr>
        <w:numPr>
          <w:ilvl w:val="2"/>
          <w:numId w:val="53"/>
        </w:numPr>
        <w:tabs>
          <w:tab w:val="left" w:pos="2520"/>
        </w:tabs>
        <w:spacing w:after="60"/>
        <w:ind w:left="2520"/>
        <w:rPr>
          <w:lang w:val="de-DE"/>
        </w:rPr>
      </w:pPr>
      <w:r w:rsidRPr="00C83DF5">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C83DF5" w:rsidRDefault="00A81E83" w:rsidP="00242CC8">
      <w:pPr>
        <w:numPr>
          <w:ilvl w:val="1"/>
          <w:numId w:val="53"/>
        </w:numPr>
        <w:tabs>
          <w:tab w:val="left" w:pos="1800"/>
        </w:tabs>
        <w:spacing w:after="60"/>
        <w:ind w:left="1800"/>
        <w:rPr>
          <w:lang w:val="de-DE"/>
        </w:rPr>
      </w:pPr>
      <w:r w:rsidRPr="00C83DF5">
        <w:rPr>
          <w:rFonts w:eastAsia="Calibri" w:cs="Tahoma"/>
          <w:color w:val="000000"/>
          <w:szCs w:val="18"/>
          <w:lang w:val="de-DE"/>
        </w:rPr>
        <w:t xml:space="preserve">Kunden </w:t>
      </w:r>
      <w:r w:rsidRPr="00C83DF5">
        <w:rPr>
          <w:rFonts w:eastAsia="Calibri" w:cs="Tahoma"/>
          <w:szCs w:val="18"/>
          <w:lang w:val="de-DE"/>
        </w:rPr>
        <w:t>sind berechtigt, Lizenzen einem anderen Server neu zuzuweisen. Wenn der Kunde jedoch eine Lizenz einem anderen Server neu zuweist, muss der Kunde die Nutzungsrechte für</w:t>
      </w:r>
      <w:r w:rsidR="00242CC8">
        <w:rPr>
          <w:rFonts w:eastAsia="Calibri" w:cs="Tahoma"/>
          <w:szCs w:val="18"/>
          <w:lang w:val="de-DE"/>
        </w:rPr>
        <w:t> </w:t>
      </w:r>
      <w:r w:rsidRPr="00C83DF5">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C83DF5" w:rsidRDefault="00A81E83" w:rsidP="00346F4B">
      <w:pPr>
        <w:numPr>
          <w:ilvl w:val="1"/>
          <w:numId w:val="53"/>
        </w:numPr>
        <w:tabs>
          <w:tab w:val="left" w:pos="1800"/>
          <w:tab w:val="left" w:pos="2970"/>
        </w:tabs>
        <w:spacing w:after="60"/>
        <w:ind w:left="1800"/>
        <w:rPr>
          <w:lang w:val="de-DE"/>
        </w:rPr>
      </w:pPr>
      <w:r w:rsidRPr="00C83DF5">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204D6D" w:rsidRPr="00C83DF5" w:rsidRDefault="00204D6D" w:rsidP="00204D6D">
      <w:pPr>
        <w:tabs>
          <w:tab w:val="left" w:pos="1800"/>
          <w:tab w:val="left" w:pos="2970"/>
        </w:tabs>
        <w:rPr>
          <w:lang w:val="de-DE"/>
        </w:rPr>
      </w:pPr>
    </w:p>
    <w:p w:rsidR="00204D6D" w:rsidRPr="00C83DF5" w:rsidRDefault="00A81E83" w:rsidP="00204D6D">
      <w:pPr>
        <w:tabs>
          <w:tab w:val="left" w:pos="720"/>
        </w:tabs>
        <w:spacing w:after="60"/>
        <w:ind w:left="720"/>
        <w:rPr>
          <w:lang w:val="de-DE"/>
        </w:rPr>
      </w:pPr>
      <w:r w:rsidRPr="00C83DF5">
        <w:rPr>
          <w:rFonts w:eastAsia="Calibri" w:cs="Tahoma"/>
          <w:b/>
          <w:color w:val="000000"/>
          <w:szCs w:val="18"/>
          <w:lang w:val="de-DE"/>
        </w:rPr>
        <w:t>Für Kunden mit Software Assurance, die am oder nach dem 1. April 2015 abläuft, die sich gegen eine Verlängerung entscheiden</w:t>
      </w:r>
    </w:p>
    <w:p w:rsidR="00A81E83" w:rsidRPr="00C83DF5" w:rsidRDefault="00A81E83" w:rsidP="00204D6D">
      <w:pPr>
        <w:tabs>
          <w:tab w:val="left" w:pos="720"/>
        </w:tabs>
        <w:ind w:left="720"/>
        <w:rPr>
          <w:lang w:val="de-DE"/>
        </w:rPr>
      </w:pPr>
      <w:r w:rsidRPr="00C83DF5">
        <w:rPr>
          <w:rFonts w:eastAsia="Calibri" w:cs="Tahoma"/>
          <w:color w:val="000000"/>
          <w:szCs w:val="18"/>
          <w:lang w:val="de-DE"/>
        </w:rPr>
        <w:t xml:space="preserve">Konzern-Abonnement- </w:t>
      </w:r>
      <w:r w:rsidRPr="00C83DF5">
        <w:rPr>
          <w:rFonts w:cs="Tahoma"/>
          <w:bCs/>
          <w:color w:val="000000"/>
          <w:szCs w:val="18"/>
          <w:lang w:val="de-DE"/>
        </w:rPr>
        <w:t>und Open Value Subscription-</w:t>
      </w:r>
      <w:r w:rsidRPr="00C83DF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204D6D" w:rsidRPr="00DF3F89" w:rsidRDefault="00204D6D" w:rsidP="00204D6D">
      <w:pPr>
        <w:tabs>
          <w:tab w:val="left" w:pos="720"/>
        </w:tabs>
        <w:ind w:left="720"/>
        <w:rPr>
          <w:lang w:val="de-DE"/>
        </w:rPr>
      </w:pPr>
    </w:p>
    <w:p w:rsidR="00A81E83" w:rsidRPr="00C83DF5" w:rsidRDefault="00A81E83" w:rsidP="00CA531E">
      <w:pPr>
        <w:numPr>
          <w:ilvl w:val="2"/>
          <w:numId w:val="50"/>
        </w:numPr>
        <w:spacing w:after="60"/>
        <w:ind w:left="1440"/>
        <w:rPr>
          <w:lang w:val="de-DE"/>
        </w:rPr>
      </w:pPr>
      <w:r w:rsidRPr="00C83DF5">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CA531E">
        <w:rPr>
          <w:rFonts w:eastAsia="Calibri" w:cs="Tahoma"/>
          <w:szCs w:val="18"/>
          <w:lang w:val="de-DE"/>
        </w:rPr>
        <w:t> </w:t>
      </w:r>
      <w:r w:rsidRPr="00C83DF5">
        <w:rPr>
          <w:rFonts w:eastAsia="Calibri" w:cs="Tahoma"/>
          <w:szCs w:val="18"/>
          <w:lang w:val="de-DE"/>
        </w:rPr>
        <w:t xml:space="preserve">Software Assurance, die vor dem 1. April 2015 abläuft, die sich gegen eine Verlängerung entscheiden“ weiterhin zu verwenden, und </w:t>
      </w:r>
    </w:p>
    <w:p w:rsidR="00A81E83" w:rsidRPr="00C83DF5" w:rsidRDefault="00A81E83" w:rsidP="00CA531E">
      <w:pPr>
        <w:numPr>
          <w:ilvl w:val="2"/>
          <w:numId w:val="50"/>
        </w:numPr>
        <w:spacing w:after="60"/>
        <w:ind w:left="1440"/>
        <w:rPr>
          <w:lang w:val="de-DE"/>
        </w:rPr>
      </w:pPr>
      <w:r w:rsidRPr="00C83DF5">
        <w:rPr>
          <w:rFonts w:eastAsia="Calibri" w:cs="Tahoma"/>
          <w:szCs w:val="18"/>
          <w:lang w:val="de-DE"/>
        </w:rPr>
        <w:t>für Lizenzen, die nach dem 1. April 2015 erworben wurden, verfügt die Prozessorlizenz von Kunden</w:t>
      </w:r>
      <w:r w:rsidR="00CA531E">
        <w:rPr>
          <w:rFonts w:eastAsia="Calibri" w:cs="Tahoma"/>
          <w:szCs w:val="18"/>
          <w:lang w:val="de-DE"/>
        </w:rPr>
        <w:t> </w:t>
      </w:r>
      <w:r w:rsidRPr="00C83DF5">
        <w:rPr>
          <w:rFonts w:eastAsia="Calibri" w:cs="Tahoma"/>
          <w:szCs w:val="18"/>
          <w:lang w:val="de-DE"/>
        </w:rPr>
        <w:t>über eine Core-Äquivalenz von vier Core-Lizenzen für SQL Server 2012 Enterprise. Für</w:t>
      </w:r>
      <w:r w:rsidR="00CA531E">
        <w:rPr>
          <w:rFonts w:eastAsia="Calibri" w:cs="Tahoma"/>
          <w:szCs w:val="18"/>
          <w:lang w:val="de-DE"/>
        </w:rPr>
        <w:t> </w:t>
      </w:r>
      <w:r w:rsidRPr="00C83DF5">
        <w:rPr>
          <w:rFonts w:eastAsia="Calibri" w:cs="Tahoma"/>
          <w:szCs w:val="18"/>
          <w:lang w:val="de-DE"/>
        </w:rPr>
        <w:t>die</w:t>
      </w:r>
      <w:r w:rsidR="00CA531E">
        <w:rPr>
          <w:rFonts w:eastAsia="Calibri" w:cs="Tahoma"/>
          <w:szCs w:val="18"/>
          <w:lang w:val="de-DE"/>
        </w:rPr>
        <w:t> </w:t>
      </w:r>
      <w:r w:rsidRPr="00C83DF5">
        <w:rPr>
          <w:rFonts w:eastAsia="Calibri" w:cs="Tahoma"/>
          <w:szCs w:val="18"/>
          <w:lang w:val="de-DE"/>
        </w:rPr>
        <w:t>kontinuierliche Verwendung von SQL Server 2012 auf Prozessoren, die mehr als vier Core-Lizenzen pro Prozessor erfordern, muss der Kunde die zusätzlichen Core-Lizenzen erwerben.</w:t>
      </w:r>
    </w:p>
    <w:p w:rsidR="00204D6D" w:rsidRPr="00C83DF5" w:rsidRDefault="00204D6D" w:rsidP="00204D6D">
      <w:pPr>
        <w:ind w:left="1440"/>
        <w:rPr>
          <w:lang w:val="de-DE"/>
        </w:rPr>
      </w:pPr>
    </w:p>
    <w:p w:rsidR="00204D6D" w:rsidRPr="00C83DF5" w:rsidRDefault="00A81E83" w:rsidP="00CA531E">
      <w:pPr>
        <w:tabs>
          <w:tab w:val="left" w:pos="720"/>
        </w:tabs>
        <w:spacing w:after="60"/>
        <w:ind w:left="720"/>
        <w:rPr>
          <w:lang w:val="de-DE"/>
        </w:rPr>
      </w:pPr>
      <w:r w:rsidRPr="00C83DF5">
        <w:rPr>
          <w:b/>
          <w:lang w:val="de-DE"/>
        </w:rPr>
        <w:t>Für Kunden in der Volksrepublik</w:t>
      </w:r>
      <w:r w:rsidRPr="00C83DF5">
        <w:rPr>
          <w:lang w:val="de-DE"/>
        </w:rPr>
        <w:t xml:space="preserve"> </w:t>
      </w:r>
      <w:r w:rsidRPr="00C83DF5">
        <w:rPr>
          <w:b/>
          <w:lang w:val="de-DE"/>
        </w:rPr>
        <w:t>China, die dort Prozessorlizenzen und Software Assurance für</w:t>
      </w:r>
      <w:r w:rsidR="00CA531E">
        <w:rPr>
          <w:b/>
          <w:lang w:val="de-DE"/>
        </w:rPr>
        <w:t> </w:t>
      </w:r>
      <w:r w:rsidRPr="00C83DF5">
        <w:rPr>
          <w:b/>
          <w:lang w:val="de-DE"/>
        </w:rPr>
        <w:t>SQL Server 2008 R2 erwerben</w:t>
      </w:r>
    </w:p>
    <w:p w:rsidR="00A81E83" w:rsidRPr="00C83DF5" w:rsidRDefault="00A81E83" w:rsidP="00CA531E">
      <w:pPr>
        <w:tabs>
          <w:tab w:val="left" w:pos="720"/>
        </w:tabs>
        <w:ind w:left="720"/>
        <w:rPr>
          <w:lang w:val="de-DE"/>
        </w:rPr>
      </w:pPr>
      <w:r w:rsidRPr="00C83DF5">
        <w:rPr>
          <w:lang w:val="de-DE"/>
        </w:rPr>
        <w:t>Die Verweise auf den 1. April 2012 und den 1. April 2015 in dieser Produktliste sind nicht anwendbar. Die</w:t>
      </w:r>
      <w:r w:rsidR="00CA531E">
        <w:rPr>
          <w:lang w:val="de-DE"/>
        </w:rPr>
        <w:t> </w:t>
      </w:r>
      <w:r w:rsidRPr="00C83DF5">
        <w:rPr>
          <w:lang w:val="de-DE"/>
        </w:rPr>
        <w:t>anwendbaren Daten für diese Kunden sind der 1. Juli 2012 bzw. der 1. Juli 2015.</w:t>
      </w:r>
    </w:p>
    <w:p w:rsidR="006E28CC" w:rsidRPr="00C83DF5" w:rsidRDefault="006E28CC" w:rsidP="00204D6D">
      <w:pPr>
        <w:tabs>
          <w:tab w:val="left" w:pos="720"/>
        </w:tabs>
        <w:ind w:left="720"/>
        <w:rPr>
          <w:lang w:val="de-DE"/>
        </w:rPr>
      </w:pPr>
    </w:p>
    <w:p w:rsidR="006E28CC" w:rsidRDefault="006E28CC" w:rsidP="00204D6D">
      <w:pPr>
        <w:tabs>
          <w:tab w:val="left" w:pos="720"/>
        </w:tabs>
        <w:ind w:left="720"/>
        <w:rPr>
          <w:lang w:val="de-DE"/>
        </w:rPr>
      </w:pPr>
    </w:p>
    <w:p w:rsidR="005042F5" w:rsidRDefault="005042F5" w:rsidP="00204D6D">
      <w:pPr>
        <w:tabs>
          <w:tab w:val="left" w:pos="720"/>
        </w:tabs>
        <w:ind w:left="720"/>
        <w:rPr>
          <w:lang w:val="de-DE"/>
        </w:rPr>
      </w:pPr>
    </w:p>
    <w:p w:rsidR="005042F5" w:rsidRDefault="005042F5" w:rsidP="00204D6D">
      <w:pPr>
        <w:tabs>
          <w:tab w:val="left" w:pos="720"/>
        </w:tabs>
        <w:ind w:left="720"/>
        <w:rPr>
          <w:lang w:val="de-DE"/>
        </w:rPr>
      </w:pPr>
    </w:p>
    <w:p w:rsidR="005042F5" w:rsidRDefault="005042F5" w:rsidP="00204D6D">
      <w:pPr>
        <w:tabs>
          <w:tab w:val="left" w:pos="720"/>
        </w:tabs>
        <w:ind w:left="720"/>
        <w:rPr>
          <w:lang w:val="de-DE"/>
        </w:rPr>
      </w:pPr>
    </w:p>
    <w:p w:rsidR="005042F5" w:rsidRDefault="005042F5" w:rsidP="00204D6D">
      <w:pPr>
        <w:tabs>
          <w:tab w:val="left" w:pos="720"/>
        </w:tabs>
        <w:ind w:left="720"/>
        <w:rPr>
          <w:lang w:val="de-DE"/>
        </w:rPr>
      </w:pPr>
    </w:p>
    <w:p w:rsidR="005042F5" w:rsidRDefault="005042F5" w:rsidP="00204D6D">
      <w:pPr>
        <w:tabs>
          <w:tab w:val="left" w:pos="720"/>
        </w:tabs>
        <w:ind w:left="720"/>
        <w:rPr>
          <w:lang w:val="de-DE"/>
        </w:rPr>
      </w:pPr>
    </w:p>
    <w:p w:rsidR="005042F5" w:rsidRDefault="005042F5" w:rsidP="00204D6D">
      <w:pPr>
        <w:tabs>
          <w:tab w:val="left" w:pos="720"/>
        </w:tabs>
        <w:ind w:left="720"/>
        <w:rPr>
          <w:lang w:val="de-DE"/>
        </w:rPr>
      </w:pPr>
    </w:p>
    <w:p w:rsidR="005042F5" w:rsidRDefault="005042F5" w:rsidP="00204D6D">
      <w:pPr>
        <w:tabs>
          <w:tab w:val="left" w:pos="720"/>
        </w:tabs>
        <w:ind w:left="720"/>
        <w:rPr>
          <w:lang w:val="de-DE"/>
        </w:rPr>
      </w:pPr>
    </w:p>
    <w:p w:rsidR="005042F5" w:rsidRPr="00C83DF5" w:rsidRDefault="005042F5" w:rsidP="00204D6D">
      <w:pPr>
        <w:tabs>
          <w:tab w:val="left" w:pos="720"/>
        </w:tabs>
        <w:ind w:left="720"/>
        <w:rPr>
          <w:lang w:val="de-DE"/>
        </w:rPr>
      </w:pPr>
    </w:p>
    <w:p w:rsidR="006E28CC" w:rsidRPr="00C83DF5" w:rsidRDefault="00A560B6" w:rsidP="006E28CC">
      <w:pPr>
        <w:pStyle w:val="Heading3"/>
        <w:rPr>
          <w:lang w:val="de-DE"/>
        </w:rPr>
      </w:pPr>
      <w:bookmarkStart w:id="1481" w:name="_80_SQL_Server"/>
      <w:bookmarkStart w:id="1482" w:name="_81_SQL_Server"/>
      <w:bookmarkStart w:id="1483" w:name="_88_SQL_Server"/>
      <w:bookmarkStart w:id="1484" w:name="_Toc370983455"/>
      <w:bookmarkEnd w:id="1481"/>
      <w:bookmarkEnd w:id="1482"/>
      <w:bookmarkEnd w:id="1483"/>
      <w:r w:rsidRPr="00C83DF5">
        <w:rPr>
          <w:rFonts w:ascii="Tahoma" w:hAnsi="Tahoma"/>
          <w:caps/>
          <w:color w:val="F66400"/>
          <w:sz w:val="22"/>
          <w:vertAlign w:val="superscript"/>
          <w:lang w:val="de-DE"/>
        </w:rPr>
        <w:lastRenderedPageBreak/>
        <w:t>87</w:t>
      </w:r>
      <w:r w:rsidR="00DF3F89">
        <w:rPr>
          <w:rFonts w:ascii="Tahoma" w:hAnsi="Tahoma"/>
          <w:color w:val="F66400"/>
          <w:sz w:val="22"/>
          <w:lang w:val="de-DE"/>
        </w:rPr>
        <w:t xml:space="preserve"> SQL Server</w:t>
      </w:r>
      <w:r w:rsidRPr="00C83DF5">
        <w:rPr>
          <w:rFonts w:ascii="Tahoma" w:hAnsi="Tahoma"/>
          <w:color w:val="F66400"/>
          <w:sz w:val="22"/>
          <w:vertAlign w:val="superscript"/>
          <w:lang w:val="de-DE"/>
        </w:rPr>
        <w:t>®</w:t>
      </w:r>
      <w:r w:rsidRPr="00C83DF5">
        <w:rPr>
          <w:rFonts w:ascii="Tahoma" w:hAnsi="Tahoma"/>
          <w:color w:val="F66400"/>
          <w:sz w:val="22"/>
          <w:lang w:val="de-DE"/>
        </w:rPr>
        <w:t xml:space="preserve"> 2012 Parallel Data Warehouse</w:t>
      </w:r>
      <w:bookmarkEnd w:id="1484"/>
    </w:p>
    <w:p w:rsidR="006E28CC" w:rsidRPr="00C83DF5" w:rsidRDefault="006E28CC" w:rsidP="006E28CC">
      <w:pPr>
        <w:pStyle w:val="EndnoteText"/>
        <w:rPr>
          <w:lang w:val="de-DE"/>
        </w:rPr>
      </w:pPr>
    </w:p>
    <w:p w:rsidR="000A30EE" w:rsidRPr="00C83DF5" w:rsidRDefault="000A30EE" w:rsidP="000A30EE">
      <w:pPr>
        <w:spacing w:after="60"/>
        <w:ind w:left="720"/>
        <w:rPr>
          <w:lang w:val="de-DE"/>
        </w:rPr>
      </w:pPr>
      <w:r w:rsidRPr="00C83DF5">
        <w:rPr>
          <w:rFonts w:eastAsia="Calibri" w:cs="Tahoma"/>
          <w:b/>
          <w:color w:val="000000"/>
          <w:szCs w:val="18"/>
          <w:lang w:val="de-DE"/>
        </w:rPr>
        <w:t>Lizenzgewährungen im Zusammenhang mit der Änderung des Lizenzmodells</w:t>
      </w:r>
    </w:p>
    <w:p w:rsidR="000A30EE" w:rsidRPr="00C83DF5" w:rsidRDefault="000A30EE" w:rsidP="000A30EE">
      <w:pPr>
        <w:ind w:left="720"/>
        <w:rPr>
          <w:lang w:val="de-DE"/>
        </w:rPr>
      </w:pPr>
      <w:r w:rsidRPr="00C83DF5">
        <w:rPr>
          <w:rFonts w:eastAsia="Calibri" w:cs="Tahoma"/>
          <w:color w:val="000000"/>
          <w:szCs w:val="18"/>
          <w:lang w:val="de-DE"/>
        </w:rPr>
        <w:t>SQL Server 2008 R2 ist die letzte Version von SQL Server Parallel Data Warehouse, die unter dem Pro-Prozessor-Lizenzmodell lizenziert wird.</w:t>
      </w:r>
      <w:r w:rsidR="00E71F46" w:rsidRPr="00C83DF5">
        <w:rPr>
          <w:rFonts w:eastAsia="Calibri" w:cs="Tahoma"/>
          <w:color w:val="000000"/>
          <w:szCs w:val="18"/>
          <w:lang w:val="de-DE"/>
        </w:rPr>
        <w:t xml:space="preserve"> </w:t>
      </w:r>
      <w:r w:rsidRPr="00C83DF5">
        <w:rPr>
          <w:rFonts w:eastAsia="Calibri" w:cs="Tahoma"/>
          <w:color w:val="000000"/>
          <w:szCs w:val="18"/>
          <w:lang w:val="de-DE"/>
        </w:rPr>
        <w:t>Als Ausnahme erhalten Volumenlizenzkunden, die am 1. März 2013 über aktive Software Assurance für SQL Server 2008 R2 Parallel Data Warehouse-Lizenzen („qualifizierende Lizenzen“) verfügen, die folgenden Optionen. SQL Server 2008 R2 Parallel Data Warehouse-</w:t>
      </w:r>
      <w:r w:rsidRPr="00C83DF5">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rsidR="000A30EE" w:rsidRPr="00C83DF5" w:rsidRDefault="000A30EE" w:rsidP="000A30EE">
      <w:pPr>
        <w:ind w:left="720"/>
        <w:rPr>
          <w:lang w:val="de-DE"/>
        </w:rPr>
      </w:pPr>
    </w:p>
    <w:p w:rsidR="000A30EE" w:rsidRPr="00C83DF5" w:rsidRDefault="000A30EE" w:rsidP="00346F4B">
      <w:pPr>
        <w:numPr>
          <w:ilvl w:val="0"/>
          <w:numId w:val="53"/>
        </w:numPr>
        <w:spacing w:after="60"/>
        <w:ind w:left="1440"/>
        <w:rPr>
          <w:lang w:val="de-DE"/>
        </w:rPr>
      </w:pPr>
      <w:r w:rsidRPr="00C83DF5">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rsidR="000A30EE" w:rsidRPr="00C83DF5" w:rsidRDefault="000A30EE" w:rsidP="000A30EE">
      <w:pPr>
        <w:rPr>
          <w:lang w:val="de-DE"/>
        </w:rPr>
      </w:pPr>
    </w:p>
    <w:p w:rsidR="000A30EE" w:rsidRPr="00C83DF5" w:rsidRDefault="000A30EE" w:rsidP="000A30EE">
      <w:pPr>
        <w:spacing w:after="60"/>
        <w:ind w:left="720"/>
        <w:rPr>
          <w:lang w:val="de-DE"/>
        </w:rPr>
      </w:pPr>
      <w:r w:rsidRPr="00C83DF5">
        <w:rPr>
          <w:rFonts w:eastAsia="Calibri" w:cs="Tahoma"/>
          <w:b/>
          <w:color w:val="000000"/>
          <w:szCs w:val="18"/>
          <w:lang w:val="de-DE"/>
        </w:rPr>
        <w:t>System Center Standard-Lizenzgewährung</w:t>
      </w:r>
    </w:p>
    <w:p w:rsidR="000A30EE" w:rsidRPr="00C83DF5" w:rsidRDefault="000A30EE" w:rsidP="000A30EE">
      <w:pPr>
        <w:spacing w:after="60"/>
        <w:ind w:left="720"/>
        <w:rPr>
          <w:lang w:val="de-DE"/>
        </w:rPr>
      </w:pPr>
      <w:r w:rsidRPr="00C83DF5">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rsidR="000A30EE" w:rsidRPr="00C83DF5" w:rsidRDefault="000A30EE" w:rsidP="00346F4B">
      <w:pPr>
        <w:numPr>
          <w:ilvl w:val="0"/>
          <w:numId w:val="53"/>
        </w:numPr>
        <w:spacing w:after="60"/>
        <w:ind w:left="1440"/>
        <w:rPr>
          <w:lang w:val="de-DE"/>
        </w:rPr>
      </w:pPr>
      <w:r w:rsidRPr="00C83DF5">
        <w:rPr>
          <w:rFonts w:eastAsia="Calibri" w:cs="Tahoma"/>
          <w:color w:val="000000"/>
          <w:szCs w:val="18"/>
          <w:lang w:val="de-DE"/>
        </w:rPr>
        <w:t xml:space="preserve">eine System Center 2012 Standard-Lizenz pro Server für jeden Server, auf dem die </w:t>
      </w:r>
      <w:r w:rsidR="00B60DC8">
        <w:rPr>
          <w:rFonts w:eastAsia="Calibri" w:cs="Tahoma"/>
          <w:color w:val="000000"/>
          <w:szCs w:val="18"/>
          <w:lang w:val="de-DE"/>
        </w:rPr>
        <w:br/>
      </w:r>
      <w:r w:rsidRPr="00C83DF5">
        <w:rPr>
          <w:rFonts w:eastAsia="Calibri" w:cs="Tahoma"/>
          <w:color w:val="000000"/>
          <w:szCs w:val="18"/>
          <w:lang w:val="de-DE"/>
        </w:rPr>
        <w:t>SQL Server 2012 Parallel Data Warehouse-Software ausgeführt wird</w:t>
      </w:r>
    </w:p>
    <w:p w:rsidR="000A30EE" w:rsidRPr="00C83DF5" w:rsidRDefault="000A30EE" w:rsidP="00346F4B">
      <w:pPr>
        <w:numPr>
          <w:ilvl w:val="0"/>
          <w:numId w:val="53"/>
        </w:numPr>
        <w:spacing w:after="60"/>
        <w:ind w:left="1440"/>
        <w:rPr>
          <w:lang w:val="de-DE"/>
        </w:rPr>
      </w:pPr>
      <w:r w:rsidRPr="00C83DF5">
        <w:rPr>
          <w:rFonts w:eastAsia="Calibri" w:cs="Tahoma"/>
          <w:color w:val="000000"/>
          <w:szCs w:val="18"/>
          <w:lang w:val="de-DE"/>
        </w:rPr>
        <w:t xml:space="preserve">zwei System Center 2012 Standard-Lizenzen pro Server für alle übrigen Server in der </w:t>
      </w:r>
      <w:r w:rsidR="00B60DC8">
        <w:rPr>
          <w:rFonts w:eastAsia="Calibri" w:cs="Tahoma"/>
          <w:color w:val="000000"/>
          <w:szCs w:val="18"/>
          <w:lang w:val="de-DE"/>
        </w:rPr>
        <w:br/>
      </w:r>
      <w:r w:rsidRPr="00C83DF5">
        <w:rPr>
          <w:rFonts w:eastAsia="Calibri" w:cs="Tahoma"/>
          <w:color w:val="000000"/>
          <w:szCs w:val="18"/>
          <w:lang w:val="de-DE"/>
        </w:rPr>
        <w:t>SQL Server 2012 Parallel Data Warehouse Appliance.</w:t>
      </w:r>
    </w:p>
    <w:p w:rsidR="000A30EE" w:rsidRPr="00C83DF5" w:rsidRDefault="000A30EE" w:rsidP="00B60DC8">
      <w:pPr>
        <w:spacing w:after="60"/>
        <w:ind w:left="720"/>
        <w:rPr>
          <w:lang w:val="de-DE"/>
        </w:rPr>
      </w:pPr>
      <w:r w:rsidRPr="00C83DF5">
        <w:rPr>
          <w:rFonts w:eastAsia="Calibri" w:cs="Tahoma"/>
          <w:color w:val="000000"/>
          <w:szCs w:val="18"/>
          <w:lang w:val="de-DE"/>
        </w:rPr>
        <w:t>Die Software darf ausschließlich zur Unterstützung der SQL Server 2012 Parallel Data Warehouse Appliance genutzt werden.</w:t>
      </w:r>
    </w:p>
    <w:p w:rsidR="000A30EE" w:rsidRPr="00DF3F89" w:rsidRDefault="000A30EE" w:rsidP="000A30EE">
      <w:pPr>
        <w:spacing w:after="60"/>
        <w:ind w:firstLine="720"/>
        <w:rPr>
          <w:rFonts w:eastAsia="Calibri" w:cs="Tahoma"/>
          <w:color w:val="000000"/>
          <w:szCs w:val="18"/>
          <w:lang w:val="de-DE"/>
        </w:rPr>
      </w:pPr>
    </w:p>
    <w:p w:rsidR="000A30EE" w:rsidRPr="00C83DF5" w:rsidRDefault="000A30EE" w:rsidP="000A30EE">
      <w:pPr>
        <w:tabs>
          <w:tab w:val="left" w:pos="1440"/>
        </w:tabs>
        <w:spacing w:after="60"/>
        <w:ind w:left="720"/>
        <w:rPr>
          <w:lang w:val="de-DE"/>
        </w:rPr>
      </w:pPr>
      <w:r w:rsidRPr="00C83DF5">
        <w:rPr>
          <w:rFonts w:eastAsia="Calibri" w:cs="Tahoma"/>
          <w:b/>
          <w:color w:val="000000"/>
          <w:szCs w:val="18"/>
          <w:lang w:val="de-DE"/>
        </w:rPr>
        <w:t>Für Kunden mit aktiver Software Assurance, die nicht verlängern möchten</w:t>
      </w:r>
    </w:p>
    <w:p w:rsidR="000A30EE" w:rsidRPr="00C83DF5" w:rsidRDefault="000A30EE" w:rsidP="000A30EE">
      <w:pPr>
        <w:tabs>
          <w:tab w:val="left" w:pos="1440"/>
        </w:tabs>
        <w:ind w:left="720"/>
        <w:rPr>
          <w:lang w:val="de-DE"/>
        </w:rPr>
      </w:pPr>
      <w:r w:rsidRPr="00C83DF5">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rsidR="000A30EE" w:rsidRPr="00DF3F89" w:rsidRDefault="000A30EE" w:rsidP="000A30EE">
      <w:pPr>
        <w:tabs>
          <w:tab w:val="left" w:pos="1440"/>
        </w:tabs>
        <w:ind w:left="720"/>
        <w:rPr>
          <w:rFonts w:eastAsia="Calibri" w:cs="Tahoma"/>
          <w:color w:val="000000"/>
          <w:szCs w:val="18"/>
          <w:lang w:val="de-DE"/>
        </w:rPr>
      </w:pPr>
    </w:p>
    <w:p w:rsidR="000A30EE" w:rsidRPr="00C83DF5" w:rsidRDefault="000A30EE" w:rsidP="00346F4B">
      <w:pPr>
        <w:numPr>
          <w:ilvl w:val="0"/>
          <w:numId w:val="53"/>
        </w:numPr>
        <w:spacing w:after="60"/>
        <w:ind w:left="1440"/>
        <w:rPr>
          <w:lang w:val="de-DE"/>
        </w:rPr>
      </w:pPr>
      <w:r w:rsidRPr="00C83DF5">
        <w:rPr>
          <w:rFonts w:eastAsia="Calibri" w:cs="Tahoma"/>
          <w:b/>
          <w:color w:val="000000"/>
          <w:szCs w:val="18"/>
          <w:lang w:val="de-DE"/>
        </w:rPr>
        <w:t>SQL Server 2008 R2 Parallel Data Warehouse:</w:t>
      </w:r>
      <w:r w:rsidRPr="00C83DF5">
        <w:rPr>
          <w:rFonts w:eastAsia="Calibri" w:cs="Tahoma"/>
          <w:color w:val="000000"/>
          <w:szCs w:val="18"/>
          <w:lang w:val="de-DE"/>
        </w:rPr>
        <w:t xml:space="preserve"> Die kontinuierliche Verwendung dieser Version der Software unterliegt den Produktbenutzungsrechten für die SQL Server 2008 R2-Lizenz. </w:t>
      </w:r>
    </w:p>
    <w:p w:rsidR="000A30EE" w:rsidRPr="00C83DF5" w:rsidRDefault="000A30EE" w:rsidP="00346F4B">
      <w:pPr>
        <w:numPr>
          <w:ilvl w:val="0"/>
          <w:numId w:val="53"/>
        </w:numPr>
        <w:tabs>
          <w:tab w:val="left" w:pos="1800"/>
        </w:tabs>
        <w:spacing w:after="60"/>
        <w:ind w:left="1440"/>
        <w:rPr>
          <w:lang w:val="de-DE"/>
        </w:rPr>
      </w:pPr>
      <w:r w:rsidRPr="00C83DF5">
        <w:rPr>
          <w:rFonts w:eastAsia="Calibri" w:cs="Tahoma"/>
          <w:b/>
          <w:color w:val="000000"/>
          <w:szCs w:val="18"/>
          <w:lang w:val="de-DE"/>
        </w:rPr>
        <w:t xml:space="preserve">SQL Server 2012 Parallel Data Warehouse: </w:t>
      </w:r>
      <w:r w:rsidRPr="00C83DF5">
        <w:rPr>
          <w:rFonts w:eastAsia="Calibri" w:cs="Tahoma"/>
          <w:color w:val="000000"/>
          <w:szCs w:val="18"/>
          <w:lang w:val="de-DE"/>
        </w:rPr>
        <w:t xml:space="preserve">Die Verwendung dieser Version der Software unterliegt den Produktbenutzungsrechten für SQL Server 2012 Parallel Data Warehouse. </w:t>
      </w:r>
    </w:p>
    <w:p w:rsidR="000A30EE" w:rsidRPr="00DF3F89" w:rsidRDefault="000A30EE" w:rsidP="000A30EE">
      <w:pPr>
        <w:spacing w:after="60"/>
        <w:rPr>
          <w:rFonts w:eastAsia="Calibri" w:cs="Tahoma"/>
          <w:color w:val="000000"/>
          <w:szCs w:val="18"/>
          <w:lang w:val="de-DE"/>
        </w:rPr>
      </w:pPr>
    </w:p>
    <w:p w:rsidR="000A30EE" w:rsidRPr="00C83DF5" w:rsidRDefault="000A30EE" w:rsidP="000A30EE">
      <w:pPr>
        <w:ind w:left="720"/>
        <w:rPr>
          <w:lang w:val="de-DE"/>
        </w:rPr>
      </w:pPr>
      <w:r w:rsidRPr="00C83DF5">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rsidR="000A30EE" w:rsidRPr="00DF3F89" w:rsidRDefault="000A30EE" w:rsidP="000A30EE">
      <w:pPr>
        <w:ind w:left="720"/>
        <w:rPr>
          <w:rFonts w:cs="Tahoma"/>
          <w:color w:val="000000"/>
          <w:szCs w:val="24"/>
          <w:lang w:val="de-DE"/>
        </w:rPr>
      </w:pPr>
    </w:p>
    <w:p w:rsidR="000A30EE" w:rsidRPr="00C83DF5" w:rsidRDefault="000A30EE" w:rsidP="000A30EE">
      <w:pPr>
        <w:ind w:left="720"/>
        <w:rPr>
          <w:lang w:val="de-DE"/>
        </w:rPr>
      </w:pPr>
      <w:r w:rsidRPr="00C83DF5">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rsidR="00A81E83" w:rsidRPr="00C83DF5" w:rsidRDefault="00A81E83" w:rsidP="00C321B6">
      <w:pPr>
        <w:tabs>
          <w:tab w:val="left" w:pos="2970"/>
        </w:tabs>
        <w:ind w:left="1440"/>
        <w:rPr>
          <w:lang w:val="de-DE"/>
        </w:rPr>
      </w:pPr>
      <w:bookmarkStart w:id="1485" w:name="Srv_90SQLServer2012Standard"/>
    </w:p>
    <w:p w:rsidR="004815F3" w:rsidRPr="00C83DF5" w:rsidRDefault="004815F3" w:rsidP="00C321B6">
      <w:pPr>
        <w:tabs>
          <w:tab w:val="left" w:pos="2970"/>
        </w:tabs>
        <w:ind w:left="1440"/>
        <w:rPr>
          <w:lang w:val="de-DE"/>
        </w:rPr>
      </w:pPr>
    </w:p>
    <w:p w:rsidR="00A81E83" w:rsidRPr="00C83DF5" w:rsidRDefault="00152E1B" w:rsidP="00EF5637">
      <w:pPr>
        <w:pStyle w:val="Heading3"/>
        <w:rPr>
          <w:lang w:val="de-DE"/>
        </w:rPr>
      </w:pPr>
      <w:bookmarkStart w:id="1486" w:name="_82_SQL_Server®"/>
      <w:bookmarkStart w:id="1487" w:name="_89_SQL_Server®"/>
      <w:bookmarkStart w:id="1488" w:name="_88_SQL_Server®"/>
      <w:bookmarkStart w:id="1489" w:name="_Toc336338348"/>
      <w:bookmarkStart w:id="1490" w:name="_Toc370983456"/>
      <w:bookmarkEnd w:id="1486"/>
      <w:bookmarkEnd w:id="1487"/>
      <w:bookmarkEnd w:id="1488"/>
      <w:r w:rsidRPr="00C83DF5">
        <w:rPr>
          <w:rFonts w:ascii="Tahoma" w:hAnsi="Tahoma"/>
          <w:caps/>
          <w:color w:val="F66400"/>
          <w:sz w:val="22"/>
          <w:vertAlign w:val="superscript"/>
          <w:lang w:val="de-DE"/>
        </w:rPr>
        <w:t>88</w:t>
      </w:r>
      <w:r w:rsidRPr="00C83DF5">
        <w:rPr>
          <w:rFonts w:ascii="Tahoma" w:hAnsi="Tahoma"/>
          <w:color w:val="F66400"/>
          <w:sz w:val="22"/>
          <w:lang w:val="de-DE"/>
        </w:rPr>
        <w:t xml:space="preserve"> SQL Server</w:t>
      </w:r>
      <w:r w:rsidRPr="00C83DF5">
        <w:rPr>
          <w:rFonts w:ascii="Tahoma" w:hAnsi="Tahoma"/>
          <w:color w:val="F66400"/>
          <w:sz w:val="22"/>
          <w:vertAlign w:val="superscript"/>
          <w:lang w:val="de-DE"/>
        </w:rPr>
        <w:t>®</w:t>
      </w:r>
      <w:r w:rsidRPr="00C83DF5">
        <w:rPr>
          <w:rFonts w:ascii="Tahoma" w:hAnsi="Tahoma"/>
          <w:color w:val="F66400"/>
          <w:sz w:val="22"/>
          <w:lang w:val="de-DE"/>
        </w:rPr>
        <w:t xml:space="preserve"> 2012 Standard</w:t>
      </w:r>
      <w:bookmarkEnd w:id="1489"/>
      <w:bookmarkEnd w:id="1490"/>
      <w:r w:rsidRPr="00C83DF5">
        <w:rPr>
          <w:rFonts w:ascii="Tahoma" w:hAnsi="Tahoma"/>
          <w:color w:val="F66400"/>
          <w:sz w:val="22"/>
          <w:lang w:val="de-DE"/>
        </w:rPr>
        <w:t xml:space="preserve"> </w:t>
      </w:r>
    </w:p>
    <w:bookmarkEnd w:id="1485"/>
    <w:p w:rsidR="00A81E83" w:rsidRPr="00C83DF5" w:rsidRDefault="00A81E83" w:rsidP="00204D6D">
      <w:pPr>
        <w:pStyle w:val="EndnoteText"/>
        <w:ind w:left="0"/>
        <w:rPr>
          <w:lang w:val="de-DE"/>
        </w:rPr>
      </w:pPr>
    </w:p>
    <w:p w:rsidR="00A81E83" w:rsidRPr="00C83DF5" w:rsidRDefault="00A81E83" w:rsidP="00204D6D">
      <w:pPr>
        <w:ind w:left="720"/>
        <w:rPr>
          <w:lang w:val="de-DE"/>
        </w:rPr>
      </w:pPr>
      <w:r w:rsidRPr="00C83DF5">
        <w:rPr>
          <w:rFonts w:eastAsia="Calibri" w:cs="Tahoma"/>
          <w:szCs w:val="18"/>
          <w:lang w:val="de-DE"/>
        </w:rPr>
        <w:t>SQL Server 2012 Standard ist die nächste Version von SQL Server Standard, und CAL für SQL Server 2012 ist die nächste Version von CAL für SQL Server.</w:t>
      </w:r>
    </w:p>
    <w:p w:rsidR="00204D6D" w:rsidRPr="00C83DF5" w:rsidRDefault="00204D6D" w:rsidP="00204D6D">
      <w:pPr>
        <w:ind w:left="720"/>
        <w:rPr>
          <w:lang w:val="de-DE"/>
        </w:rPr>
      </w:pPr>
    </w:p>
    <w:p w:rsidR="00A81E83" w:rsidRPr="00C83DF5" w:rsidRDefault="00162ADA" w:rsidP="00EF5637">
      <w:pPr>
        <w:pStyle w:val="Heading3"/>
        <w:rPr>
          <w:lang w:val="de-DE"/>
        </w:rPr>
      </w:pPr>
      <w:bookmarkStart w:id="1491" w:name="_85_83_SQL"/>
      <w:bookmarkStart w:id="1492" w:name="_90_SQL_Server®"/>
      <w:bookmarkStart w:id="1493" w:name="_Toc336338349"/>
      <w:bookmarkStart w:id="1494" w:name="Srv_91SQLServer2012StandardCore"/>
      <w:bookmarkStart w:id="1495" w:name="_Toc370983457"/>
      <w:bookmarkEnd w:id="1491"/>
      <w:bookmarkEnd w:id="1492"/>
      <w:r w:rsidRPr="00C83DF5">
        <w:rPr>
          <w:rFonts w:ascii="Tahoma" w:hAnsi="Tahoma" w:cs="Tahoma"/>
          <w:caps/>
          <w:color w:val="F66400"/>
          <w:sz w:val="22"/>
          <w:vertAlign w:val="superscript"/>
          <w:lang w:val="de-DE"/>
        </w:rPr>
        <w:lastRenderedPageBreak/>
        <w:t>89</w:t>
      </w:r>
      <w:r w:rsidRPr="00C83DF5">
        <w:rPr>
          <w:rFonts w:ascii="Tahoma" w:hAnsi="Tahoma" w:cs="Tahoma"/>
          <w:color w:val="F66400"/>
          <w:sz w:val="22"/>
          <w:lang w:val="de-DE"/>
        </w:rPr>
        <w:t xml:space="preserve"> SQL Server</w:t>
      </w:r>
      <w:r w:rsidRPr="00C83DF5">
        <w:rPr>
          <w:rFonts w:ascii="Tahoma" w:hAnsi="Tahoma" w:cs="Tahoma"/>
          <w:color w:val="F66400"/>
          <w:sz w:val="22"/>
          <w:vertAlign w:val="superscript"/>
          <w:lang w:val="de-DE"/>
        </w:rPr>
        <w:t>®</w:t>
      </w:r>
      <w:r w:rsidRPr="00C83DF5">
        <w:rPr>
          <w:rFonts w:ascii="Tahoma" w:hAnsi="Tahoma" w:cs="Tahoma"/>
          <w:color w:val="F66400"/>
          <w:sz w:val="22"/>
          <w:lang w:val="de-DE"/>
        </w:rPr>
        <w:t xml:space="preserve"> 2012 Standard</w:t>
      </w:r>
      <w:r w:rsidRPr="00C83DF5">
        <w:rPr>
          <w:rFonts w:ascii="Tahoma" w:eastAsia="Calibri" w:hAnsi="Tahoma" w:cs="Tahoma"/>
          <w:color w:val="F66400"/>
          <w:sz w:val="22"/>
          <w:szCs w:val="18"/>
          <w:lang w:val="de-DE"/>
        </w:rPr>
        <w:t xml:space="preserve"> Core</w:t>
      </w:r>
      <w:bookmarkEnd w:id="1493"/>
      <w:bookmarkEnd w:id="1495"/>
    </w:p>
    <w:bookmarkEnd w:id="1494"/>
    <w:p w:rsidR="00A81E83" w:rsidRPr="00C83DF5" w:rsidRDefault="00A81E83" w:rsidP="0026723A">
      <w:pPr>
        <w:rPr>
          <w:lang w:val="de-DE"/>
        </w:rPr>
      </w:pPr>
    </w:p>
    <w:p w:rsidR="0026723A" w:rsidRPr="00C83DF5" w:rsidRDefault="00A81E83" w:rsidP="0026723A">
      <w:pPr>
        <w:spacing w:after="60"/>
        <w:ind w:left="720"/>
        <w:rPr>
          <w:lang w:val="de-DE"/>
        </w:rPr>
      </w:pPr>
      <w:r w:rsidRPr="00C83DF5">
        <w:rPr>
          <w:rFonts w:eastAsia="Calibri" w:cs="Tahoma"/>
          <w:b/>
          <w:szCs w:val="18"/>
          <w:lang w:val="de-DE"/>
        </w:rPr>
        <w:t>Lizenzgewährungen im Zusammenhang mit der Änderung des Lizenzmodells</w:t>
      </w:r>
    </w:p>
    <w:p w:rsidR="00A81E83" w:rsidRPr="00C83DF5" w:rsidRDefault="00A81E83" w:rsidP="00796874">
      <w:pPr>
        <w:ind w:left="720"/>
        <w:rPr>
          <w:lang w:val="de-DE"/>
        </w:rPr>
      </w:pPr>
      <w:r w:rsidRPr="00C83DF5">
        <w:rPr>
          <w:rFonts w:eastAsia="Calibri" w:cs="Tahoma"/>
          <w:color w:val="000000"/>
          <w:szCs w:val="18"/>
          <w:lang w:val="de-DE"/>
        </w:rPr>
        <w:t>SQL Server 2008 R2 ist die letzte Version von SQL Server, die unter dem Pro-Prozessor-Lizenzmodell lizenziert wird.</w:t>
      </w:r>
      <w:r w:rsidR="00E71F46" w:rsidRPr="00C83DF5">
        <w:rPr>
          <w:rFonts w:eastAsia="Calibri" w:cs="Tahoma"/>
          <w:color w:val="000000"/>
          <w:szCs w:val="18"/>
          <w:lang w:val="de-DE"/>
        </w:rPr>
        <w:t xml:space="preserve"> </w:t>
      </w:r>
      <w:r w:rsidRPr="00C83DF5">
        <w:rPr>
          <w:rFonts w:eastAsia="Calibri" w:cs="Tahoma"/>
          <w:color w:val="000000"/>
          <w:szCs w:val="18"/>
          <w:lang w:val="de-DE"/>
        </w:rPr>
        <w:t>Als Ausnahme erhalten Volumenlizenzkunden, die am 1. April 2012 über aktive Software Assurance für SQL Server 2008 R2 Standard-Prozessorlizenzen („qualifizierende Lizenzen“) verfügen, die</w:t>
      </w:r>
      <w:r w:rsidR="00796874">
        <w:rPr>
          <w:rFonts w:eastAsia="Calibri" w:cs="Tahoma"/>
          <w:color w:val="000000"/>
          <w:szCs w:val="18"/>
          <w:lang w:val="de-DE"/>
        </w:rPr>
        <w:t> </w:t>
      </w:r>
      <w:r w:rsidRPr="00C83DF5">
        <w:rPr>
          <w:rFonts w:eastAsia="Calibri" w:cs="Tahoma"/>
          <w:color w:val="000000"/>
          <w:szCs w:val="18"/>
          <w:lang w:val="de-DE"/>
        </w:rPr>
        <w:t>folgenden Optionen. Prozessorlizenzen für SQL Server 2008 R2 Standard</w:t>
      </w:r>
      <w:r w:rsidRPr="00C83DF5">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E71F46" w:rsidRPr="00C83DF5">
        <w:rPr>
          <w:rFonts w:cs="Tahoma"/>
          <w:bCs/>
          <w:color w:val="000000"/>
          <w:szCs w:val="18"/>
          <w:lang w:val="de-DE"/>
        </w:rPr>
        <w:t xml:space="preserve"> </w:t>
      </w:r>
      <w:r w:rsidRPr="00C83DF5">
        <w:rPr>
          <w:rFonts w:cs="Tahoma"/>
          <w:bCs/>
          <w:color w:val="000000"/>
          <w:szCs w:val="18"/>
          <w:lang w:val="de-DE"/>
        </w:rPr>
        <w:t>Lizenzen, die nach dem</w:t>
      </w:r>
      <w:r w:rsidR="00796874">
        <w:rPr>
          <w:rFonts w:cs="Tahoma"/>
          <w:bCs/>
          <w:color w:val="000000"/>
          <w:szCs w:val="18"/>
          <w:lang w:val="de-DE"/>
        </w:rPr>
        <w:t> </w:t>
      </w:r>
      <w:r w:rsidRPr="00C83DF5">
        <w:rPr>
          <w:rFonts w:cs="Tahoma"/>
          <w:bCs/>
          <w:color w:val="000000"/>
          <w:szCs w:val="18"/>
          <w:lang w:val="de-DE"/>
        </w:rPr>
        <w:t>1. April 2015 oder unter einer nachfolgenden Beitrittslaufzeit, einem separaten Vertrag oder einem</w:t>
      </w:r>
      <w:r w:rsidR="00796874">
        <w:rPr>
          <w:rFonts w:cs="Tahoma"/>
          <w:bCs/>
          <w:color w:val="000000"/>
          <w:szCs w:val="18"/>
          <w:lang w:val="de-DE"/>
        </w:rPr>
        <w:t> </w:t>
      </w:r>
      <w:r w:rsidRPr="00C83DF5">
        <w:rPr>
          <w:rFonts w:cs="Tahoma"/>
          <w:bCs/>
          <w:color w:val="000000"/>
          <w:szCs w:val="18"/>
          <w:lang w:val="de-DE"/>
        </w:rPr>
        <w:t>Beitritt erworben werden, dessen Wirksamkeitsdatum nach dem 1. April 2012 liegt, sind keine qualifizierenden Lizenzen.</w:t>
      </w:r>
    </w:p>
    <w:p w:rsidR="0026723A" w:rsidRPr="00DF3F89" w:rsidRDefault="0026723A" w:rsidP="0026723A">
      <w:pPr>
        <w:ind w:left="720"/>
        <w:rPr>
          <w:rFonts w:eastAsia="Calibri" w:cs="Tahoma"/>
          <w:b/>
          <w:szCs w:val="18"/>
          <w:lang w:val="de-DE"/>
        </w:rPr>
      </w:pPr>
    </w:p>
    <w:p w:rsidR="0026723A" w:rsidRPr="00C83DF5" w:rsidRDefault="0026723A" w:rsidP="0026723A">
      <w:pPr>
        <w:spacing w:after="60"/>
        <w:ind w:left="720"/>
        <w:rPr>
          <w:lang w:val="de-DE"/>
        </w:rPr>
      </w:pPr>
      <w:r w:rsidRPr="00C83DF5">
        <w:rPr>
          <w:rFonts w:eastAsia="Calibri" w:cs="Tahoma"/>
          <w:b/>
          <w:szCs w:val="18"/>
          <w:lang w:val="de-DE"/>
        </w:rPr>
        <w:t>Aktuelle Laufzeit</w:t>
      </w:r>
    </w:p>
    <w:p w:rsidR="00A81E83" w:rsidRPr="00C83DF5" w:rsidRDefault="00A81E83" w:rsidP="0079021D">
      <w:pPr>
        <w:ind w:left="720"/>
        <w:rPr>
          <w:lang w:val="de-DE"/>
        </w:rPr>
      </w:pPr>
      <w:r w:rsidRPr="00C83DF5">
        <w:rPr>
          <w:rFonts w:eastAsia="Calibri" w:cs="Tahoma"/>
          <w:szCs w:val="18"/>
          <w:lang w:val="de-DE"/>
        </w:rPr>
        <w:t>Während der aktuellen Laufzeit ihrer Software Assurance zum 1. April 2012 sind Kunden (einschließlich</w:t>
      </w:r>
      <w:r w:rsidR="0079021D">
        <w:rPr>
          <w:rFonts w:eastAsia="Calibri" w:cs="Tahoma"/>
          <w:szCs w:val="18"/>
          <w:lang w:val="de-DE"/>
        </w:rPr>
        <w:t> </w:t>
      </w:r>
      <w:r w:rsidRPr="00C83DF5">
        <w:rPr>
          <w:rFonts w:eastAsia="Calibri" w:cs="Tahoma"/>
          <w:szCs w:val="18"/>
          <w:lang w:val="de-DE"/>
        </w:rPr>
        <w:t>Kunden mit Abonnementverträgen) unter qualifizierenden Lizenzen berechtigt, vorbehaltlich</w:t>
      </w:r>
      <w:r w:rsidR="0079021D">
        <w:rPr>
          <w:rFonts w:eastAsia="Calibri" w:cs="Tahoma"/>
          <w:szCs w:val="18"/>
          <w:lang w:val="de-DE"/>
        </w:rPr>
        <w:t> </w:t>
      </w:r>
      <w:r w:rsidRPr="00C83DF5">
        <w:rPr>
          <w:rFonts w:eastAsia="Calibri" w:cs="Tahoma"/>
          <w:szCs w:val="18"/>
          <w:lang w:val="de-DE"/>
        </w:rPr>
        <w:t>der Produktbenutzungsrechte für SQL Server 2008 R2 Standard-Prozessorlizenzen (wie</w:t>
      </w:r>
      <w:r w:rsidR="0079021D">
        <w:rPr>
          <w:rFonts w:eastAsia="Calibri" w:cs="Tahoma"/>
          <w:szCs w:val="18"/>
          <w:lang w:val="de-DE"/>
        </w:rPr>
        <w:t> </w:t>
      </w:r>
      <w:r w:rsidRPr="00C83DF5">
        <w:rPr>
          <w:rFonts w:eastAsia="Calibri" w:cs="Tahoma"/>
          <w:szCs w:val="18"/>
          <w:lang w:val="de-DE"/>
        </w:rPr>
        <w:t>in</w:t>
      </w:r>
      <w:r w:rsidR="0079021D">
        <w:rPr>
          <w:rFonts w:eastAsia="Calibri" w:cs="Tahoma"/>
          <w:szCs w:val="18"/>
          <w:lang w:val="de-DE"/>
        </w:rPr>
        <w:t> </w:t>
      </w:r>
      <w:r w:rsidRPr="00C83DF5">
        <w:rPr>
          <w:rFonts w:eastAsia="Calibri" w:cs="Tahoma"/>
          <w:szCs w:val="18"/>
          <w:lang w:val="de-DE"/>
        </w:rPr>
        <w:t>den</w:t>
      </w:r>
      <w:r w:rsidR="0079021D">
        <w:rPr>
          <w:rFonts w:eastAsia="Calibri" w:cs="Tahoma"/>
          <w:szCs w:val="18"/>
          <w:lang w:val="de-DE"/>
        </w:rPr>
        <w:t> </w:t>
      </w:r>
      <w:r w:rsidRPr="00C83DF5">
        <w:rPr>
          <w:rFonts w:eastAsia="Calibri" w:cs="Tahoma"/>
          <w:szCs w:val="18"/>
          <w:lang w:val="de-DE"/>
        </w:rPr>
        <w:t>Produktbenutzungsrechten von Januar 2012 dargestellt) auf SQL Server 2012 Standard Core-Software anstelle von SQL Server 2008 R2 Standard upzugraden und diese zu verwenden. Zusätzlich werden Kunden</w:t>
      </w:r>
      <w:r w:rsidR="0079021D">
        <w:rPr>
          <w:rFonts w:eastAsia="Calibri" w:cs="Tahoma"/>
          <w:szCs w:val="18"/>
          <w:lang w:val="de-DE"/>
        </w:rPr>
        <w:t> </w:t>
      </w:r>
      <w:r w:rsidRPr="00C83DF5">
        <w:rPr>
          <w:rFonts w:eastAsia="Calibri" w:cs="Tahoma"/>
          <w:szCs w:val="18"/>
          <w:lang w:val="de-DE"/>
        </w:rPr>
        <w:t>Rechte unter Lizenzmobilität durch Software Assurance und Lizenzmobilität innerhalb von</w:t>
      </w:r>
      <w:r w:rsidR="0079021D">
        <w:rPr>
          <w:rFonts w:eastAsia="Calibri" w:cs="Tahoma"/>
          <w:szCs w:val="18"/>
          <w:lang w:val="de-DE"/>
        </w:rPr>
        <w:t> </w:t>
      </w:r>
      <w:r w:rsidRPr="00C83DF5">
        <w:rPr>
          <w:rFonts w:eastAsia="Calibri" w:cs="Tahoma"/>
          <w:szCs w:val="18"/>
          <w:lang w:val="de-DE"/>
        </w:rPr>
        <w:t>Serverfarmen gewährt.</w:t>
      </w:r>
      <w:r w:rsidR="00E71F46" w:rsidRPr="00C83DF5">
        <w:rPr>
          <w:rFonts w:eastAsia="Calibri" w:cs="Tahoma"/>
          <w:szCs w:val="18"/>
          <w:lang w:val="de-DE"/>
        </w:rPr>
        <w:t xml:space="preserve"> </w:t>
      </w:r>
      <w:r w:rsidRPr="00C83DF5">
        <w:rPr>
          <w:rFonts w:eastAsia="Calibri" w:cs="Tahoma"/>
          <w:szCs w:val="18"/>
          <w:lang w:val="de-DE"/>
        </w:rPr>
        <w:t>Die Lizenzbestimmungen für Lizenzmobilität finden Kunden in den Produktbenutzungsrechten für SQL Server 2012 Standard Core.</w:t>
      </w:r>
    </w:p>
    <w:p w:rsidR="0026723A" w:rsidRPr="00DF3F89" w:rsidRDefault="0026723A" w:rsidP="0026723A">
      <w:pPr>
        <w:ind w:left="720"/>
        <w:rPr>
          <w:rFonts w:eastAsia="Calibri" w:cs="Tahoma"/>
          <w:szCs w:val="18"/>
          <w:lang w:val="de-DE"/>
        </w:rPr>
      </w:pPr>
    </w:p>
    <w:p w:rsidR="0026723A" w:rsidRPr="00C83DF5" w:rsidRDefault="00A81E83" w:rsidP="0026723A">
      <w:pPr>
        <w:spacing w:after="60"/>
        <w:ind w:left="720"/>
        <w:rPr>
          <w:lang w:val="de-DE"/>
        </w:rPr>
      </w:pPr>
      <w:r w:rsidRPr="00C83DF5">
        <w:rPr>
          <w:rFonts w:eastAsia="Calibri" w:cs="Tahoma"/>
          <w:b/>
          <w:szCs w:val="18"/>
          <w:lang w:val="de-DE"/>
        </w:rPr>
        <w:t>Erster Verlängerungszeitraum (vor dem 1. April 2015)</w:t>
      </w:r>
    </w:p>
    <w:p w:rsidR="00A81E83" w:rsidRPr="00C83DF5" w:rsidRDefault="00A81E83" w:rsidP="0079021D">
      <w:pPr>
        <w:ind w:left="720"/>
        <w:rPr>
          <w:lang w:val="de-DE"/>
        </w:rPr>
      </w:pPr>
      <w:r w:rsidRPr="00C83DF5">
        <w:rPr>
          <w:rFonts w:eastAsia="Calibri" w:cs="Tahoma"/>
          <w:szCs w:val="18"/>
          <w:lang w:val="de-DE"/>
        </w:rPr>
        <w:t>Bei der ersten Software Assurance-Verlängerung am oder nach dem 1. April 2012 (jedoch vor</w:t>
      </w:r>
      <w:r w:rsidR="0079021D">
        <w:rPr>
          <w:rFonts w:eastAsia="Calibri" w:cs="Tahoma"/>
          <w:szCs w:val="18"/>
          <w:lang w:val="de-DE"/>
        </w:rPr>
        <w:t> </w:t>
      </w:r>
      <w:r w:rsidRPr="00C83DF5">
        <w:rPr>
          <w:rFonts w:eastAsia="Calibri" w:cs="Tahoma"/>
          <w:szCs w:val="18"/>
          <w:lang w:val="de-DE"/>
        </w:rPr>
        <w:t>dem</w:t>
      </w:r>
      <w:r w:rsidR="0079021D">
        <w:rPr>
          <w:rFonts w:eastAsia="Calibri" w:cs="Tahoma"/>
          <w:szCs w:val="18"/>
          <w:lang w:val="de-DE"/>
        </w:rPr>
        <w:t> </w:t>
      </w:r>
      <w:r w:rsidRPr="00C83DF5">
        <w:rPr>
          <w:rFonts w:eastAsia="Calibri" w:cs="Tahoma"/>
          <w:szCs w:val="18"/>
          <w:lang w:val="de-DE"/>
        </w:rPr>
        <w:t>1. April 2015) ist ein Kunde berechtigt, für jeden Server, den der Kunde unter den Produktbenutzungsrechten für SQL Server 2008 R2 Standard-Prozessorlizenzen ordnungsgemäß lizenziert</w:t>
      </w:r>
      <w:r w:rsidR="0079021D">
        <w:rPr>
          <w:rFonts w:eastAsia="Calibri" w:cs="Tahoma"/>
          <w:szCs w:val="18"/>
          <w:lang w:val="de-DE"/>
        </w:rPr>
        <w:t> </w:t>
      </w:r>
      <w:r w:rsidRPr="00C83DF5">
        <w:rPr>
          <w:rFonts w:eastAsia="Calibri" w:cs="Tahoma"/>
          <w:szCs w:val="18"/>
          <w:lang w:val="de-DE"/>
        </w:rPr>
        <w:t>hat, Software Assurance für SQL Server Standard-Core-Lizenzen zu erwerben, ohne die zugrunde</w:t>
      </w:r>
      <w:r w:rsidR="0079021D">
        <w:rPr>
          <w:rFonts w:eastAsia="Calibri" w:cs="Tahoma"/>
          <w:szCs w:val="18"/>
          <w:lang w:val="de-DE"/>
        </w:rPr>
        <w:t> </w:t>
      </w:r>
      <w:r w:rsidRPr="00C83DF5">
        <w:rPr>
          <w:rFonts w:eastAsia="Calibri" w:cs="Tahoma"/>
          <w:szCs w:val="18"/>
          <w:lang w:val="de-DE"/>
        </w:rPr>
        <w:t>liegenden Core-Lizenzen für die Anzahl der Core-Lizenzen erwerben zu müssen, die der Summe</w:t>
      </w:r>
      <w:r w:rsidR="0079021D">
        <w:rPr>
          <w:rFonts w:eastAsia="Calibri" w:cs="Tahoma"/>
          <w:szCs w:val="18"/>
          <w:lang w:val="de-DE"/>
        </w:rPr>
        <w:t> </w:t>
      </w:r>
      <w:r w:rsidRPr="00C83DF5">
        <w:rPr>
          <w:rFonts w:eastAsia="Calibri" w:cs="Tahoma"/>
          <w:szCs w:val="18"/>
          <w:lang w:val="de-DE"/>
        </w:rPr>
        <w:t>von (a) und (b) entspricht:</w:t>
      </w:r>
    </w:p>
    <w:p w:rsidR="0026723A" w:rsidRPr="0079021D" w:rsidRDefault="0026723A" w:rsidP="0026723A">
      <w:pPr>
        <w:ind w:left="720"/>
        <w:rPr>
          <w:rFonts w:eastAsia="Calibri" w:cs="Tahoma"/>
          <w:szCs w:val="18"/>
          <w:lang w:val="de-DE"/>
        </w:rPr>
      </w:pPr>
    </w:p>
    <w:p w:rsidR="0026723A" w:rsidRPr="00C83DF5" w:rsidRDefault="00A81E83" w:rsidP="00996E19">
      <w:pPr>
        <w:numPr>
          <w:ilvl w:val="0"/>
          <w:numId w:val="119"/>
        </w:numPr>
        <w:tabs>
          <w:tab w:val="left" w:pos="1440"/>
        </w:tabs>
        <w:spacing w:after="60"/>
        <w:ind w:left="1440"/>
        <w:rPr>
          <w:lang w:val="de-DE"/>
        </w:rPr>
      </w:pPr>
      <w:r w:rsidRPr="00C83DF5">
        <w:rPr>
          <w:rFonts w:eastAsia="Calibri" w:cs="Tahoma"/>
          <w:szCs w:val="18"/>
          <w:lang w:val="de-DE"/>
        </w:rPr>
        <w:t>eine Anzahl, die der Anzahl von dem Server zugewiesenen qualifizierenden Lizenzen oder der Gesamtzahl von physischen Prozessoren auf dem Server entspricht, multipliziert mit dem größeren</w:t>
      </w:r>
      <w:r w:rsidR="00996E19">
        <w:rPr>
          <w:rFonts w:eastAsia="Calibri" w:cs="Tahoma"/>
          <w:szCs w:val="18"/>
          <w:lang w:val="de-DE"/>
        </w:rPr>
        <w:t> </w:t>
      </w:r>
      <w:r w:rsidRPr="00C83DF5">
        <w:rPr>
          <w:rFonts w:eastAsia="Calibri" w:cs="Tahoma"/>
          <w:szCs w:val="18"/>
          <w:lang w:val="de-DE"/>
        </w:rPr>
        <w:t xml:space="preserve">Wert folgender Zahlen, wobei die kleinere Zahl maßgeblich ist: </w:t>
      </w:r>
    </w:p>
    <w:p w:rsidR="00A81E83" w:rsidRPr="00C83DF5" w:rsidRDefault="00A81E83" w:rsidP="00346F4B">
      <w:pPr>
        <w:numPr>
          <w:ilvl w:val="3"/>
          <w:numId w:val="57"/>
        </w:numPr>
        <w:spacing w:after="60"/>
        <w:ind w:left="1800"/>
      </w:pPr>
      <w:r w:rsidRPr="00C83DF5">
        <w:rPr>
          <w:rFonts w:eastAsia="Calibri" w:cs="Tahoma"/>
          <w:szCs w:val="18"/>
        </w:rPr>
        <w:t>vier ODER</w:t>
      </w:r>
    </w:p>
    <w:p w:rsidR="00A81E83" w:rsidRPr="00C83DF5" w:rsidRDefault="00A81E83" w:rsidP="00346F4B">
      <w:pPr>
        <w:numPr>
          <w:ilvl w:val="3"/>
          <w:numId w:val="57"/>
        </w:numPr>
        <w:spacing w:after="60"/>
        <w:ind w:left="1800"/>
        <w:rPr>
          <w:lang w:val="de-DE"/>
        </w:rPr>
      </w:pPr>
      <w:r w:rsidRPr="00C83DF5">
        <w:rPr>
          <w:rFonts w:eastAsia="Calibri" w:cs="Tahoma"/>
          <w:szCs w:val="18"/>
          <w:lang w:val="de-DE"/>
        </w:rPr>
        <w:t>der tatsächlichen Anzahl von Cores pro physischem Prozessor multipliziert mit dem entsprechenden Core-Faktor.</w:t>
      </w:r>
      <w:r w:rsidR="00E71F46" w:rsidRPr="00C83DF5">
        <w:rPr>
          <w:rFonts w:eastAsia="Calibri" w:cs="Tahoma"/>
          <w:szCs w:val="18"/>
          <w:lang w:val="de-DE"/>
        </w:rPr>
        <w:t xml:space="preserve"> </w:t>
      </w:r>
      <w:r w:rsidRPr="00C83DF5">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C83DF5" w:rsidRDefault="00A81E83" w:rsidP="00346F4B">
      <w:pPr>
        <w:numPr>
          <w:ilvl w:val="0"/>
          <w:numId w:val="119"/>
        </w:numPr>
        <w:tabs>
          <w:tab w:val="left" w:pos="1440"/>
        </w:tabs>
        <w:spacing w:after="60"/>
        <w:ind w:left="1440"/>
        <w:rPr>
          <w:lang w:val="de-DE"/>
        </w:rPr>
      </w:pPr>
      <w:r w:rsidRPr="00C83DF5">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26723A" w:rsidRPr="00DF3F89" w:rsidRDefault="0026723A" w:rsidP="0026723A">
      <w:pPr>
        <w:tabs>
          <w:tab w:val="left" w:pos="1440"/>
        </w:tabs>
        <w:ind w:left="1080"/>
        <w:rPr>
          <w:rFonts w:eastAsia="Calibri" w:cs="Tahoma"/>
          <w:szCs w:val="18"/>
          <w:lang w:val="de-DE"/>
        </w:rPr>
      </w:pPr>
    </w:p>
    <w:p w:rsidR="0026723A" w:rsidRPr="00C83DF5" w:rsidRDefault="00A81E83" w:rsidP="0026723A">
      <w:pPr>
        <w:spacing w:after="60"/>
        <w:ind w:left="720"/>
        <w:rPr>
          <w:lang w:val="de-DE"/>
        </w:rPr>
      </w:pPr>
      <w:r w:rsidRPr="00C83DF5">
        <w:rPr>
          <w:rFonts w:eastAsia="Calibri" w:cs="Tahoma"/>
          <w:b/>
          <w:szCs w:val="18"/>
          <w:lang w:val="de-DE"/>
        </w:rPr>
        <w:t>Erster Verlängerungszeitraum (am oder nach dem 1. April 2015)</w:t>
      </w:r>
    </w:p>
    <w:p w:rsidR="00A81E83" w:rsidRPr="00C83DF5" w:rsidRDefault="00A81E83" w:rsidP="004F0566">
      <w:pPr>
        <w:ind w:left="720"/>
        <w:rPr>
          <w:lang w:val="de-DE"/>
        </w:rPr>
      </w:pPr>
      <w:r w:rsidRPr="00C83DF5">
        <w:rPr>
          <w:rFonts w:eastAsia="Calibri" w:cs="Tahoma"/>
          <w:color w:val="000000"/>
          <w:szCs w:val="18"/>
          <w:lang w:val="de-DE"/>
        </w:rPr>
        <w:t>Kunden, die Software Assurance am oder nach dem 1. April 2015</w:t>
      </w:r>
      <w:r w:rsidRPr="00C83DF5">
        <w:rPr>
          <w:rFonts w:eastAsia="Calibri" w:cs="Tahoma"/>
          <w:szCs w:val="18"/>
          <w:lang w:val="de-DE"/>
        </w:rPr>
        <w:t xml:space="preserve"> erstmals verlängern, sind berechtigt, für</w:t>
      </w:r>
      <w:r w:rsidR="004F0566">
        <w:rPr>
          <w:rFonts w:eastAsia="Calibri" w:cs="Tahoma"/>
          <w:szCs w:val="18"/>
          <w:lang w:val="de-DE"/>
        </w:rPr>
        <w:t> </w:t>
      </w:r>
      <w:r w:rsidRPr="00C83DF5">
        <w:rPr>
          <w:rFonts w:eastAsia="Calibri" w:cs="Tahoma"/>
          <w:szCs w:val="18"/>
          <w:lang w:val="de-DE"/>
        </w:rPr>
        <w:t>jeden Server, der unter Produktbenutzungsrechten für SQL Server 2008 R2-Prozessorlizenzen ordnungsgemäß lizenziert ist, Software Assurance wie folgt zu erwerben:</w:t>
      </w:r>
    </w:p>
    <w:p w:rsidR="0026723A" w:rsidRPr="00C83DF5" w:rsidRDefault="0026723A" w:rsidP="0026723A">
      <w:pPr>
        <w:ind w:left="720"/>
        <w:rPr>
          <w:lang w:val="de-DE"/>
        </w:rPr>
      </w:pPr>
    </w:p>
    <w:p w:rsidR="00A81E83" w:rsidRPr="00C83DF5" w:rsidRDefault="00A81E83" w:rsidP="00346F4B">
      <w:pPr>
        <w:numPr>
          <w:ilvl w:val="3"/>
          <w:numId w:val="95"/>
        </w:numPr>
        <w:spacing w:after="60"/>
        <w:ind w:left="1440"/>
      </w:pPr>
      <w:r w:rsidRPr="00C83DF5">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C83DF5">
        <w:rPr>
          <w:rFonts w:eastAsia="Calibri" w:cs="Tahoma"/>
          <w:szCs w:val="18"/>
        </w:rPr>
        <w:t xml:space="preserve">April 2015)“ zu verlängern, und </w:t>
      </w:r>
    </w:p>
    <w:p w:rsidR="00A81E83" w:rsidRPr="00C83DF5" w:rsidRDefault="00A81E83" w:rsidP="00346F4B">
      <w:pPr>
        <w:numPr>
          <w:ilvl w:val="3"/>
          <w:numId w:val="95"/>
        </w:numPr>
        <w:spacing w:after="60"/>
        <w:ind w:left="1440"/>
        <w:rPr>
          <w:lang w:val="de-DE"/>
        </w:rPr>
      </w:pPr>
      <w:r w:rsidRPr="00C83DF5">
        <w:rPr>
          <w:rFonts w:eastAsia="Calibri" w:cs="Tahoma"/>
          <w:szCs w:val="18"/>
          <w:lang w:val="de-DE"/>
        </w:rPr>
        <w:lastRenderedPageBreak/>
        <w:t>für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rsidR="00A81E83" w:rsidRPr="00C83DF5" w:rsidRDefault="00A81E83" w:rsidP="004F0566">
      <w:pPr>
        <w:numPr>
          <w:ilvl w:val="0"/>
          <w:numId w:val="50"/>
        </w:numPr>
        <w:spacing w:after="60"/>
        <w:ind w:left="1440"/>
        <w:rPr>
          <w:lang w:val="de-DE"/>
        </w:rPr>
      </w:pPr>
      <w:r w:rsidRPr="00C83DF5">
        <w:rPr>
          <w:rFonts w:eastAsia="Calibri" w:cs="Tahoma"/>
          <w:szCs w:val="18"/>
          <w:lang w:val="de-DE"/>
        </w:rPr>
        <w:t>Die Prozessorlizenzen des Kunden sind bei Erwerb von Software Assurance für Core-Lizenzen unter</w:t>
      </w:r>
      <w:r w:rsidR="004F0566">
        <w:rPr>
          <w:rFonts w:eastAsia="Calibri" w:cs="Tahoma"/>
          <w:szCs w:val="18"/>
          <w:lang w:val="de-DE"/>
        </w:rPr>
        <w:t> </w:t>
      </w:r>
      <w:r w:rsidRPr="00C83DF5">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r w:rsidR="00E71F46" w:rsidRPr="00C83DF5">
        <w:rPr>
          <w:rFonts w:eastAsia="Calibri" w:cs="Tahoma"/>
          <w:szCs w:val="18"/>
          <w:lang w:val="de-DE"/>
        </w:rPr>
        <w:t xml:space="preserve"> </w:t>
      </w:r>
    </w:p>
    <w:p w:rsidR="0026723A" w:rsidRPr="00DF3F89" w:rsidRDefault="0026723A" w:rsidP="0026723A">
      <w:pPr>
        <w:tabs>
          <w:tab w:val="left" w:pos="1080"/>
        </w:tabs>
        <w:ind w:left="1080"/>
        <w:rPr>
          <w:rFonts w:eastAsia="Calibri" w:cs="Tahoma"/>
          <w:b/>
          <w:szCs w:val="18"/>
          <w:lang w:val="de-DE"/>
        </w:rPr>
      </w:pPr>
    </w:p>
    <w:p w:rsidR="0026723A" w:rsidRPr="00C83DF5" w:rsidRDefault="00A431D5" w:rsidP="0026723A">
      <w:pPr>
        <w:spacing w:after="60"/>
        <w:ind w:left="720"/>
        <w:rPr>
          <w:lang w:val="de-DE"/>
        </w:rPr>
      </w:pPr>
      <w:r w:rsidRPr="00C83DF5">
        <w:rPr>
          <w:rFonts w:eastAsia="Calibri" w:cs="Tahoma"/>
          <w:b/>
          <w:szCs w:val="18"/>
          <w:lang w:val="de-DE"/>
        </w:rPr>
        <w:t>Für Kunden, die ein Step Up von SQL Server Standard zu SQL Server Enterprise Core durchführen möchten</w:t>
      </w:r>
    </w:p>
    <w:p w:rsidR="00A431D5" w:rsidRPr="00C83DF5" w:rsidRDefault="00A431D5" w:rsidP="00FF5EBF">
      <w:pPr>
        <w:ind w:left="720"/>
        <w:rPr>
          <w:lang w:val="de-DE"/>
        </w:rPr>
      </w:pPr>
      <w:r w:rsidRPr="00C83DF5">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FF5EBF">
        <w:rPr>
          <w:rFonts w:eastAsia="Calibri" w:cs="Tahoma"/>
          <w:szCs w:val="18"/>
          <w:lang w:val="de-DE"/>
        </w:rPr>
        <w:t> </w:t>
      </w:r>
      <w:r w:rsidRPr="00C83DF5">
        <w:rPr>
          <w:rFonts w:eastAsia="Calibri" w:cs="Tahoma"/>
          <w:szCs w:val="18"/>
          <w:lang w:val="de-DE"/>
        </w:rPr>
        <w:t>Core) durchzuführen. Für jeden Server, den ein Kunde unter den Produktbenutzungsrechten für SQL</w:t>
      </w:r>
      <w:r w:rsidR="00FF5EBF">
        <w:rPr>
          <w:rFonts w:eastAsia="Calibri" w:cs="Tahoma"/>
          <w:szCs w:val="18"/>
          <w:lang w:val="de-DE"/>
        </w:rPr>
        <w:t> </w:t>
      </w:r>
      <w:r w:rsidRPr="00C83DF5">
        <w:rPr>
          <w:rFonts w:eastAsia="Calibri" w:cs="Tahoma"/>
          <w:szCs w:val="18"/>
          <w:lang w:val="de-DE"/>
        </w:rPr>
        <w:t xml:space="preserve">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rsidR="0026723A" w:rsidRPr="00DF3F89" w:rsidRDefault="0026723A" w:rsidP="0026723A">
      <w:pPr>
        <w:tabs>
          <w:tab w:val="left" w:pos="1080"/>
        </w:tabs>
        <w:ind w:left="1080"/>
        <w:rPr>
          <w:rFonts w:eastAsia="Calibri" w:cs="Tahoma"/>
          <w:szCs w:val="18"/>
          <w:lang w:val="de-DE"/>
        </w:rPr>
      </w:pPr>
    </w:p>
    <w:p w:rsidR="00A431D5" w:rsidRPr="00C83DF5" w:rsidRDefault="00A431D5" w:rsidP="00346F4B">
      <w:pPr>
        <w:numPr>
          <w:ilvl w:val="3"/>
          <w:numId w:val="96"/>
        </w:numPr>
        <w:tabs>
          <w:tab w:val="left" w:pos="1440"/>
        </w:tabs>
        <w:spacing w:after="60"/>
        <w:ind w:left="1440"/>
      </w:pPr>
      <w:r w:rsidRPr="00C83DF5">
        <w:rPr>
          <w:rFonts w:eastAsia="Calibri" w:cs="Tahoma"/>
          <w:szCs w:val="18"/>
        </w:rPr>
        <w:t>vier ODER</w:t>
      </w:r>
    </w:p>
    <w:p w:rsidR="00A431D5" w:rsidRPr="00C83DF5" w:rsidRDefault="00A431D5" w:rsidP="00AE4552">
      <w:pPr>
        <w:numPr>
          <w:ilvl w:val="3"/>
          <w:numId w:val="96"/>
        </w:numPr>
        <w:tabs>
          <w:tab w:val="left" w:pos="1440"/>
        </w:tabs>
        <w:spacing w:after="60"/>
        <w:ind w:left="1440"/>
        <w:rPr>
          <w:lang w:val="de-DE"/>
        </w:rPr>
      </w:pPr>
      <w:r w:rsidRPr="00C83DF5">
        <w:rPr>
          <w:rFonts w:eastAsia="Calibri" w:cs="Tahoma"/>
          <w:szCs w:val="18"/>
          <w:lang w:val="de-DE"/>
        </w:rPr>
        <w:t>der tatsächlichen Anzahl von Cores pro physischem Prozessor multipliziert mit dem entsprechenden Core-Faktor.</w:t>
      </w:r>
      <w:r w:rsidR="00E71F46" w:rsidRPr="00C83DF5">
        <w:rPr>
          <w:rFonts w:eastAsia="Calibri" w:cs="Tahoma"/>
          <w:szCs w:val="18"/>
          <w:lang w:val="de-DE"/>
        </w:rPr>
        <w:t xml:space="preserve"> </w:t>
      </w:r>
      <w:r w:rsidRPr="00C83DF5">
        <w:rPr>
          <w:rFonts w:eastAsia="Calibri" w:cs="Tahoma"/>
          <w:szCs w:val="18"/>
          <w:lang w:val="de-DE"/>
        </w:rPr>
        <w:t>(Wenn die tatsächliche Anzahl von Cores pro physischem Prozessor mehr als vier beträgt, muss der Kunde unmittelbar vor dem Erwerb der Step Up-Lizenzen entweder mit dem Microsoft MAP-Tool oder einer gleichwertigen Software Unterlagen zur Konfiguration der SQL</w:t>
      </w:r>
      <w:r w:rsidR="00AE4552">
        <w:rPr>
          <w:rFonts w:eastAsia="Calibri" w:cs="Tahoma"/>
          <w:szCs w:val="18"/>
          <w:lang w:val="de-DE"/>
        </w:rPr>
        <w:t> </w:t>
      </w:r>
      <w:r w:rsidRPr="00C83DF5">
        <w:rPr>
          <w:rFonts w:eastAsia="Calibri" w:cs="Tahoma"/>
          <w:szCs w:val="18"/>
          <w:lang w:val="de-DE"/>
        </w:rPr>
        <w:t>Server-Software, die auf dem Server ausgeführt wird (lizenzierte Instanzen, die in Betriebssystemumgebungen auf dem lizenzierten Server ausgeführt werden), und der physischen</w:t>
      </w:r>
      <w:r w:rsidR="00AE4552">
        <w:rPr>
          <w:rFonts w:eastAsia="Calibri" w:cs="Tahoma"/>
          <w:szCs w:val="18"/>
          <w:lang w:val="de-DE"/>
        </w:rPr>
        <w:t> </w:t>
      </w:r>
      <w:r w:rsidRPr="00C83DF5">
        <w:rPr>
          <w:rFonts w:eastAsia="Calibri" w:cs="Tahoma"/>
          <w:szCs w:val="18"/>
          <w:lang w:val="de-DE"/>
        </w:rPr>
        <w:t xml:space="preserve">Hardware führen, die diese Software unterstützt.) </w:t>
      </w:r>
    </w:p>
    <w:p w:rsidR="0026723A" w:rsidRPr="00C83DF5" w:rsidRDefault="0026723A" w:rsidP="0026723A">
      <w:pPr>
        <w:tabs>
          <w:tab w:val="left" w:pos="1440"/>
        </w:tabs>
        <w:ind w:left="1440"/>
        <w:rPr>
          <w:lang w:val="de-DE"/>
        </w:rPr>
      </w:pPr>
    </w:p>
    <w:p w:rsidR="00A431D5" w:rsidRPr="00C83DF5" w:rsidRDefault="00A431D5" w:rsidP="0026723A">
      <w:pPr>
        <w:ind w:left="720"/>
        <w:rPr>
          <w:lang w:val="de-DE"/>
        </w:rPr>
      </w:pPr>
      <w:r w:rsidRPr="00C83DF5">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 verwenden.</w:t>
      </w:r>
      <w:r w:rsidR="00E71F46" w:rsidRPr="00C83DF5">
        <w:rPr>
          <w:rFonts w:eastAsia="Calibri" w:cs="Tahoma"/>
          <w:szCs w:val="18"/>
          <w:lang w:val="de-DE"/>
        </w:rPr>
        <w:t xml:space="preserve"> </w:t>
      </w:r>
      <w:r w:rsidRPr="00C83DF5">
        <w:rPr>
          <w:rFonts w:eastAsia="Calibri" w:cs="Tahoma"/>
          <w:szCs w:val="18"/>
          <w:lang w:val="de-DE"/>
        </w:rPr>
        <w:t>Sofern in diesem Abschnitt „Für Kunden, die ein Step Up von SQL Server Standard zu SQL Server Enterprise Core durchführen möchten“ nicht anders bestimmt</w:t>
      </w:r>
      <w:r w:rsidRPr="00333DA8">
        <w:rPr>
          <w:rFonts w:eastAsia="Calibri" w:cs="Tahoma"/>
          <w:bCs/>
          <w:szCs w:val="18"/>
          <w:lang w:val="de-DE"/>
        </w:rPr>
        <w:t xml:space="preserve">, </w:t>
      </w:r>
      <w:r w:rsidRPr="00C83DF5">
        <w:rPr>
          <w:rFonts w:eastAsia="Calibri" w:cs="Tahoma"/>
          <w:szCs w:val="18"/>
          <w:lang w:val="de-DE"/>
        </w:rPr>
        <w:t>gelten hinsichtlich des Erwerbs von Step Up Lizenzen die im Abschnitt „Software Assurance“ dieser Produktliste dargelegten Bestimmungen.</w:t>
      </w:r>
      <w:r w:rsidRPr="00C83DF5">
        <w:rPr>
          <w:rFonts w:eastAsia="Calibri" w:cs="Tahoma"/>
          <w:b/>
          <w:szCs w:val="18"/>
          <w:lang w:val="de-DE"/>
        </w:rPr>
        <w:t xml:space="preserve"> </w:t>
      </w:r>
    </w:p>
    <w:p w:rsidR="0026723A" w:rsidRPr="00C83DF5" w:rsidRDefault="0026723A" w:rsidP="0026723A">
      <w:pPr>
        <w:tabs>
          <w:tab w:val="left" w:pos="1080"/>
        </w:tabs>
        <w:ind w:left="1080"/>
        <w:rPr>
          <w:lang w:val="de-DE"/>
        </w:rPr>
      </w:pPr>
    </w:p>
    <w:p w:rsidR="0026723A" w:rsidRPr="00C83DF5" w:rsidRDefault="00A81E83" w:rsidP="0026723A">
      <w:pPr>
        <w:spacing w:after="60"/>
        <w:ind w:left="720"/>
        <w:rPr>
          <w:lang w:val="de-DE"/>
        </w:rPr>
      </w:pPr>
      <w:r w:rsidRPr="00C83DF5">
        <w:rPr>
          <w:rFonts w:eastAsia="Calibri" w:cs="Tahoma"/>
          <w:b/>
          <w:szCs w:val="18"/>
          <w:lang w:val="de-DE"/>
        </w:rPr>
        <w:t>Für Kunden mit Software Assurance, die vor dem 1. April 2015 abläuft, die sich gegen eine Verlängerung entscheiden</w:t>
      </w:r>
    </w:p>
    <w:p w:rsidR="00A81E83" w:rsidRPr="00C83DF5" w:rsidRDefault="00A81E83" w:rsidP="0026723A">
      <w:pPr>
        <w:ind w:left="720"/>
        <w:rPr>
          <w:lang w:val="de-DE"/>
        </w:rPr>
      </w:pPr>
      <w:r w:rsidRPr="00C83DF5">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9C7505" w:rsidRPr="00C83DF5" w:rsidRDefault="009C7505" w:rsidP="0026723A">
      <w:pPr>
        <w:ind w:left="720"/>
        <w:rPr>
          <w:lang w:val="de-DE"/>
        </w:rPr>
      </w:pPr>
    </w:p>
    <w:p w:rsidR="00A81E83" w:rsidRPr="00C83DF5" w:rsidRDefault="00A81E83" w:rsidP="00346F4B">
      <w:pPr>
        <w:numPr>
          <w:ilvl w:val="0"/>
          <w:numId w:val="97"/>
        </w:numPr>
        <w:tabs>
          <w:tab w:val="left" w:pos="1440"/>
        </w:tabs>
        <w:spacing w:after="60"/>
        <w:ind w:left="1440"/>
        <w:rPr>
          <w:lang w:val="de-DE"/>
        </w:rPr>
      </w:pPr>
      <w:r w:rsidRPr="00C83DF5">
        <w:rPr>
          <w:rFonts w:eastAsia="Calibri" w:cs="Tahoma"/>
          <w:b/>
          <w:szCs w:val="18"/>
          <w:lang w:val="de-DE"/>
        </w:rPr>
        <w:t>SQL Server 2008 R2 Standard:</w:t>
      </w:r>
      <w:r w:rsidRPr="00C83DF5">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rsidR="00A81E83" w:rsidRPr="00C83DF5" w:rsidRDefault="00A81E83" w:rsidP="00255A51">
      <w:pPr>
        <w:numPr>
          <w:ilvl w:val="0"/>
          <w:numId w:val="97"/>
        </w:numPr>
        <w:tabs>
          <w:tab w:val="left" w:pos="1440"/>
        </w:tabs>
        <w:spacing w:after="60"/>
        <w:ind w:left="1440"/>
        <w:rPr>
          <w:lang w:val="de-DE"/>
        </w:rPr>
      </w:pPr>
      <w:r w:rsidRPr="00C83DF5">
        <w:rPr>
          <w:rFonts w:eastAsia="Calibri" w:cs="Tahoma"/>
          <w:b/>
          <w:szCs w:val="18"/>
          <w:lang w:val="de-DE"/>
        </w:rPr>
        <w:t xml:space="preserve">SQL Server 2012 Standard Core: </w:t>
      </w:r>
      <w:r w:rsidRPr="00C83DF5">
        <w:rPr>
          <w:rFonts w:eastAsia="Calibri" w:cs="Tahoma"/>
          <w:szCs w:val="18"/>
          <w:lang w:val="de-DE"/>
        </w:rPr>
        <w:t>Die Verwendung dieser Version der Software unterliegt den</w:t>
      </w:r>
      <w:r w:rsidR="00255A51">
        <w:rPr>
          <w:rFonts w:eastAsia="Calibri" w:cs="Tahoma"/>
          <w:szCs w:val="18"/>
          <w:lang w:val="de-DE"/>
        </w:rPr>
        <w:t> </w:t>
      </w:r>
      <w:r w:rsidRPr="00C83DF5">
        <w:rPr>
          <w:rFonts w:eastAsia="Calibri" w:cs="Tahoma"/>
          <w:szCs w:val="18"/>
          <w:lang w:val="de-DE"/>
        </w:rPr>
        <w:t>Produktbenutzungsrechten für SQL Server 2008 R2 Standard-Prozessorlizenzen, jedoch mit</w:t>
      </w:r>
      <w:r w:rsidR="00255A51">
        <w:rPr>
          <w:rFonts w:eastAsia="Calibri" w:cs="Tahoma"/>
          <w:szCs w:val="18"/>
          <w:lang w:val="de-DE"/>
        </w:rPr>
        <w:t> </w:t>
      </w:r>
      <w:r w:rsidRPr="00C83DF5">
        <w:rPr>
          <w:rFonts w:eastAsia="Calibri" w:cs="Tahoma"/>
          <w:szCs w:val="18"/>
          <w:lang w:val="de-DE"/>
        </w:rPr>
        <w:t xml:space="preserve">folgenden Einschränkungen: </w:t>
      </w:r>
    </w:p>
    <w:p w:rsidR="00A81E83" w:rsidRPr="00C83DF5" w:rsidRDefault="00A81E83" w:rsidP="00346F4B">
      <w:pPr>
        <w:numPr>
          <w:ilvl w:val="1"/>
          <w:numId w:val="98"/>
        </w:numPr>
        <w:tabs>
          <w:tab w:val="left" w:pos="1800"/>
        </w:tabs>
        <w:spacing w:after="60"/>
        <w:ind w:left="1800"/>
        <w:rPr>
          <w:lang w:val="de-DE"/>
        </w:rPr>
      </w:pPr>
      <w:r w:rsidRPr="00C83DF5">
        <w:rPr>
          <w:rFonts w:eastAsia="Calibri" w:cs="Tahoma"/>
          <w:szCs w:val="18"/>
          <w:lang w:val="de-DE"/>
        </w:rPr>
        <w:t xml:space="preserve">Kunden verfügen nicht mehr über Rechte unter Lizenzmobilität innerhalb von Serverfarmen oder Lizenzmobilität durch Software Assurance, und </w:t>
      </w:r>
    </w:p>
    <w:p w:rsidR="00A81E83" w:rsidRPr="007F6C11" w:rsidRDefault="00A81E83" w:rsidP="00346F4B">
      <w:pPr>
        <w:numPr>
          <w:ilvl w:val="1"/>
          <w:numId w:val="98"/>
        </w:numPr>
        <w:tabs>
          <w:tab w:val="left" w:pos="1800"/>
        </w:tabs>
        <w:spacing w:after="60"/>
        <w:ind w:left="1800"/>
      </w:pPr>
      <w:r w:rsidRPr="00C83DF5">
        <w:rPr>
          <w:rFonts w:eastAsia="Calibri" w:cs="Tahoma"/>
          <w:szCs w:val="18"/>
          <w:lang w:val="de-DE"/>
        </w:rPr>
        <w:t xml:space="preserve">Neuzuweisungen von Lizenzen unterliegen den Beschränkungen unten unter (i) und (ii) in Bezug auf ihre „Core-Lizenzäquivalenz“. </w:t>
      </w:r>
      <w:r w:rsidRPr="00C83DF5">
        <w:rPr>
          <w:rFonts w:eastAsia="Calibri" w:cs="Tahoma"/>
          <w:szCs w:val="18"/>
        </w:rPr>
        <w:t xml:space="preserve">Die Core-Lizenzäquivalenz wird wie folgt bestimmt. </w:t>
      </w:r>
    </w:p>
    <w:p w:rsidR="007F6C11" w:rsidRDefault="007F6C11" w:rsidP="007F6C11">
      <w:pPr>
        <w:tabs>
          <w:tab w:val="left" w:pos="1800"/>
        </w:tabs>
        <w:spacing w:after="60"/>
        <w:rPr>
          <w:rFonts w:eastAsia="Calibri" w:cs="Tahoma"/>
          <w:szCs w:val="18"/>
        </w:rPr>
      </w:pPr>
    </w:p>
    <w:p w:rsidR="007F6C11" w:rsidRPr="00C83DF5" w:rsidRDefault="007F6C11" w:rsidP="007F6C11">
      <w:pPr>
        <w:tabs>
          <w:tab w:val="left" w:pos="1800"/>
        </w:tabs>
        <w:spacing w:after="60"/>
      </w:pPr>
    </w:p>
    <w:p w:rsidR="00A81E83" w:rsidRPr="00C83DF5" w:rsidRDefault="00A81E83" w:rsidP="007F6C11">
      <w:pPr>
        <w:numPr>
          <w:ilvl w:val="2"/>
          <w:numId w:val="97"/>
        </w:numPr>
        <w:tabs>
          <w:tab w:val="left" w:pos="2160"/>
        </w:tabs>
        <w:spacing w:after="60"/>
        <w:ind w:hanging="360"/>
        <w:rPr>
          <w:lang w:val="de-DE"/>
        </w:rPr>
      </w:pPr>
      <w:r w:rsidRPr="00C83DF5">
        <w:rPr>
          <w:rFonts w:eastAsia="Calibri" w:cs="Tahoma"/>
          <w:szCs w:val="18"/>
          <w:lang w:val="de-DE"/>
        </w:rPr>
        <w:lastRenderedPageBreak/>
        <w:t>Für eine Anzahl von Lizenzen, die entweder (x) der Gesamtzahl der Prozessorlizenzen, die</w:t>
      </w:r>
      <w:r w:rsidR="007F6C11">
        <w:rPr>
          <w:rFonts w:eastAsia="Calibri" w:cs="Tahoma"/>
          <w:szCs w:val="18"/>
          <w:lang w:val="de-DE"/>
        </w:rPr>
        <w:t> </w:t>
      </w:r>
      <w:r w:rsidRPr="00C83DF5">
        <w:rPr>
          <w:rFonts w:eastAsia="Calibri" w:cs="Tahoma"/>
          <w:szCs w:val="18"/>
          <w:lang w:val="de-DE"/>
        </w:rPr>
        <w:t>einem lizenzierten Server unmittelbar vor Ablauf der Software Assurance zugewiesen sind, oder (y) der Gesamtzahl physischer Prozessoren auf diesem Server entspricht, wobei</w:t>
      </w:r>
      <w:r w:rsidR="007F6C11">
        <w:rPr>
          <w:rFonts w:eastAsia="Calibri" w:cs="Tahoma"/>
          <w:szCs w:val="18"/>
          <w:lang w:val="de-DE"/>
        </w:rPr>
        <w:t> </w:t>
      </w:r>
      <w:r w:rsidRPr="00C83DF5">
        <w:rPr>
          <w:rFonts w:eastAsia="Calibri" w:cs="Tahoma"/>
          <w:szCs w:val="18"/>
          <w:lang w:val="de-DE"/>
        </w:rPr>
        <w:t>die kleinere Zahl maßgeblich ist, entspricht die Core-Lizenzäquivalenz dem größeren</w:t>
      </w:r>
      <w:r w:rsidR="007F6C11">
        <w:rPr>
          <w:rFonts w:eastAsia="Calibri" w:cs="Tahoma"/>
          <w:szCs w:val="18"/>
          <w:lang w:val="de-DE"/>
        </w:rPr>
        <w:t> </w:t>
      </w:r>
      <w:r w:rsidRPr="00C83DF5">
        <w:rPr>
          <w:rFonts w:eastAsia="Calibri" w:cs="Tahoma"/>
          <w:szCs w:val="18"/>
          <w:lang w:val="de-DE"/>
        </w:rPr>
        <w:t xml:space="preserve">Wert folgender Zahlen: </w:t>
      </w:r>
    </w:p>
    <w:p w:rsidR="00A81E83" w:rsidRPr="00C83DF5" w:rsidRDefault="00A81E83" w:rsidP="00346F4B">
      <w:pPr>
        <w:numPr>
          <w:ilvl w:val="4"/>
          <w:numId w:val="50"/>
        </w:numPr>
        <w:tabs>
          <w:tab w:val="left" w:pos="2520"/>
        </w:tabs>
        <w:spacing w:after="60"/>
        <w:ind w:left="2880"/>
      </w:pPr>
      <w:r w:rsidRPr="00C83DF5">
        <w:rPr>
          <w:rFonts w:eastAsia="Calibri" w:cs="Tahoma"/>
          <w:szCs w:val="18"/>
        </w:rPr>
        <w:t xml:space="preserve">vier Cores pro Prozessorlizenz ODER </w:t>
      </w:r>
    </w:p>
    <w:p w:rsidR="00A81E83" w:rsidRPr="00C83DF5" w:rsidRDefault="00A81E83" w:rsidP="00346F4B">
      <w:pPr>
        <w:numPr>
          <w:ilvl w:val="4"/>
          <w:numId w:val="50"/>
        </w:numPr>
        <w:tabs>
          <w:tab w:val="left" w:pos="2520"/>
        </w:tabs>
        <w:spacing w:after="60"/>
        <w:ind w:left="2880"/>
        <w:rPr>
          <w:lang w:val="de-DE"/>
        </w:rPr>
      </w:pPr>
      <w:r w:rsidRPr="00C83DF5">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rsidR="00A81E83" w:rsidRPr="00C83DF5" w:rsidRDefault="00A81E83" w:rsidP="00346F4B">
      <w:pPr>
        <w:numPr>
          <w:ilvl w:val="2"/>
          <w:numId w:val="97"/>
        </w:numPr>
        <w:tabs>
          <w:tab w:val="left" w:pos="2160"/>
        </w:tabs>
        <w:spacing w:after="60"/>
        <w:ind w:hanging="360"/>
        <w:rPr>
          <w:lang w:val="de-DE"/>
        </w:rPr>
      </w:pPr>
      <w:r w:rsidRPr="00C83DF5">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C83DF5" w:rsidRDefault="00A81E83" w:rsidP="00346F4B">
      <w:pPr>
        <w:numPr>
          <w:ilvl w:val="0"/>
          <w:numId w:val="53"/>
        </w:numPr>
        <w:tabs>
          <w:tab w:val="left" w:pos="1440"/>
        </w:tabs>
        <w:spacing w:after="60"/>
        <w:ind w:left="1440"/>
        <w:rPr>
          <w:lang w:val="de-DE"/>
        </w:rPr>
      </w:pPr>
      <w:r w:rsidRPr="00C83DF5">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C83DF5" w:rsidRDefault="00A81E83" w:rsidP="001F47F9">
      <w:pPr>
        <w:numPr>
          <w:ilvl w:val="0"/>
          <w:numId w:val="53"/>
        </w:numPr>
        <w:tabs>
          <w:tab w:val="left" w:pos="1440"/>
        </w:tabs>
        <w:spacing w:after="60"/>
        <w:ind w:left="1440"/>
        <w:rPr>
          <w:lang w:val="de-DE"/>
        </w:rPr>
      </w:pPr>
      <w:r w:rsidRPr="00C83DF5">
        <w:rPr>
          <w:rFonts w:eastAsia="Calibri" w:cs="Tahoma"/>
          <w:szCs w:val="18"/>
          <w:lang w:val="de-DE"/>
        </w:rPr>
        <w:t>Die angenommene Core-Lizenzäquivalenz der Kunden impliziert nicht, dass sie berechtigt sind, eine</w:t>
      </w:r>
      <w:r w:rsidR="001F47F9">
        <w:rPr>
          <w:rFonts w:eastAsia="Calibri" w:cs="Tahoma"/>
          <w:szCs w:val="18"/>
          <w:lang w:val="de-DE"/>
        </w:rPr>
        <w:t> </w:t>
      </w:r>
      <w:r w:rsidRPr="00C83DF5">
        <w:rPr>
          <w:rFonts w:eastAsia="Calibri" w:cs="Tahoma"/>
          <w:szCs w:val="18"/>
          <w:lang w:val="de-DE"/>
        </w:rPr>
        <w:t>einzelne Prozessorlizenz Cores auf zwei oder mehr Prozessoren zuzuweisen.</w:t>
      </w:r>
    </w:p>
    <w:p w:rsidR="009C7505" w:rsidRPr="00DF3F89" w:rsidRDefault="009C7505" w:rsidP="009C7505">
      <w:pPr>
        <w:tabs>
          <w:tab w:val="left" w:pos="1440"/>
        </w:tabs>
        <w:ind w:left="1080"/>
        <w:rPr>
          <w:rFonts w:eastAsia="Calibri" w:cs="Tahoma"/>
          <w:szCs w:val="18"/>
          <w:lang w:val="de-DE"/>
        </w:rPr>
      </w:pPr>
    </w:p>
    <w:p w:rsidR="009C7505" w:rsidRPr="00C83DF5" w:rsidRDefault="00A81E83" w:rsidP="009C7505">
      <w:pPr>
        <w:tabs>
          <w:tab w:val="left" w:pos="720"/>
        </w:tabs>
        <w:spacing w:after="60"/>
        <w:ind w:left="720"/>
        <w:rPr>
          <w:lang w:val="de-DE"/>
        </w:rPr>
      </w:pPr>
      <w:r w:rsidRPr="00C83DF5">
        <w:rPr>
          <w:rFonts w:eastAsia="Calibri" w:cs="Tahoma"/>
          <w:b/>
          <w:szCs w:val="18"/>
          <w:lang w:val="de-DE"/>
        </w:rPr>
        <w:t>Für Kunden mit Software Assurance, die am oder nach dem 1. April 2015 abläuft, die sich gegen eine Verlängerung entscheiden</w:t>
      </w:r>
    </w:p>
    <w:p w:rsidR="00A81E83" w:rsidRPr="00C83DF5" w:rsidRDefault="00A81E83" w:rsidP="009C7505">
      <w:pPr>
        <w:tabs>
          <w:tab w:val="left" w:pos="720"/>
        </w:tabs>
        <w:ind w:left="720"/>
        <w:rPr>
          <w:lang w:val="de-DE"/>
        </w:rPr>
      </w:pPr>
      <w:r w:rsidRPr="00C83DF5">
        <w:rPr>
          <w:rFonts w:eastAsia="Calibri" w:cs="Tahoma"/>
          <w:color w:val="000000"/>
          <w:szCs w:val="18"/>
          <w:lang w:val="de-DE"/>
        </w:rPr>
        <w:t xml:space="preserve">Konzern-Abonnement- </w:t>
      </w:r>
      <w:r w:rsidRPr="00C83DF5">
        <w:rPr>
          <w:rFonts w:eastAsia="Calibri" w:cs="Tahoma"/>
          <w:szCs w:val="18"/>
          <w:lang w:val="de-DE"/>
        </w:rPr>
        <w:t>und Open Value Subscription-</w:t>
      </w:r>
      <w:r w:rsidRPr="00C83DF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9C7505" w:rsidRPr="00DF3F89" w:rsidRDefault="009C7505" w:rsidP="009C7505">
      <w:pPr>
        <w:tabs>
          <w:tab w:val="left" w:pos="720"/>
        </w:tabs>
        <w:ind w:left="720"/>
        <w:rPr>
          <w:lang w:val="de-DE"/>
        </w:rPr>
      </w:pPr>
    </w:p>
    <w:p w:rsidR="00A81E83" w:rsidRPr="00C83DF5" w:rsidRDefault="00A81E83" w:rsidP="001F47F9">
      <w:pPr>
        <w:numPr>
          <w:ilvl w:val="2"/>
          <w:numId w:val="50"/>
        </w:numPr>
        <w:spacing w:after="60"/>
        <w:ind w:left="1440"/>
        <w:rPr>
          <w:lang w:val="de-DE"/>
        </w:rPr>
      </w:pPr>
      <w:r w:rsidRPr="00C83DF5">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1F47F9">
        <w:rPr>
          <w:rFonts w:eastAsia="Calibri" w:cs="Tahoma"/>
          <w:szCs w:val="18"/>
          <w:lang w:val="de-DE"/>
        </w:rPr>
        <w:t> </w:t>
      </w:r>
      <w:r w:rsidRPr="00C83DF5">
        <w:rPr>
          <w:rFonts w:eastAsia="Calibri" w:cs="Tahoma"/>
          <w:szCs w:val="18"/>
          <w:lang w:val="de-DE"/>
        </w:rPr>
        <w:t xml:space="preserve">Software Assurance, die vor dem 1. April 2015 abläuft, die sich gegen eine Verlängerung entscheiden“ weiterhin zu verwenden, und </w:t>
      </w:r>
    </w:p>
    <w:p w:rsidR="00A81E83" w:rsidRPr="00C83DF5" w:rsidRDefault="00A81E83" w:rsidP="001F47F9">
      <w:pPr>
        <w:numPr>
          <w:ilvl w:val="2"/>
          <w:numId w:val="50"/>
        </w:numPr>
        <w:spacing w:after="60"/>
        <w:ind w:left="1440"/>
        <w:rPr>
          <w:lang w:val="de-DE"/>
        </w:rPr>
      </w:pPr>
      <w:r w:rsidRPr="00C83DF5">
        <w:rPr>
          <w:rFonts w:eastAsia="Calibri" w:cs="Tahoma"/>
          <w:szCs w:val="18"/>
          <w:lang w:val="de-DE"/>
        </w:rPr>
        <w:t>für Lizenzen, die nach dem 1. April 2015 erworben wurden, verfügt die Prozessorlizenz von Kunden</w:t>
      </w:r>
      <w:r w:rsidR="001F47F9">
        <w:rPr>
          <w:rFonts w:eastAsia="Calibri" w:cs="Tahoma"/>
          <w:szCs w:val="18"/>
          <w:lang w:val="de-DE"/>
        </w:rPr>
        <w:t> </w:t>
      </w:r>
      <w:r w:rsidRPr="00C83DF5">
        <w:rPr>
          <w:rFonts w:eastAsia="Calibri" w:cs="Tahoma"/>
          <w:szCs w:val="18"/>
          <w:lang w:val="de-DE"/>
        </w:rPr>
        <w:t>über eine Core-Äquivalenz von vier Core-Lizenzen für SQL Server 2012 Standard. Für</w:t>
      </w:r>
      <w:r w:rsidR="001F47F9">
        <w:rPr>
          <w:rFonts w:eastAsia="Calibri" w:cs="Tahoma"/>
          <w:szCs w:val="18"/>
          <w:lang w:val="de-DE"/>
        </w:rPr>
        <w:t> </w:t>
      </w:r>
      <w:r w:rsidRPr="00C83DF5">
        <w:rPr>
          <w:rFonts w:eastAsia="Calibri" w:cs="Tahoma"/>
          <w:szCs w:val="18"/>
          <w:lang w:val="de-DE"/>
        </w:rPr>
        <w:t>die</w:t>
      </w:r>
      <w:r w:rsidR="001F47F9">
        <w:rPr>
          <w:rFonts w:eastAsia="Calibri" w:cs="Tahoma"/>
          <w:szCs w:val="18"/>
          <w:lang w:val="de-DE"/>
        </w:rPr>
        <w:t> </w:t>
      </w:r>
      <w:r w:rsidRPr="00C83DF5">
        <w:rPr>
          <w:rFonts w:eastAsia="Calibri" w:cs="Tahoma"/>
          <w:szCs w:val="18"/>
          <w:lang w:val="de-DE"/>
        </w:rPr>
        <w:t>kontinuierliche Verwendung von SQL Server 2012 auf Prozessoren, die mehr als vier Core-Lizenzen pro Prozessor erfordern, muss der Kunde die zusätzlichen Core-Lizenzen erwerben.</w:t>
      </w:r>
    </w:p>
    <w:p w:rsidR="009C7505" w:rsidRPr="00C83DF5" w:rsidRDefault="009C7505" w:rsidP="009C7505">
      <w:pPr>
        <w:ind w:left="1440"/>
        <w:rPr>
          <w:lang w:val="de-DE"/>
        </w:rPr>
      </w:pPr>
    </w:p>
    <w:p w:rsidR="009C7505" w:rsidRPr="00C83DF5" w:rsidRDefault="00A81E83" w:rsidP="001F7B02">
      <w:pPr>
        <w:spacing w:after="60"/>
        <w:ind w:left="720"/>
        <w:rPr>
          <w:lang w:val="de-DE"/>
        </w:rPr>
      </w:pPr>
      <w:r w:rsidRPr="00C83DF5">
        <w:rPr>
          <w:b/>
          <w:lang w:val="de-DE"/>
        </w:rPr>
        <w:t>Für Kunden in der Volksrepublik</w:t>
      </w:r>
      <w:r w:rsidRPr="00C83DF5">
        <w:rPr>
          <w:lang w:val="de-DE"/>
        </w:rPr>
        <w:t xml:space="preserve"> </w:t>
      </w:r>
      <w:r w:rsidRPr="00C83DF5">
        <w:rPr>
          <w:b/>
          <w:lang w:val="de-DE"/>
        </w:rPr>
        <w:t>China, die dort Prozessorlizenzen und Software Assurance für</w:t>
      </w:r>
      <w:r w:rsidR="001F7B02">
        <w:rPr>
          <w:b/>
          <w:lang w:val="de-DE"/>
        </w:rPr>
        <w:t> </w:t>
      </w:r>
      <w:r w:rsidRPr="00C83DF5">
        <w:rPr>
          <w:b/>
          <w:lang w:val="de-DE"/>
        </w:rPr>
        <w:t>SQL Server 2008 R2 erwerben</w:t>
      </w:r>
    </w:p>
    <w:p w:rsidR="001D7A2C" w:rsidRPr="00C83DF5" w:rsidRDefault="00A81E83" w:rsidP="001F7B02">
      <w:pPr>
        <w:ind w:left="720"/>
        <w:rPr>
          <w:lang w:val="de-DE"/>
        </w:rPr>
      </w:pPr>
      <w:r w:rsidRPr="00C83DF5">
        <w:rPr>
          <w:lang w:val="de-DE"/>
        </w:rPr>
        <w:t>Die Verweise auf den 1. April 2012 und den 1. April 2015 in dieser Produktliste sind nicht anwendbar. Die</w:t>
      </w:r>
      <w:r w:rsidR="001F7B02">
        <w:rPr>
          <w:lang w:val="de-DE"/>
        </w:rPr>
        <w:t> </w:t>
      </w:r>
      <w:r w:rsidRPr="00C83DF5">
        <w:rPr>
          <w:lang w:val="de-DE"/>
        </w:rPr>
        <w:t>anwendbaren Daten für diese Kunden sind der 1. Juli 2012 bzw. der 1. Juli 2015.</w:t>
      </w:r>
      <w:bookmarkStart w:id="1496" w:name="_821_SQL_Server®"/>
      <w:bookmarkEnd w:id="1441"/>
      <w:bookmarkEnd w:id="1442"/>
      <w:bookmarkEnd w:id="1443"/>
      <w:bookmarkEnd w:id="1444"/>
      <w:bookmarkEnd w:id="1496"/>
    </w:p>
    <w:p w:rsidR="009C7505" w:rsidRPr="00C83DF5" w:rsidRDefault="009C7505" w:rsidP="009C7505">
      <w:pPr>
        <w:rPr>
          <w:lang w:val="de-DE"/>
        </w:rPr>
      </w:pPr>
    </w:p>
    <w:p w:rsidR="00602EF4" w:rsidRDefault="00602EF4" w:rsidP="00602EF4">
      <w:pPr>
        <w:rPr>
          <w:lang w:val="de-DE"/>
        </w:rPr>
      </w:pPr>
      <w:bookmarkStart w:id="1497" w:name="Srv_82SysCtrDataProMgr07StdSvrMgmtML"/>
      <w:bookmarkStart w:id="1498" w:name="Srv_78SysCtrDataProMgr07StdSvrMgmtML"/>
      <w:bookmarkStart w:id="1499" w:name="Srv_79SysCtrDataProMgr07StdSvrMgmtML"/>
    </w:p>
    <w:p w:rsidR="007A6155" w:rsidRDefault="007A6155" w:rsidP="00602EF4">
      <w:pPr>
        <w:rPr>
          <w:lang w:val="de-DE"/>
        </w:rPr>
      </w:pPr>
    </w:p>
    <w:p w:rsidR="007A6155" w:rsidRDefault="007A6155" w:rsidP="00602EF4">
      <w:pPr>
        <w:rPr>
          <w:lang w:val="de-DE"/>
        </w:rPr>
      </w:pPr>
    </w:p>
    <w:p w:rsidR="007A6155" w:rsidRDefault="007A6155" w:rsidP="00602EF4">
      <w:pPr>
        <w:rPr>
          <w:lang w:val="de-DE"/>
        </w:rPr>
      </w:pPr>
    </w:p>
    <w:p w:rsidR="007A6155" w:rsidRDefault="007A6155" w:rsidP="00602EF4">
      <w:pPr>
        <w:rPr>
          <w:lang w:val="de-DE"/>
        </w:rPr>
      </w:pPr>
    </w:p>
    <w:p w:rsidR="007A6155" w:rsidRDefault="007A6155" w:rsidP="00602EF4">
      <w:pPr>
        <w:rPr>
          <w:lang w:val="de-DE"/>
        </w:rPr>
      </w:pPr>
    </w:p>
    <w:p w:rsidR="007A6155" w:rsidRDefault="007A6155" w:rsidP="00602EF4">
      <w:pPr>
        <w:rPr>
          <w:lang w:val="de-DE"/>
        </w:rPr>
      </w:pPr>
    </w:p>
    <w:p w:rsidR="007A6155" w:rsidRDefault="007A6155" w:rsidP="00602EF4">
      <w:pPr>
        <w:rPr>
          <w:lang w:val="de-DE"/>
        </w:rPr>
      </w:pPr>
    </w:p>
    <w:p w:rsidR="007A6155" w:rsidRPr="00C83DF5" w:rsidRDefault="007A6155" w:rsidP="00602EF4">
      <w:pPr>
        <w:rPr>
          <w:lang w:val="de-DE"/>
        </w:rPr>
      </w:pPr>
    </w:p>
    <w:p w:rsidR="00023FE7" w:rsidRPr="00C83DF5" w:rsidRDefault="00A560B6" w:rsidP="0037081F">
      <w:pPr>
        <w:pStyle w:val="Heading3"/>
        <w:rPr>
          <w:lang w:val="de-DE"/>
        </w:rPr>
      </w:pPr>
      <w:bookmarkStart w:id="1500" w:name="_79_System_Center"/>
      <w:bookmarkStart w:id="1501" w:name="_86_84_System"/>
      <w:bookmarkStart w:id="1502" w:name="_Toc336338351"/>
      <w:bookmarkStart w:id="1503" w:name="Srv_79SystemCenterEssentials07"/>
      <w:bookmarkStart w:id="1504" w:name="Srv_80SystemCenterEssentials07"/>
      <w:bookmarkStart w:id="1505" w:name="Srv_83SystemCenterEssentials07"/>
      <w:bookmarkStart w:id="1506" w:name="_Toc370983458"/>
      <w:bookmarkEnd w:id="1497"/>
      <w:bookmarkEnd w:id="1498"/>
      <w:bookmarkEnd w:id="1499"/>
      <w:bookmarkEnd w:id="1500"/>
      <w:bookmarkEnd w:id="1501"/>
      <w:r w:rsidRPr="00C83DF5">
        <w:rPr>
          <w:rFonts w:ascii="Tahoma" w:hAnsi="Tahoma"/>
          <w:caps/>
          <w:color w:val="F66400"/>
          <w:sz w:val="22"/>
          <w:vertAlign w:val="superscript"/>
          <w:lang w:val="de-DE"/>
        </w:rPr>
        <w:lastRenderedPageBreak/>
        <w:t>90</w:t>
      </w:r>
      <w:r w:rsidRPr="00C83DF5">
        <w:rPr>
          <w:rFonts w:ascii="Tahoma" w:hAnsi="Tahoma"/>
          <w:color w:val="F66400"/>
          <w:sz w:val="22"/>
          <w:lang w:val="de-DE"/>
        </w:rPr>
        <w:t xml:space="preserve"> System Center Essentials 2010</w:t>
      </w:r>
      <w:bookmarkEnd w:id="1502"/>
      <w:bookmarkEnd w:id="1506"/>
    </w:p>
    <w:bookmarkEnd w:id="1503"/>
    <w:bookmarkEnd w:id="1504"/>
    <w:bookmarkEnd w:id="1505"/>
    <w:p w:rsidR="00A30254" w:rsidRPr="00DF3F89" w:rsidRDefault="00A30254" w:rsidP="00602EF4">
      <w:pPr>
        <w:spacing w:after="60"/>
        <w:ind w:left="720"/>
        <w:rPr>
          <w:rFonts w:cs="Tahoma"/>
          <w:b/>
          <w:color w:val="000000"/>
          <w:szCs w:val="20"/>
          <w:lang w:val="de-DE"/>
        </w:rPr>
      </w:pPr>
    </w:p>
    <w:p w:rsidR="00A30254" w:rsidRPr="00C83DF5" w:rsidRDefault="00A30254" w:rsidP="00A30254">
      <w:pPr>
        <w:spacing w:after="60"/>
        <w:ind w:left="720"/>
        <w:rPr>
          <w:lang w:val="de-DE"/>
        </w:rPr>
      </w:pPr>
      <w:r w:rsidRPr="00C83DF5">
        <w:rPr>
          <w:rFonts w:cs="Tahoma"/>
          <w:b/>
          <w:color w:val="000000"/>
          <w:szCs w:val="20"/>
          <w:lang w:val="de-DE"/>
        </w:rPr>
        <w:t>Lizenzgewährung für System Center Essentials 2010 für Software Assurance-Kunden</w:t>
      </w:r>
    </w:p>
    <w:p w:rsidR="00A30254" w:rsidRPr="00C83DF5" w:rsidRDefault="00A30254" w:rsidP="00A30254">
      <w:pPr>
        <w:pStyle w:val="EndnoteText"/>
        <w:ind w:left="720"/>
      </w:pPr>
      <w:r w:rsidRPr="00C83DF5">
        <w:rPr>
          <w:rFonts w:ascii="Tahoma" w:hAnsi="Tahoma" w:cs="Tahoma"/>
          <w:sz w:val="18"/>
          <w:lang w:val="de-DE"/>
        </w:rPr>
        <w:t>Die Version 2010 von System Center Essentials (SCE) wird die letzte Freigabe des Produkts sein.</w:t>
      </w:r>
      <w:r w:rsidR="00E71F46" w:rsidRPr="00C83DF5">
        <w:rPr>
          <w:rFonts w:ascii="Tahoma" w:hAnsi="Tahoma" w:cs="Tahoma"/>
          <w:sz w:val="18"/>
          <w:lang w:val="de-DE"/>
        </w:rPr>
        <w:t xml:space="preserve"> </w:t>
      </w:r>
      <w:r w:rsidRPr="00C83DF5">
        <w:rPr>
          <w:rFonts w:ascii="Tahoma" w:hAnsi="Tahoma" w:cs="Tahoma"/>
          <w:sz w:val="18"/>
          <w:lang w:val="de-DE"/>
        </w:rPr>
        <w:t>Kunden mit Software Assurance für SCE bis zum 1. März 2013 wird eine Lizenz für System Center 2012 ohne zusätzliche Kosten abgesehen von den Medienkosten (sofern zutreffend) gewährt.</w:t>
      </w:r>
      <w:r w:rsidR="00E71F46" w:rsidRPr="00C83DF5">
        <w:rPr>
          <w:rFonts w:ascii="Tahoma" w:hAnsi="Tahoma" w:cs="Tahoma"/>
          <w:sz w:val="18"/>
          <w:lang w:val="de-DE"/>
        </w:rPr>
        <w:t xml:space="preserve"> </w:t>
      </w:r>
      <w:r w:rsidRPr="00C83DF5">
        <w:rPr>
          <w:rFonts w:ascii="Tahoma" w:hAnsi="Tahoma" w:cs="Tahoma"/>
          <w:sz w:val="18"/>
          <w:lang w:val="de-DE"/>
        </w:rPr>
        <w:t>Die Anzahl von System Center 2012-Lizenzen, auf die ein Kunde im Rahmen dieses Angebots Anspruch hat, variiert, da sie von der Anzahl und der Art der SCE-Lizenzen mit Software Assurance abhängt, die der Kunde erworben hat.</w:t>
      </w:r>
      <w:r w:rsidR="00E71F46" w:rsidRPr="00C83DF5">
        <w:rPr>
          <w:rFonts w:ascii="Tahoma" w:hAnsi="Tahoma" w:cs="Tahoma"/>
          <w:sz w:val="18"/>
          <w:lang w:val="de-DE"/>
        </w:rPr>
        <w:t xml:space="preserve"> </w:t>
      </w:r>
      <w:r w:rsidRPr="00C83DF5">
        <w:rPr>
          <w:rFonts w:ascii="Tahoma" w:hAnsi="Tahoma" w:cs="Tahoma"/>
          <w:sz w:val="18"/>
        </w:rPr>
        <w:t>In der nachstehenden Tabelle finden Sie Einzelheiten.</w:t>
      </w:r>
    </w:p>
    <w:p w:rsidR="00A30254" w:rsidRPr="007A6155" w:rsidRDefault="00A30254" w:rsidP="00A30254">
      <w:pPr>
        <w:pStyle w:val="EndnoteText"/>
        <w:rPr>
          <w:rFonts w:ascii="Tahoma" w:hAnsi="Tahoma" w:cs="Tahoma"/>
          <w:sz w:val="18"/>
        </w:rPr>
      </w:pPr>
    </w:p>
    <w:tbl>
      <w:tblPr>
        <w:tblStyle w:val="TableGrid1"/>
        <w:tblW w:w="8553" w:type="dxa"/>
        <w:tblInd w:w="824" w:type="dxa"/>
        <w:tblLook w:val="04A0" w:firstRow="1" w:lastRow="0" w:firstColumn="1" w:lastColumn="0" w:noHBand="0" w:noVBand="1"/>
      </w:tblPr>
      <w:tblGrid>
        <w:gridCol w:w="3960"/>
        <w:gridCol w:w="4593"/>
      </w:tblGrid>
      <w:tr w:rsidR="00A30254" w:rsidRPr="00C83DF5" w:rsidTr="00CE334A">
        <w:tc>
          <w:tcPr>
            <w:tcW w:w="3960" w:type="dxa"/>
            <w:shd w:val="clear" w:color="auto" w:fill="FABF8F"/>
            <w:hideMark/>
          </w:tcPr>
          <w:p w:rsidR="00A30254" w:rsidRPr="00C83DF5" w:rsidRDefault="00A30254" w:rsidP="00CE334A">
            <w:pPr>
              <w:ind w:left="162"/>
              <w:jc w:val="center"/>
              <w:rPr>
                <w:rFonts w:cs="Tahoma"/>
                <w:b/>
                <w:bCs/>
                <w:color w:val="000000"/>
                <w:szCs w:val="18"/>
                <w:lang w:val="de-DE"/>
              </w:rPr>
            </w:pPr>
            <w:r w:rsidRPr="00C83DF5">
              <w:rPr>
                <w:rFonts w:cs="Tahoma"/>
                <w:b/>
                <w:bCs/>
                <w:color w:val="000000"/>
                <w:szCs w:val="18"/>
                <w:lang w:val="de-DE"/>
              </w:rPr>
              <w:t>Qualifizierende Lizenzen mit Software Assurance</w:t>
            </w:r>
          </w:p>
        </w:tc>
        <w:tc>
          <w:tcPr>
            <w:tcW w:w="4593" w:type="dxa"/>
            <w:shd w:val="clear" w:color="auto" w:fill="FABF8F"/>
            <w:hideMark/>
          </w:tcPr>
          <w:p w:rsidR="00A30254" w:rsidRPr="00C83DF5" w:rsidRDefault="00A30254" w:rsidP="00CE334A">
            <w:pPr>
              <w:ind w:left="162"/>
              <w:jc w:val="center"/>
              <w:rPr>
                <w:rFonts w:cs="Tahoma"/>
                <w:b/>
                <w:bCs/>
                <w:color w:val="000000"/>
                <w:szCs w:val="18"/>
              </w:rPr>
            </w:pPr>
            <w:r w:rsidRPr="00C83DF5">
              <w:rPr>
                <w:rFonts w:cs="Tahoma"/>
                <w:b/>
                <w:bCs/>
                <w:color w:val="000000"/>
                <w:szCs w:val="18"/>
              </w:rPr>
              <w:t>System Center 2012-Lizenzgewährung</w:t>
            </w:r>
          </w:p>
        </w:tc>
      </w:tr>
      <w:tr w:rsidR="00A30254" w:rsidRPr="004D388E" w:rsidTr="00CE334A">
        <w:tc>
          <w:tcPr>
            <w:tcW w:w="3960" w:type="dxa"/>
            <w:hideMark/>
          </w:tcPr>
          <w:p w:rsidR="00A30254" w:rsidRPr="00C83DF5" w:rsidRDefault="00A30254" w:rsidP="00CE334A">
            <w:pPr>
              <w:ind w:left="162"/>
              <w:rPr>
                <w:rFonts w:cs="Tahoma"/>
                <w:bCs/>
                <w:color w:val="000000"/>
                <w:szCs w:val="18"/>
              </w:rPr>
            </w:pPr>
            <w:r w:rsidRPr="00C83DF5">
              <w:rPr>
                <w:rFonts w:cs="Tahoma"/>
                <w:bCs/>
                <w:color w:val="000000"/>
                <w:szCs w:val="18"/>
              </w:rPr>
              <w:t>System Center Essentials 2010</w:t>
            </w:r>
          </w:p>
        </w:tc>
        <w:tc>
          <w:tcPr>
            <w:tcW w:w="4593" w:type="dxa"/>
            <w:hideMark/>
          </w:tcPr>
          <w:p w:rsidR="00A30254" w:rsidRPr="00C83DF5" w:rsidRDefault="00A30254" w:rsidP="007A6155">
            <w:pPr>
              <w:ind w:left="162"/>
              <w:rPr>
                <w:rFonts w:cs="Tahoma"/>
                <w:bCs/>
                <w:color w:val="000000"/>
                <w:szCs w:val="18"/>
                <w:lang w:val="de-DE"/>
              </w:rPr>
            </w:pPr>
            <w:r w:rsidRPr="00C83DF5">
              <w:rPr>
                <w:rFonts w:cs="Tahoma"/>
                <w:bCs/>
                <w:color w:val="000000"/>
                <w:szCs w:val="18"/>
                <w:lang w:val="de-DE"/>
              </w:rPr>
              <w:t>eine Server Management-Lizenz für System Center 2012 Standard für alle acht* qualifizierenden Lizenzen</w:t>
            </w:r>
          </w:p>
        </w:tc>
      </w:tr>
      <w:tr w:rsidR="00A30254" w:rsidRPr="004D388E" w:rsidTr="00CE334A">
        <w:tc>
          <w:tcPr>
            <w:tcW w:w="3960" w:type="dxa"/>
            <w:hideMark/>
          </w:tcPr>
          <w:p w:rsidR="00A30254" w:rsidRPr="00C83DF5" w:rsidRDefault="00A30254" w:rsidP="00CE334A">
            <w:pPr>
              <w:ind w:left="162"/>
              <w:rPr>
                <w:rFonts w:cs="Tahoma"/>
                <w:bCs/>
                <w:color w:val="000000"/>
                <w:szCs w:val="18"/>
                <w:lang w:val="de-DE"/>
              </w:rPr>
            </w:pPr>
            <w:r w:rsidRPr="00C83DF5">
              <w:rPr>
                <w:rFonts w:cs="Tahoma"/>
                <w:bCs/>
                <w:color w:val="000000"/>
                <w:szCs w:val="18"/>
                <w:lang w:val="de-DE"/>
              </w:rPr>
              <w:t>System Center Essentials 2010 mit SQL</w:t>
            </w:r>
          </w:p>
        </w:tc>
        <w:tc>
          <w:tcPr>
            <w:tcW w:w="4593" w:type="dxa"/>
            <w:hideMark/>
          </w:tcPr>
          <w:p w:rsidR="00A30254" w:rsidRPr="00C83DF5" w:rsidRDefault="00A30254" w:rsidP="00CE334A">
            <w:pPr>
              <w:ind w:left="162"/>
              <w:rPr>
                <w:rFonts w:cs="Tahoma"/>
                <w:bCs/>
                <w:color w:val="000000"/>
                <w:szCs w:val="18"/>
                <w:lang w:val="de-DE"/>
              </w:rPr>
            </w:pPr>
            <w:r w:rsidRPr="00C83DF5">
              <w:rPr>
                <w:rFonts w:cs="Tahoma"/>
                <w:bCs/>
                <w:color w:val="000000"/>
                <w:szCs w:val="18"/>
                <w:lang w:val="de-DE"/>
              </w:rPr>
              <w:t>eine Server Management-Lizenz für System Center 2012 Standard für jede qualifizierende Lizenz</w:t>
            </w:r>
          </w:p>
        </w:tc>
      </w:tr>
      <w:tr w:rsidR="00A30254" w:rsidRPr="004D388E" w:rsidTr="00CE334A">
        <w:tc>
          <w:tcPr>
            <w:tcW w:w="3960" w:type="dxa"/>
            <w:hideMark/>
          </w:tcPr>
          <w:p w:rsidR="00A30254" w:rsidRPr="00C83DF5" w:rsidRDefault="00A30254" w:rsidP="00CE334A">
            <w:pPr>
              <w:ind w:left="162"/>
              <w:rPr>
                <w:rFonts w:cs="Tahoma"/>
                <w:bCs/>
                <w:color w:val="000000"/>
                <w:szCs w:val="18"/>
                <w:lang w:val="de-DE"/>
              </w:rPr>
            </w:pPr>
            <w:r w:rsidRPr="00C83DF5">
              <w:rPr>
                <w:rFonts w:cs="Tahoma"/>
                <w:bCs/>
                <w:color w:val="000000"/>
                <w:szCs w:val="18"/>
                <w:lang w:val="de-DE"/>
              </w:rPr>
              <w:t>Server-Management-Lizenz für System Center Essentials 2010</w:t>
            </w:r>
          </w:p>
        </w:tc>
        <w:tc>
          <w:tcPr>
            <w:tcW w:w="4593" w:type="dxa"/>
            <w:hideMark/>
          </w:tcPr>
          <w:p w:rsidR="00A30254" w:rsidRPr="00C83DF5" w:rsidRDefault="00A30254" w:rsidP="00CE334A">
            <w:pPr>
              <w:ind w:left="162"/>
              <w:rPr>
                <w:rFonts w:cs="Tahoma"/>
                <w:bCs/>
                <w:color w:val="000000"/>
                <w:szCs w:val="18"/>
                <w:lang w:val="de-DE"/>
              </w:rPr>
            </w:pPr>
            <w:r w:rsidRPr="00C83DF5">
              <w:rPr>
                <w:rFonts w:cs="Tahoma"/>
                <w:bCs/>
                <w:color w:val="000000"/>
                <w:szCs w:val="18"/>
                <w:lang w:val="de-DE"/>
              </w:rPr>
              <w:t>eine Server Management-Lizenz für System Center 2012 Standard für alle acht* qualifizierenden Lizenzen</w:t>
            </w:r>
          </w:p>
        </w:tc>
      </w:tr>
      <w:tr w:rsidR="00A30254" w:rsidRPr="004D388E" w:rsidTr="00CE334A">
        <w:tc>
          <w:tcPr>
            <w:tcW w:w="3960" w:type="dxa"/>
            <w:hideMark/>
          </w:tcPr>
          <w:p w:rsidR="00A30254" w:rsidRPr="00C83DF5" w:rsidRDefault="00A30254" w:rsidP="00CE334A">
            <w:pPr>
              <w:ind w:left="162"/>
              <w:rPr>
                <w:lang w:val="fr-FR"/>
              </w:rPr>
            </w:pPr>
            <w:r w:rsidRPr="00C83DF5">
              <w:rPr>
                <w:rFonts w:cs="Tahoma"/>
                <w:bCs/>
                <w:color w:val="000000"/>
                <w:szCs w:val="18"/>
                <w:lang w:val="fr-FR"/>
              </w:rPr>
              <w:t>System Center Essentials 2010 Plus</w:t>
            </w:r>
          </w:p>
          <w:p w:rsidR="00A30254" w:rsidRPr="00C83DF5" w:rsidRDefault="00A30254" w:rsidP="00CE334A">
            <w:pPr>
              <w:ind w:left="162"/>
              <w:rPr>
                <w:rFonts w:cs="Tahoma"/>
                <w:bCs/>
                <w:color w:val="000000"/>
                <w:szCs w:val="18"/>
                <w:lang w:val="fr-FR"/>
              </w:rPr>
            </w:pPr>
            <w:r w:rsidRPr="00C83DF5">
              <w:rPr>
                <w:rFonts w:cs="Tahoma"/>
                <w:bCs/>
                <w:color w:val="000000"/>
                <w:szCs w:val="18"/>
                <w:lang w:val="fr-FR"/>
              </w:rPr>
              <w:t>Server-Management-Lizenz-Suite</w:t>
            </w:r>
          </w:p>
        </w:tc>
        <w:tc>
          <w:tcPr>
            <w:tcW w:w="4593" w:type="dxa"/>
            <w:hideMark/>
          </w:tcPr>
          <w:p w:rsidR="00A30254" w:rsidRPr="00C83DF5" w:rsidRDefault="00A30254" w:rsidP="00CE334A">
            <w:pPr>
              <w:ind w:left="162"/>
              <w:rPr>
                <w:rFonts w:cs="Tahoma"/>
                <w:bCs/>
                <w:color w:val="000000"/>
                <w:szCs w:val="18"/>
                <w:lang w:val="de-DE"/>
              </w:rPr>
            </w:pPr>
            <w:r w:rsidRPr="00C83DF5">
              <w:rPr>
                <w:rFonts w:cs="Tahoma"/>
                <w:bCs/>
                <w:color w:val="000000"/>
                <w:szCs w:val="18"/>
                <w:lang w:val="de-DE"/>
              </w:rPr>
              <w:t>eine Server Management-Lizenz für System Center 2012 Standard für alle zwei** qualifizierenden Lizenzen</w:t>
            </w:r>
          </w:p>
        </w:tc>
      </w:tr>
      <w:tr w:rsidR="00A30254" w:rsidRPr="004D388E" w:rsidTr="00CE334A">
        <w:tc>
          <w:tcPr>
            <w:tcW w:w="3960" w:type="dxa"/>
            <w:hideMark/>
          </w:tcPr>
          <w:p w:rsidR="00A30254" w:rsidRPr="00C83DF5" w:rsidRDefault="00A30254" w:rsidP="00CE334A">
            <w:pPr>
              <w:ind w:left="162"/>
              <w:rPr>
                <w:rFonts w:cs="Tahoma"/>
                <w:bCs/>
                <w:color w:val="000000"/>
                <w:szCs w:val="18"/>
                <w:lang w:val="de-DE"/>
              </w:rPr>
            </w:pPr>
            <w:r w:rsidRPr="00C83DF5">
              <w:rPr>
                <w:rFonts w:cs="Tahoma"/>
                <w:bCs/>
                <w:color w:val="000000"/>
                <w:szCs w:val="18"/>
                <w:lang w:val="de-DE"/>
              </w:rPr>
              <w:t>Client-Management-Lizenz für System Center Essentials 2010</w:t>
            </w:r>
          </w:p>
        </w:tc>
        <w:tc>
          <w:tcPr>
            <w:tcW w:w="4593" w:type="dxa"/>
            <w:hideMark/>
          </w:tcPr>
          <w:p w:rsidR="00A30254" w:rsidRPr="00C83DF5" w:rsidRDefault="00A30254" w:rsidP="007A6155">
            <w:pPr>
              <w:ind w:left="162"/>
              <w:rPr>
                <w:rFonts w:cs="Tahoma"/>
                <w:bCs/>
                <w:color w:val="000000"/>
                <w:szCs w:val="18"/>
                <w:lang w:val="de-DE"/>
              </w:rPr>
            </w:pPr>
            <w:r w:rsidRPr="00C83DF5">
              <w:rPr>
                <w:rFonts w:cs="Tahoma"/>
                <w:bCs/>
                <w:color w:val="000000"/>
                <w:szCs w:val="18"/>
                <w:lang w:val="de-DE"/>
              </w:rPr>
              <w:t>eine Client-Management-Lizenz für System Center</w:t>
            </w:r>
            <w:r w:rsidR="007A6155">
              <w:rPr>
                <w:rFonts w:cs="Tahoma"/>
                <w:bCs/>
                <w:color w:val="000000"/>
                <w:szCs w:val="18"/>
                <w:lang w:val="de-DE"/>
              </w:rPr>
              <w:t> </w:t>
            </w:r>
            <w:r w:rsidRPr="00C83DF5">
              <w:rPr>
                <w:rFonts w:cs="Tahoma"/>
                <w:bCs/>
                <w:color w:val="000000"/>
                <w:szCs w:val="18"/>
                <w:lang w:val="de-DE"/>
              </w:rPr>
              <w:t>2012 Configuration Manager für jede qualifizierende Lizenz</w:t>
            </w:r>
          </w:p>
        </w:tc>
      </w:tr>
      <w:tr w:rsidR="00A30254" w:rsidRPr="004D388E" w:rsidTr="00CE334A">
        <w:tc>
          <w:tcPr>
            <w:tcW w:w="3960" w:type="dxa"/>
            <w:hideMark/>
          </w:tcPr>
          <w:p w:rsidR="00A30254" w:rsidRPr="00C83DF5" w:rsidRDefault="00A30254" w:rsidP="00CE334A">
            <w:pPr>
              <w:ind w:left="162"/>
              <w:rPr>
                <w:rFonts w:cs="Tahoma"/>
                <w:bCs/>
                <w:color w:val="000000"/>
                <w:szCs w:val="18"/>
              </w:rPr>
            </w:pPr>
            <w:r w:rsidRPr="00C83DF5">
              <w:rPr>
                <w:rFonts w:cs="Tahoma"/>
                <w:bCs/>
                <w:color w:val="000000"/>
                <w:szCs w:val="18"/>
              </w:rPr>
              <w:t>Client-Management-Lizenz für System Center Essentials 2010 Plus</w:t>
            </w:r>
          </w:p>
        </w:tc>
        <w:tc>
          <w:tcPr>
            <w:tcW w:w="4593" w:type="dxa"/>
            <w:hideMark/>
          </w:tcPr>
          <w:p w:rsidR="00A30254" w:rsidRPr="00C83DF5" w:rsidRDefault="00A30254" w:rsidP="007A6155">
            <w:pPr>
              <w:ind w:left="162"/>
              <w:rPr>
                <w:rFonts w:cs="Tahoma"/>
                <w:bCs/>
                <w:color w:val="000000"/>
                <w:szCs w:val="18"/>
                <w:lang w:val="de-DE"/>
              </w:rPr>
            </w:pPr>
            <w:r w:rsidRPr="00C83DF5">
              <w:rPr>
                <w:rFonts w:cs="Tahoma"/>
                <w:bCs/>
                <w:color w:val="000000"/>
                <w:szCs w:val="18"/>
                <w:lang w:val="de-DE"/>
              </w:rPr>
              <w:t>eine Client-Management-Lizenz für System Center</w:t>
            </w:r>
            <w:r w:rsidR="007A6155">
              <w:rPr>
                <w:rFonts w:cs="Tahoma"/>
                <w:bCs/>
                <w:color w:val="000000"/>
                <w:szCs w:val="18"/>
                <w:lang w:val="de-DE"/>
              </w:rPr>
              <w:t> </w:t>
            </w:r>
            <w:r w:rsidRPr="00C83DF5">
              <w:rPr>
                <w:rFonts w:cs="Tahoma"/>
                <w:bCs/>
                <w:color w:val="000000"/>
                <w:szCs w:val="18"/>
                <w:lang w:val="de-DE"/>
              </w:rPr>
              <w:t>2012 Configuration Manager für jede qualifizierende Lizenz</w:t>
            </w:r>
          </w:p>
        </w:tc>
      </w:tr>
      <w:tr w:rsidR="00A30254" w:rsidRPr="004D388E" w:rsidTr="00CE334A">
        <w:tc>
          <w:tcPr>
            <w:tcW w:w="3960" w:type="dxa"/>
            <w:hideMark/>
          </w:tcPr>
          <w:p w:rsidR="00A30254" w:rsidRPr="00C83DF5" w:rsidRDefault="00A30254" w:rsidP="00CE334A">
            <w:pPr>
              <w:ind w:left="162"/>
              <w:rPr>
                <w:rFonts w:cs="Tahoma"/>
                <w:bCs/>
                <w:color w:val="000000"/>
                <w:szCs w:val="18"/>
              </w:rPr>
            </w:pPr>
            <w:r w:rsidRPr="00C83DF5">
              <w:rPr>
                <w:rFonts w:cs="Tahoma"/>
                <w:bCs/>
                <w:color w:val="000000"/>
                <w:szCs w:val="18"/>
              </w:rPr>
              <w:t>Serverlizenz für Virtual Machine Manager Workgroup Edition</w:t>
            </w:r>
          </w:p>
        </w:tc>
        <w:tc>
          <w:tcPr>
            <w:tcW w:w="4593" w:type="dxa"/>
            <w:hideMark/>
          </w:tcPr>
          <w:p w:rsidR="00A30254" w:rsidRPr="00C83DF5" w:rsidRDefault="00A30254" w:rsidP="007A6155">
            <w:pPr>
              <w:ind w:left="162"/>
              <w:rPr>
                <w:rFonts w:cs="Tahoma"/>
                <w:bCs/>
                <w:color w:val="000000"/>
                <w:szCs w:val="18"/>
                <w:lang w:val="de-DE"/>
              </w:rPr>
            </w:pPr>
            <w:r w:rsidRPr="00C83DF5">
              <w:rPr>
                <w:rFonts w:cs="Tahoma"/>
                <w:bCs/>
                <w:color w:val="000000"/>
                <w:szCs w:val="18"/>
                <w:lang w:val="de-DE"/>
              </w:rPr>
              <w:t>eine Server Management-Lizenz für System Center</w:t>
            </w:r>
            <w:r w:rsidR="007A6155">
              <w:rPr>
                <w:rFonts w:cs="Tahoma"/>
                <w:bCs/>
                <w:color w:val="000000"/>
                <w:szCs w:val="18"/>
                <w:lang w:val="de-DE"/>
              </w:rPr>
              <w:t> </w:t>
            </w:r>
            <w:r w:rsidRPr="00C83DF5">
              <w:rPr>
                <w:rFonts w:cs="Tahoma"/>
                <w:bCs/>
                <w:color w:val="000000"/>
                <w:szCs w:val="18"/>
                <w:lang w:val="de-DE"/>
              </w:rPr>
              <w:t>2012 Standard für alle zwei** qualifizierenden Lizenzen</w:t>
            </w:r>
          </w:p>
        </w:tc>
      </w:tr>
    </w:tbl>
    <w:p w:rsidR="00A30254" w:rsidRPr="00C83DF5" w:rsidRDefault="00A30254" w:rsidP="00A30254">
      <w:pPr>
        <w:pStyle w:val="EndnoteText"/>
        <w:rPr>
          <w:lang w:val="de-DE"/>
        </w:rPr>
      </w:pPr>
      <w:r w:rsidRPr="00C83DF5">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E71F46" w:rsidRPr="00C83DF5">
        <w:rPr>
          <w:rFonts w:ascii="Tahoma" w:hAnsi="Tahoma" w:cs="Tahoma"/>
          <w:i/>
          <w:sz w:val="16"/>
          <w:szCs w:val="16"/>
          <w:lang w:val="de-DE"/>
        </w:rPr>
        <w:t xml:space="preserve"> </w:t>
      </w:r>
      <w:r w:rsidRPr="00C83DF5">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p>
    <w:p w:rsidR="00A30254" w:rsidRPr="00DF3F89" w:rsidRDefault="00A30254" w:rsidP="00A30254">
      <w:pPr>
        <w:pStyle w:val="EndnoteText"/>
        <w:rPr>
          <w:rFonts w:ascii="Tahoma" w:hAnsi="Tahoma" w:cs="Tahoma"/>
          <w:i/>
          <w:sz w:val="16"/>
          <w:szCs w:val="16"/>
          <w:lang w:val="de-DE"/>
        </w:rPr>
      </w:pPr>
    </w:p>
    <w:p w:rsidR="00A30254" w:rsidRPr="00C83DF5" w:rsidRDefault="00A30254" w:rsidP="00A30254">
      <w:pPr>
        <w:pStyle w:val="EndnoteText"/>
        <w:rPr>
          <w:lang w:val="de-DE"/>
        </w:rPr>
      </w:pPr>
      <w:r w:rsidRPr="00C83DF5">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E71F46" w:rsidRPr="00C83DF5">
        <w:rPr>
          <w:rFonts w:ascii="Tahoma" w:hAnsi="Tahoma" w:cs="Tahoma"/>
          <w:i/>
          <w:sz w:val="16"/>
          <w:szCs w:val="16"/>
          <w:lang w:val="de-DE"/>
        </w:rPr>
        <w:t xml:space="preserve"> </w:t>
      </w:r>
      <w:r w:rsidRPr="00C83DF5">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p>
    <w:p w:rsidR="00A30254" w:rsidRPr="00C83DF5" w:rsidRDefault="00A30254" w:rsidP="00CE334A">
      <w:pPr>
        <w:spacing w:line="276" w:lineRule="auto"/>
        <w:rPr>
          <w:lang w:val="de-DE"/>
        </w:rPr>
      </w:pPr>
    </w:p>
    <w:p w:rsidR="00A30254" w:rsidRPr="00C83DF5" w:rsidRDefault="00A30254" w:rsidP="00CE334A">
      <w:pPr>
        <w:pStyle w:val="EndnoteText"/>
        <w:ind w:left="720"/>
        <w:rPr>
          <w:lang w:val="de-DE"/>
        </w:rPr>
      </w:pPr>
      <w:r w:rsidRPr="00C83DF5">
        <w:rPr>
          <w:rFonts w:ascii="Tahoma" w:hAnsi="Tahoma" w:cs="Tahoma"/>
          <w:sz w:val="18"/>
          <w:szCs w:val="18"/>
          <w:lang w:val="de-DE"/>
        </w:rPr>
        <w:t xml:space="preserve">Alle im Rahmen dieses Angebots gewährten Lizenzen umfassen Software Assurance. Diese gilt bis zum Ablauf von Software Assurance für die qualifizierenden SCE-Lizenzen. Danach können die Kunden Software Assurance für die System Center 2012-Lizenz verlängern. </w:t>
      </w:r>
    </w:p>
    <w:p w:rsidR="00A30254" w:rsidRPr="00C83DF5" w:rsidRDefault="00A30254" w:rsidP="00CE334A">
      <w:pPr>
        <w:spacing w:line="276" w:lineRule="auto"/>
        <w:rPr>
          <w:lang w:val="de-DE"/>
        </w:rPr>
      </w:pPr>
    </w:p>
    <w:p w:rsidR="00A30254" w:rsidRPr="00C83DF5" w:rsidRDefault="00A30254" w:rsidP="002538F2">
      <w:pPr>
        <w:pStyle w:val="EndnoteText"/>
        <w:ind w:left="720"/>
        <w:rPr>
          <w:lang w:val="de-DE"/>
        </w:rPr>
      </w:pPr>
      <w:r w:rsidRPr="00C83DF5">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w:t>
      </w:r>
      <w:r w:rsidR="002538F2">
        <w:rPr>
          <w:rFonts w:ascii="Tahoma" w:hAnsi="Tahoma" w:cs="Tahoma"/>
          <w:sz w:val="18"/>
          <w:szCs w:val="18"/>
          <w:lang w:val="de-DE"/>
        </w:rPr>
        <w:t> </w:t>
      </w:r>
      <w:r w:rsidRPr="00C83DF5">
        <w:rPr>
          <w:rFonts w:ascii="Tahoma" w:hAnsi="Tahoma" w:cs="Tahoma"/>
          <w:sz w:val="18"/>
          <w:szCs w:val="18"/>
          <w:lang w:val="de-DE"/>
        </w:rPr>
        <w:t>Rahmen dieses Angebots gewährte Lizenzen dürfen nicht getrennt von den zugehörigen qualifizierenden SCE-Lizenzen übertragen werden.</w:t>
      </w:r>
    </w:p>
    <w:p w:rsidR="00A30254" w:rsidRPr="00C83DF5" w:rsidRDefault="00A30254" w:rsidP="00CE334A">
      <w:pPr>
        <w:pStyle w:val="EndnoteText"/>
        <w:ind w:left="720"/>
        <w:rPr>
          <w:lang w:val="de-DE"/>
        </w:rPr>
      </w:pPr>
    </w:p>
    <w:p w:rsidR="00A30254" w:rsidRPr="00C83DF5" w:rsidRDefault="00A30254" w:rsidP="00CE334A">
      <w:pPr>
        <w:ind w:left="720"/>
        <w:rPr>
          <w:lang w:val="de-DE"/>
        </w:rPr>
      </w:pPr>
      <w:r w:rsidRPr="00C83DF5">
        <w:rPr>
          <w:lang w:val="de-DE"/>
        </w:rPr>
        <w:t xml:space="preserve">Auch nach dem 1. März 2013 erworbene </w:t>
      </w:r>
      <w:r w:rsidRPr="00C83DF5">
        <w:rPr>
          <w:rFonts w:eastAsia="Calibri" w:cs="Tahoma"/>
          <w:color w:val="000000"/>
          <w:szCs w:val="18"/>
          <w:lang w:val="de-DE"/>
        </w:rPr>
        <w:t>SCE</w:t>
      </w:r>
      <w:r w:rsidRPr="00C83DF5">
        <w:rPr>
          <w:rFonts w:cs="Tahoma"/>
          <w:bCs/>
          <w:szCs w:val="18"/>
          <w:lang w:val="de-DE"/>
        </w:rPr>
        <w:t xml:space="preserve"> -Lizenzen, die im Rahmen des jährlichen True Up-Prozesses für Konzernbeitritte oder Beitritte für Bildungslösungen, bei dem Lizenzen für </w:t>
      </w:r>
      <w:r w:rsidRPr="00C83DF5">
        <w:rPr>
          <w:rFonts w:eastAsia="Calibri" w:cs="Tahoma"/>
          <w:color w:val="000000"/>
          <w:szCs w:val="18"/>
          <w:lang w:val="de-DE"/>
        </w:rPr>
        <w:t>SCE</w:t>
      </w:r>
      <w:r w:rsidRPr="00C83DF5">
        <w:rPr>
          <w:rFonts w:cs="Tahoma"/>
          <w:bCs/>
          <w:szCs w:val="18"/>
          <w:lang w:val="de-DE"/>
        </w:rPr>
        <w:t xml:space="preserve"> vor dem 1. März 2013 erworben wurden, sind im Sinne dieses Angebots ebenfalls qualifizierende SCE-Lizenzen.</w:t>
      </w:r>
    </w:p>
    <w:p w:rsidR="00A30254" w:rsidRDefault="00A30254" w:rsidP="00CE334A">
      <w:pPr>
        <w:ind w:left="720"/>
        <w:rPr>
          <w:lang w:val="de-DE"/>
        </w:rPr>
      </w:pPr>
    </w:p>
    <w:p w:rsidR="002538F2" w:rsidRPr="00C83DF5" w:rsidRDefault="002538F2" w:rsidP="00CE334A">
      <w:pPr>
        <w:ind w:left="720"/>
        <w:rPr>
          <w:lang w:val="de-DE"/>
        </w:rPr>
      </w:pPr>
    </w:p>
    <w:p w:rsidR="00A30254" w:rsidRPr="00C83DF5" w:rsidRDefault="00A30254" w:rsidP="002538F2">
      <w:pPr>
        <w:ind w:left="720"/>
        <w:rPr>
          <w:lang w:val="de-DE"/>
        </w:rPr>
      </w:pPr>
      <w:r w:rsidRPr="00C83DF5">
        <w:rPr>
          <w:rFonts w:cs="Tahoma"/>
          <w:bCs/>
          <w:szCs w:val="18"/>
          <w:lang w:val="de-DE"/>
        </w:rPr>
        <w:lastRenderedPageBreak/>
        <w:t>Für den Beitritt für Bildungslösungen, Konzern-Abonnement-Verträge, Campus- und School-Verträge und</w:t>
      </w:r>
      <w:r w:rsidR="002538F2">
        <w:rPr>
          <w:rFonts w:cs="Tahoma"/>
          <w:bCs/>
          <w:szCs w:val="18"/>
          <w:lang w:val="de-DE"/>
        </w:rPr>
        <w:t> </w:t>
      </w:r>
      <w:r w:rsidRPr="00C83DF5">
        <w:rPr>
          <w:rFonts w:cs="Tahoma"/>
          <w:bCs/>
          <w:szCs w:val="18"/>
          <w:lang w:val="de-DE"/>
        </w:rPr>
        <w:t>Open Value Subscription-Vertragskunden werden vorübergehend bis zum Ende der Lizenz-Beitrittslaufzeit die gleichen Rechte gewährt, sofern die Lizenzen und die Software Assurance während des</w:t>
      </w:r>
      <w:r w:rsidR="002538F2">
        <w:rPr>
          <w:rFonts w:cs="Tahoma"/>
          <w:bCs/>
          <w:szCs w:val="18"/>
          <w:lang w:val="de-DE"/>
        </w:rPr>
        <w:t> </w:t>
      </w:r>
      <w:r w:rsidRPr="00C83DF5">
        <w:rPr>
          <w:rFonts w:cs="Tahoma"/>
          <w:bCs/>
          <w:szCs w:val="18"/>
          <w:lang w:val="de-DE"/>
        </w:rPr>
        <w:t>Gewährungszeitraums gültig sind und der Kunde das Abonnement ununterbrochen aufrechterhält.</w:t>
      </w:r>
      <w:r w:rsidR="00E71F46" w:rsidRPr="00C83DF5">
        <w:rPr>
          <w:rFonts w:cs="Tahoma"/>
          <w:bCs/>
          <w:szCs w:val="18"/>
          <w:lang w:val="de-DE"/>
        </w:rPr>
        <w:t xml:space="preserve"> </w:t>
      </w:r>
      <w:r w:rsidRPr="00C83DF5">
        <w:rPr>
          <w:rFonts w:cs="Tahoma"/>
          <w:bCs/>
          <w:szCs w:val="18"/>
          <w:lang w:val="de-DE"/>
        </w:rPr>
        <w:t>Diese</w:t>
      </w:r>
      <w:r w:rsidR="002538F2">
        <w:rPr>
          <w:rFonts w:cs="Tahoma"/>
          <w:bCs/>
          <w:szCs w:val="18"/>
          <w:lang w:val="de-DE"/>
        </w:rPr>
        <w:t> </w:t>
      </w:r>
      <w:r w:rsidRPr="00C83DF5">
        <w:rPr>
          <w:rFonts w:cs="Tahoma"/>
          <w:bCs/>
          <w:szCs w:val="18"/>
          <w:lang w:val="de-DE"/>
        </w:rPr>
        <w:t>Rechte werden erst nach Ausübung der Buy-Out-Option zeitlich unbeschränkt und unterliegen weiterhin allen Bestimmungen des Lizenzvertrages des Kunden.</w:t>
      </w:r>
    </w:p>
    <w:p w:rsidR="00A30254" w:rsidRPr="00C83DF5" w:rsidRDefault="00A30254" w:rsidP="00602EF4">
      <w:pPr>
        <w:spacing w:after="60"/>
        <w:ind w:left="720"/>
        <w:rPr>
          <w:lang w:val="de-DE"/>
        </w:rPr>
      </w:pPr>
    </w:p>
    <w:p w:rsidR="00CE2BD2" w:rsidRPr="00C83DF5" w:rsidRDefault="00CE2BD2" w:rsidP="006D6A83">
      <w:pPr>
        <w:spacing w:after="60"/>
        <w:ind w:left="720"/>
        <w:rPr>
          <w:lang w:val="de-DE"/>
        </w:rPr>
      </w:pPr>
      <w:r w:rsidRPr="00C83DF5">
        <w:rPr>
          <w:rFonts w:cs="Tahoma"/>
          <w:b/>
          <w:color w:val="000000"/>
          <w:szCs w:val="20"/>
          <w:lang w:val="de-DE"/>
        </w:rPr>
        <w:t>Migrationspfad von System Center Essentials 2007 (SCE 2007) auf System Center Essentials 2010 (SCE 2010)</w:t>
      </w:r>
    </w:p>
    <w:p w:rsidR="00A30254" w:rsidRPr="00C83DF5" w:rsidRDefault="00A30254" w:rsidP="00A30254">
      <w:pPr>
        <w:ind w:left="720"/>
        <w:rPr>
          <w:lang w:val="de-DE"/>
        </w:rPr>
      </w:pPr>
      <w:r w:rsidRPr="00C83DF5">
        <w:rPr>
          <w:rFonts w:cs="Tahoma"/>
          <w:color w:val="000000"/>
          <w:szCs w:val="20"/>
          <w:lang w:val="de-DE"/>
        </w:rPr>
        <w:t>Die Bestimmungen, die das Recht der Kunden auf ein Upgrade von SCE 2007 auf SCE 2010 gemäß Software Assurance regeln, finden Sie in der Produktliste vom Februar 2013.</w:t>
      </w:r>
    </w:p>
    <w:p w:rsidR="00CE2BD2" w:rsidRPr="002538F2" w:rsidRDefault="00CE2BD2" w:rsidP="0037081F">
      <w:pPr>
        <w:ind w:left="720"/>
        <w:rPr>
          <w:szCs w:val="18"/>
          <w:lang w:val="de-DE"/>
        </w:rPr>
      </w:pPr>
    </w:p>
    <w:p w:rsidR="00CE2BD2" w:rsidRPr="002538F2" w:rsidRDefault="00CE2BD2" w:rsidP="00CE2BD2">
      <w:pPr>
        <w:ind w:left="720"/>
        <w:rPr>
          <w:szCs w:val="18"/>
          <w:lang w:val="de-DE"/>
        </w:rPr>
      </w:pPr>
    </w:p>
    <w:p w:rsidR="00ED5504" w:rsidRPr="00C83DF5" w:rsidRDefault="00A560B6" w:rsidP="00ED5504">
      <w:pPr>
        <w:pStyle w:val="Heading3"/>
        <w:rPr>
          <w:lang w:val="de-DE"/>
        </w:rPr>
      </w:pPr>
      <w:bookmarkStart w:id="1507" w:name="_80_System_Center"/>
      <w:bookmarkStart w:id="1508" w:name="_95_System_Center"/>
      <w:bookmarkStart w:id="1509" w:name="_81_System_Center"/>
      <w:bookmarkStart w:id="1510" w:name="_82_System_Center"/>
      <w:bookmarkStart w:id="1511" w:name="_83_System_Center"/>
      <w:bookmarkStart w:id="1512" w:name="_84__System"/>
      <w:bookmarkStart w:id="1513" w:name="_87_85_System"/>
      <w:bookmarkStart w:id="1514" w:name="_92_System_Center"/>
      <w:bookmarkStart w:id="1515" w:name="_Toc336338353"/>
      <w:bookmarkStart w:id="1516" w:name="Srv_88SystemCtrReportMgr2006"/>
      <w:bookmarkStart w:id="1517" w:name="Srv_89SysCtrSvrMgmtSuiteEnterprise"/>
      <w:bookmarkStart w:id="1518" w:name="_Toc370983459"/>
      <w:bookmarkEnd w:id="1507"/>
      <w:bookmarkEnd w:id="1508"/>
      <w:bookmarkEnd w:id="1509"/>
      <w:bookmarkEnd w:id="1510"/>
      <w:bookmarkEnd w:id="1511"/>
      <w:bookmarkEnd w:id="1512"/>
      <w:bookmarkEnd w:id="1513"/>
      <w:bookmarkEnd w:id="1514"/>
      <w:r w:rsidRPr="00C83DF5">
        <w:rPr>
          <w:rFonts w:ascii="Tahoma" w:hAnsi="Tahoma"/>
          <w:caps/>
          <w:color w:val="F66400"/>
          <w:sz w:val="22"/>
          <w:vertAlign w:val="superscript"/>
          <w:lang w:val="de-DE"/>
        </w:rPr>
        <w:t>91</w:t>
      </w:r>
      <w:r w:rsidRPr="00C83DF5">
        <w:rPr>
          <w:rFonts w:ascii="Tahoma" w:hAnsi="Tahoma"/>
          <w:color w:val="F66400"/>
          <w:sz w:val="22"/>
          <w:lang w:val="de-DE"/>
        </w:rPr>
        <w:t xml:space="preserve"> System Center Reporting Manager 2006</w:t>
      </w:r>
      <w:bookmarkEnd w:id="1515"/>
      <w:bookmarkEnd w:id="1518"/>
    </w:p>
    <w:bookmarkEnd w:id="1516"/>
    <w:p w:rsidR="00ED5504" w:rsidRPr="00DF3F89" w:rsidRDefault="00ED5504" w:rsidP="00D511CC">
      <w:pPr>
        <w:pStyle w:val="EndnoteText"/>
        <w:ind w:left="0"/>
        <w:rPr>
          <w:rFonts w:ascii="Tahoma" w:hAnsi="Tahoma" w:cs="Tahoma"/>
          <w:sz w:val="18"/>
          <w:lang w:val="de-DE"/>
        </w:rPr>
      </w:pPr>
    </w:p>
    <w:p w:rsidR="00ED5504" w:rsidRPr="00C83DF5" w:rsidRDefault="00ED5504" w:rsidP="00D511CC">
      <w:pPr>
        <w:pStyle w:val="EndnoteText"/>
        <w:ind w:left="720"/>
        <w:rPr>
          <w:lang w:val="de-DE"/>
        </w:rPr>
      </w:pPr>
      <w:r w:rsidRPr="00C83DF5">
        <w:rPr>
          <w:rFonts w:ascii="Tahoma" w:hAnsi="Tahoma" w:cs="Tahoma"/>
          <w:sz w:val="18"/>
          <w:lang w:val="de-DE"/>
        </w:rPr>
        <w:t>Dieses Produkt hat den Status End-Of-Life (EOL) und wird nicht mehr angeboten.</w:t>
      </w:r>
    </w:p>
    <w:p w:rsidR="00ED5504" w:rsidRPr="00DF3F89" w:rsidRDefault="00ED5504" w:rsidP="00D511CC">
      <w:pPr>
        <w:pStyle w:val="EndnoteText"/>
        <w:ind w:left="720"/>
        <w:rPr>
          <w:rFonts w:ascii="Tahoma" w:hAnsi="Tahoma" w:cs="Tahoma"/>
          <w:sz w:val="18"/>
          <w:lang w:val="de-DE"/>
        </w:rPr>
      </w:pPr>
    </w:p>
    <w:p w:rsidR="00ED5504" w:rsidRPr="00C83DF5" w:rsidRDefault="00ED5504" w:rsidP="002538F2">
      <w:pPr>
        <w:pStyle w:val="EndnoteText"/>
        <w:spacing w:after="60"/>
        <w:ind w:left="720"/>
        <w:rPr>
          <w:lang w:val="de-DE"/>
        </w:rPr>
      </w:pPr>
      <w:r w:rsidRPr="00C83DF5">
        <w:rPr>
          <w:rFonts w:ascii="Tahoma" w:hAnsi="Tahoma" w:cs="Tahoma"/>
          <w:b/>
          <w:sz w:val="18"/>
          <w:lang w:val="de-DE"/>
        </w:rPr>
        <w:t>Einmalige Lizenzgewährung für Inhaber von Lizenzen für System Center Reporting Manager</w:t>
      </w:r>
      <w:r w:rsidR="002538F2">
        <w:rPr>
          <w:rFonts w:ascii="Tahoma" w:hAnsi="Tahoma" w:cs="Tahoma"/>
          <w:b/>
          <w:sz w:val="18"/>
          <w:lang w:val="de-DE"/>
        </w:rPr>
        <w:t> </w:t>
      </w:r>
      <w:r w:rsidRPr="00C83DF5">
        <w:rPr>
          <w:rFonts w:ascii="Tahoma" w:hAnsi="Tahoma" w:cs="Tahoma"/>
          <w:b/>
          <w:sz w:val="18"/>
          <w:lang w:val="de-DE"/>
        </w:rPr>
        <w:t>2006</w:t>
      </w:r>
    </w:p>
    <w:p w:rsidR="00ED5504" w:rsidRPr="00C83DF5" w:rsidRDefault="00ED5504" w:rsidP="00D511CC">
      <w:pPr>
        <w:pStyle w:val="EndnoteText"/>
        <w:ind w:left="720"/>
        <w:rPr>
          <w:lang w:val="de-DE"/>
        </w:rPr>
      </w:pPr>
      <w:r w:rsidRPr="00C83DF5">
        <w:rPr>
          <w:rFonts w:ascii="Tahoma" w:hAnsi="Tahoma" w:cs="Tahoma"/>
          <w:sz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C83DF5">
        <w:rPr>
          <w:rFonts w:ascii="Tahoma" w:hAnsi="Tahoma" w:cs="Tahoma"/>
          <w:color w:val="000000"/>
          <w:sz w:val="18"/>
          <w:szCs w:val="20"/>
          <w:lang w:val="de-DE"/>
        </w:rPr>
        <w:t>:</w:t>
      </w:r>
    </w:p>
    <w:p w:rsidR="00ED5504" w:rsidRPr="00DF3F89" w:rsidRDefault="00ED5504" w:rsidP="00D511CC">
      <w:pPr>
        <w:pStyle w:val="EndnoteText"/>
        <w:rPr>
          <w:rFonts w:ascii="Tahoma" w:hAnsi="Tahoma" w:cs="Tahoma"/>
          <w:sz w:val="18"/>
          <w:lang w:val="de-DE"/>
        </w:rPr>
      </w:pPr>
    </w:p>
    <w:p w:rsidR="00ED5504" w:rsidRPr="00C83DF5" w:rsidRDefault="00ED5504" w:rsidP="00D511CC">
      <w:pPr>
        <w:pStyle w:val="EndnoteText"/>
        <w:numPr>
          <w:ilvl w:val="0"/>
          <w:numId w:val="7"/>
        </w:numPr>
        <w:tabs>
          <w:tab w:val="left" w:pos="1440"/>
        </w:tabs>
        <w:spacing w:after="60"/>
        <w:ind w:left="1440"/>
        <w:rPr>
          <w:lang w:val="de-DE"/>
        </w:rPr>
      </w:pPr>
      <w:r w:rsidRPr="00C83DF5">
        <w:rPr>
          <w:rFonts w:ascii="Tahoma" w:hAnsi="Tahoma" w:cs="Tahoma"/>
          <w:sz w:val="18"/>
          <w:lang w:val="de-DE"/>
        </w:rPr>
        <w:t>Eine Lizenz für System Center Service Manager 2010 Management Server (ohne SQL-Technologie)</w:t>
      </w:r>
    </w:p>
    <w:p w:rsidR="00ED5504" w:rsidRPr="00C83DF5" w:rsidRDefault="00ED5504" w:rsidP="00D511CC">
      <w:pPr>
        <w:pStyle w:val="EndnoteText"/>
        <w:numPr>
          <w:ilvl w:val="0"/>
          <w:numId w:val="7"/>
        </w:numPr>
        <w:spacing w:after="60"/>
        <w:ind w:left="1440"/>
        <w:rPr>
          <w:lang w:val="de-DE"/>
        </w:rPr>
      </w:pPr>
      <w:r w:rsidRPr="00C83DF5">
        <w:rPr>
          <w:rFonts w:ascii="Tahoma" w:hAnsi="Tahoma" w:cs="Tahoma"/>
          <w:sz w:val="18"/>
          <w:lang w:val="de-DE"/>
        </w:rPr>
        <w:t>Fünf Server-Management-Lizenzen für System Center Service Manager 2010</w:t>
      </w:r>
    </w:p>
    <w:p w:rsidR="00ED5504" w:rsidRPr="00C83DF5" w:rsidRDefault="00ED5504" w:rsidP="00D511CC">
      <w:pPr>
        <w:pStyle w:val="EndnoteText"/>
        <w:numPr>
          <w:ilvl w:val="0"/>
          <w:numId w:val="7"/>
        </w:numPr>
        <w:spacing w:after="60"/>
        <w:ind w:left="1440"/>
        <w:rPr>
          <w:lang w:val="de-DE"/>
        </w:rPr>
      </w:pPr>
      <w:r w:rsidRPr="00C83DF5">
        <w:rPr>
          <w:rFonts w:ascii="Tahoma" w:hAnsi="Tahoma" w:cs="Tahoma"/>
          <w:sz w:val="18"/>
          <w:lang w:val="de-DE"/>
        </w:rPr>
        <w:t>Dreißig Client-Management-Lizenzen für System Center Service Manager 2010</w:t>
      </w:r>
    </w:p>
    <w:p w:rsidR="00ED5504" w:rsidRPr="00DF3F89" w:rsidRDefault="00ED5504" w:rsidP="00096BD3">
      <w:pPr>
        <w:pStyle w:val="EndnoteText"/>
        <w:rPr>
          <w:rFonts w:ascii="Tahoma" w:hAnsi="Tahoma" w:cs="Tahoma"/>
          <w:sz w:val="18"/>
          <w:lang w:val="de-DE"/>
        </w:rPr>
      </w:pPr>
    </w:p>
    <w:p w:rsidR="00ED5504" w:rsidRPr="00C83DF5" w:rsidRDefault="00ED5504" w:rsidP="00D511CC">
      <w:pPr>
        <w:pStyle w:val="EndnoteText"/>
        <w:ind w:left="720"/>
        <w:rPr>
          <w:lang w:val="de-DE"/>
        </w:rPr>
      </w:pPr>
      <w:r w:rsidRPr="00C83DF5">
        <w:rPr>
          <w:rFonts w:ascii="Tahoma" w:hAnsi="Tahoma" w:cs="Tahoma"/>
          <w:sz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rsidR="00ED5504" w:rsidRPr="00DF3F89" w:rsidRDefault="00ED5504" w:rsidP="00096BD3">
      <w:pPr>
        <w:pStyle w:val="EndnoteText"/>
        <w:rPr>
          <w:rFonts w:ascii="Tahoma" w:hAnsi="Tahoma" w:cs="Tahoma"/>
          <w:sz w:val="18"/>
          <w:lang w:val="de-DE"/>
        </w:rPr>
      </w:pPr>
    </w:p>
    <w:p w:rsidR="00ED5504" w:rsidRPr="00C83DF5" w:rsidRDefault="00ED5504" w:rsidP="00096BD3">
      <w:pPr>
        <w:pStyle w:val="EndnoteText"/>
        <w:ind w:left="720"/>
        <w:rPr>
          <w:lang w:val="de-DE"/>
        </w:rPr>
      </w:pPr>
      <w:r w:rsidRPr="00C83DF5">
        <w:rPr>
          <w:rFonts w:ascii="Tahoma" w:hAnsi="Tahoma" w:cs="Tahoma"/>
          <w:sz w:val="18"/>
          <w:lang w:val="de-DE"/>
        </w:rPr>
        <w:t>Die Nutzung der laut diesem Angebot gewährten Software unterliegt den Bestimmungen des Lizenzvertrages des Kunden sowie den Produktbenutzungsrechten der Software. Das Recht zur Nutzung der</w:t>
      </w:r>
      <w:r w:rsidR="00096BD3">
        <w:rPr>
          <w:rFonts w:ascii="Tahoma" w:hAnsi="Tahoma" w:cs="Tahoma"/>
          <w:sz w:val="18"/>
          <w:lang w:val="de-DE"/>
        </w:rPr>
        <w:t> </w:t>
      </w:r>
      <w:r w:rsidRPr="00C83DF5">
        <w:rPr>
          <w:rFonts w:ascii="Tahoma" w:hAnsi="Tahoma" w:cs="Tahoma"/>
          <w:sz w:val="18"/>
          <w:lang w:val="de-DE"/>
        </w:rPr>
        <w:t>gewährten Software gilt bis zum Ablauf des Rechts zur Nutzung der qualifizierenden Lizenz für System Center Reporting Manager 2006. Im Rahmen dieses Angebots gewährte Lizenzen dürfen nicht getrennt von</w:t>
      </w:r>
      <w:r w:rsidR="00096BD3">
        <w:rPr>
          <w:rFonts w:ascii="Tahoma" w:hAnsi="Tahoma" w:cs="Tahoma"/>
          <w:sz w:val="18"/>
          <w:lang w:val="de-DE"/>
        </w:rPr>
        <w:t> </w:t>
      </w:r>
      <w:r w:rsidRPr="00C83DF5">
        <w:rPr>
          <w:rFonts w:ascii="Tahoma" w:hAnsi="Tahoma" w:cs="Tahoma"/>
          <w:sz w:val="18"/>
          <w:lang w:val="de-DE"/>
        </w:rPr>
        <w:t>den zugehörigen qualifizierenden Lizenzen übertragen werden.</w:t>
      </w:r>
    </w:p>
    <w:p w:rsidR="00ED5504" w:rsidRPr="0056541A" w:rsidRDefault="00ED5504" w:rsidP="00096BD3">
      <w:pPr>
        <w:pStyle w:val="EndnoteText"/>
        <w:rPr>
          <w:rFonts w:ascii="Tahoma" w:hAnsi="Tahoma" w:cs="Tahoma"/>
          <w:sz w:val="18"/>
          <w:lang w:val="de-DE"/>
        </w:rPr>
      </w:pPr>
    </w:p>
    <w:p w:rsidR="00ED5504" w:rsidRPr="00C83DF5" w:rsidRDefault="00ED5504" w:rsidP="00D511CC">
      <w:pPr>
        <w:ind w:left="720"/>
        <w:rPr>
          <w:lang w:val="de-DE"/>
        </w:rPr>
      </w:pPr>
      <w:r w:rsidRPr="00C83DF5">
        <w:rPr>
          <w:rFonts w:eastAsia="Calibri" w:cs="Tahoma"/>
          <w:color w:val="000000"/>
          <w:szCs w:val="18"/>
          <w:lang w:val="de-DE"/>
        </w:rPr>
        <w:t>System Center Reporting Manager 2006-</w:t>
      </w:r>
      <w:r w:rsidRPr="00C83DF5">
        <w:rPr>
          <w:rFonts w:cs="Tahoma"/>
          <w:bCs/>
          <w:szCs w:val="18"/>
          <w:lang w:val="de-DE"/>
        </w:rPr>
        <w:t xml:space="preserve"> Lizenzen, die nach dem 31.</w:t>
      </w:r>
      <w:r w:rsidR="00E71F46" w:rsidRPr="00C83DF5">
        <w:rPr>
          <w:rFonts w:cs="Tahoma"/>
          <w:bCs/>
          <w:szCs w:val="18"/>
          <w:lang w:val="de-DE"/>
        </w:rPr>
        <w:t xml:space="preserve"> </w:t>
      </w:r>
      <w:r w:rsidRPr="00C83DF5">
        <w:rPr>
          <w:rFonts w:cs="Tahoma"/>
          <w:bCs/>
          <w:szCs w:val="18"/>
          <w:lang w:val="de-DE"/>
        </w:rPr>
        <w:t xml:space="preserve">Mai 2010 im Rahmen des jährlichen True Up-Prozesses für Konzernbeitritte erworben wurden, bei dem Lizenzen für </w:t>
      </w:r>
      <w:r w:rsidRPr="00C83DF5">
        <w:rPr>
          <w:rFonts w:eastAsia="Calibri" w:cs="Tahoma"/>
          <w:color w:val="000000"/>
          <w:szCs w:val="18"/>
          <w:lang w:val="de-DE"/>
        </w:rPr>
        <w:t>System Center Reporting Manager 2006</w:t>
      </w:r>
      <w:r w:rsidRPr="00C83DF5">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rsidR="00ED5504" w:rsidRPr="00DF3F89" w:rsidRDefault="00ED5504" w:rsidP="00096BD3">
      <w:pPr>
        <w:pStyle w:val="EndnoteText"/>
        <w:rPr>
          <w:rFonts w:ascii="Tahoma" w:hAnsi="Tahoma" w:cs="Tahoma"/>
          <w:sz w:val="18"/>
          <w:lang w:val="de-DE"/>
        </w:rPr>
      </w:pPr>
    </w:p>
    <w:p w:rsidR="00ED5504" w:rsidRPr="00C83DF5" w:rsidRDefault="00ED5504" w:rsidP="00D511CC">
      <w:pPr>
        <w:pStyle w:val="EndnoteText"/>
        <w:ind w:left="720"/>
        <w:rPr>
          <w:lang w:val="de-DE"/>
        </w:rPr>
      </w:pPr>
      <w:r w:rsidRPr="00C83DF5">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E71F46" w:rsidRPr="00C83DF5">
        <w:rPr>
          <w:rFonts w:ascii="Tahoma" w:hAnsi="Tahoma" w:cs="Tahoma"/>
          <w:bCs/>
          <w:sz w:val="18"/>
          <w:szCs w:val="18"/>
          <w:lang w:val="de-DE"/>
        </w:rPr>
        <w:t xml:space="preserve"> </w:t>
      </w:r>
      <w:r w:rsidRPr="00C83DF5">
        <w:rPr>
          <w:rFonts w:ascii="Tahoma" w:hAnsi="Tahoma" w:cs="Tahoma"/>
          <w:bCs/>
          <w:sz w:val="18"/>
          <w:szCs w:val="18"/>
          <w:lang w:val="de-DE"/>
        </w:rPr>
        <w:t xml:space="preserve">Diese Rechte werden erst nach Ausübung der </w:t>
      </w:r>
      <w:r w:rsidR="0056541A">
        <w:rPr>
          <w:rFonts w:ascii="Tahoma" w:hAnsi="Tahoma" w:cs="Tahoma"/>
          <w:bCs/>
          <w:sz w:val="18"/>
          <w:szCs w:val="18"/>
          <w:lang w:val="de-DE"/>
        </w:rPr>
        <w:br/>
      </w:r>
      <w:r w:rsidRPr="00C83DF5">
        <w:rPr>
          <w:rFonts w:ascii="Tahoma" w:hAnsi="Tahoma" w:cs="Tahoma"/>
          <w:bCs/>
          <w:sz w:val="18"/>
          <w:szCs w:val="18"/>
          <w:lang w:val="de-DE"/>
        </w:rPr>
        <w:t>Buy-Out-Option zeitlich unbeschränkt und unterliegen weiterhin allen Bestimmungen des Lizenzvertrages des Kunden.</w:t>
      </w:r>
    </w:p>
    <w:p w:rsidR="00023FE7" w:rsidRDefault="00023FE7" w:rsidP="00D511CC">
      <w:pPr>
        <w:pStyle w:val="EndnoteText"/>
        <w:rPr>
          <w:rFonts w:ascii="Tahoma" w:hAnsi="Tahoma" w:cs="Tahoma"/>
          <w:sz w:val="18"/>
          <w:lang w:val="de-DE"/>
        </w:rPr>
      </w:pPr>
    </w:p>
    <w:p w:rsidR="0056541A" w:rsidRDefault="0056541A" w:rsidP="00D511CC">
      <w:pPr>
        <w:pStyle w:val="EndnoteText"/>
        <w:rPr>
          <w:rFonts w:ascii="Tahoma" w:hAnsi="Tahoma" w:cs="Tahoma"/>
          <w:sz w:val="18"/>
          <w:lang w:val="de-DE"/>
        </w:rPr>
      </w:pPr>
    </w:p>
    <w:p w:rsidR="0056541A" w:rsidRDefault="0056541A" w:rsidP="00D511CC">
      <w:pPr>
        <w:pStyle w:val="EndnoteText"/>
        <w:rPr>
          <w:rFonts w:ascii="Tahoma" w:hAnsi="Tahoma" w:cs="Tahoma"/>
          <w:sz w:val="18"/>
          <w:lang w:val="de-DE"/>
        </w:rPr>
      </w:pPr>
    </w:p>
    <w:p w:rsidR="0056541A" w:rsidRDefault="0056541A" w:rsidP="00D511CC">
      <w:pPr>
        <w:pStyle w:val="EndnoteText"/>
        <w:rPr>
          <w:rFonts w:ascii="Tahoma" w:hAnsi="Tahoma" w:cs="Tahoma"/>
          <w:sz w:val="18"/>
          <w:lang w:val="de-DE"/>
        </w:rPr>
      </w:pPr>
    </w:p>
    <w:p w:rsidR="0056541A" w:rsidRPr="0056541A" w:rsidRDefault="0056541A" w:rsidP="00D511CC">
      <w:pPr>
        <w:pStyle w:val="EndnoteText"/>
        <w:rPr>
          <w:rFonts w:ascii="Tahoma" w:hAnsi="Tahoma" w:cs="Tahoma"/>
          <w:sz w:val="18"/>
          <w:lang w:val="de-DE"/>
        </w:rPr>
      </w:pPr>
    </w:p>
    <w:p w:rsidR="00ED5504" w:rsidRPr="0056541A" w:rsidRDefault="00ED5504">
      <w:pPr>
        <w:pStyle w:val="EndnoteText"/>
        <w:rPr>
          <w:rFonts w:ascii="Tahoma" w:hAnsi="Tahoma" w:cs="Tahoma"/>
          <w:sz w:val="18"/>
          <w:lang w:val="de-DE"/>
        </w:rPr>
      </w:pPr>
    </w:p>
    <w:p w:rsidR="00023FE7" w:rsidRPr="00C83DF5" w:rsidRDefault="00A560B6">
      <w:pPr>
        <w:pStyle w:val="Heading3"/>
        <w:rPr>
          <w:lang w:val="de-DE"/>
        </w:rPr>
      </w:pPr>
      <w:bookmarkStart w:id="1519" w:name="Srv_85SysCtrSvrMgmtSuiteEnterprise"/>
      <w:bookmarkStart w:id="1520" w:name="_85_System_Center"/>
      <w:bookmarkStart w:id="1521" w:name="_98_System_Center"/>
      <w:bookmarkStart w:id="1522" w:name="_93_System_Center"/>
      <w:bookmarkStart w:id="1523" w:name="_Toc336338354"/>
      <w:bookmarkStart w:id="1524" w:name="_Toc370983460"/>
      <w:bookmarkEnd w:id="1519"/>
      <w:bookmarkEnd w:id="1520"/>
      <w:bookmarkEnd w:id="1521"/>
      <w:bookmarkEnd w:id="1522"/>
      <w:r w:rsidRPr="00C83DF5">
        <w:rPr>
          <w:rFonts w:ascii="Tahoma" w:hAnsi="Tahoma"/>
          <w:caps/>
          <w:color w:val="F66400"/>
          <w:sz w:val="22"/>
          <w:vertAlign w:val="superscript"/>
          <w:lang w:val="de-DE"/>
        </w:rPr>
        <w:lastRenderedPageBreak/>
        <w:t>92</w:t>
      </w:r>
      <w:r w:rsidRPr="00096BD3">
        <w:rPr>
          <w:rFonts w:ascii="Tahoma" w:hAnsi="Tahoma"/>
          <w:caps/>
          <w:color w:val="F66400"/>
          <w:sz w:val="22"/>
          <w:lang w:val="de-DE"/>
        </w:rPr>
        <w:t xml:space="preserve"> </w:t>
      </w:r>
      <w:r w:rsidRPr="00C83DF5">
        <w:rPr>
          <w:rFonts w:ascii="Tahoma" w:hAnsi="Tahoma"/>
          <w:color w:val="F66400"/>
          <w:sz w:val="22"/>
          <w:lang w:val="de-DE"/>
        </w:rPr>
        <w:t>System Center Server Management Suite Enterprise</w:t>
      </w:r>
      <w:bookmarkEnd w:id="1523"/>
      <w:bookmarkEnd w:id="1524"/>
    </w:p>
    <w:bookmarkEnd w:id="1517"/>
    <w:p w:rsidR="00023FE7" w:rsidRPr="00DF3F89" w:rsidRDefault="00023FE7" w:rsidP="0056541A">
      <w:pPr>
        <w:pStyle w:val="EndnoteText"/>
        <w:rPr>
          <w:rFonts w:ascii="Tahoma" w:hAnsi="Tahoma" w:cs="Tahoma"/>
          <w:sz w:val="18"/>
          <w:lang w:val="de-DE"/>
        </w:rPr>
      </w:pPr>
    </w:p>
    <w:p w:rsidR="00FF4CAB" w:rsidRPr="00C83DF5" w:rsidRDefault="00FF4CAB" w:rsidP="00D511CC">
      <w:pPr>
        <w:pStyle w:val="EndnoteText"/>
        <w:ind w:left="720"/>
        <w:rPr>
          <w:lang w:val="de-DE"/>
        </w:rPr>
      </w:pPr>
      <w:r w:rsidRPr="00C83DF5">
        <w:rPr>
          <w:rFonts w:ascii="Tahoma" w:hAnsi="Tahoma" w:cs="Tahoma"/>
          <w:color w:val="000000"/>
          <w:sz w:val="18"/>
          <w:lang w:val="de-DE"/>
        </w:rPr>
        <w:t>Dieses Produkt hat den Status End-Of-Life (EOL) und wird nicht mehr angeboten.</w:t>
      </w:r>
    </w:p>
    <w:p w:rsidR="00D511CC" w:rsidRPr="00DF3F89" w:rsidRDefault="00D511CC" w:rsidP="0056541A">
      <w:pPr>
        <w:pStyle w:val="EndnoteText"/>
        <w:rPr>
          <w:rFonts w:ascii="Tahoma" w:hAnsi="Tahoma" w:cs="Tahoma"/>
          <w:sz w:val="18"/>
          <w:lang w:val="de-DE"/>
        </w:rPr>
      </w:pPr>
    </w:p>
    <w:p w:rsidR="00FF4CAB" w:rsidRPr="00C83DF5" w:rsidRDefault="00FF4CAB" w:rsidP="00D511CC">
      <w:pPr>
        <w:pStyle w:val="FootnoteBulletLevel1"/>
        <w:tabs>
          <w:tab w:val="clear" w:pos="900"/>
        </w:tabs>
        <w:spacing w:before="0" w:after="60"/>
        <w:ind w:left="720" w:firstLine="0"/>
        <w:rPr>
          <w:lang w:val="de-DE"/>
        </w:rPr>
      </w:pPr>
      <w:r w:rsidRPr="00C83DF5">
        <w:rPr>
          <w:rFonts w:ascii="Tahoma" w:hAnsi="Tahoma" w:cs="Tahoma"/>
          <w:b/>
          <w:sz w:val="18"/>
          <w:lang w:val="de-DE"/>
        </w:rPr>
        <w:t>Details zur einmaligen Gewährung von Übergangslizenzen für System Center 2012</w:t>
      </w:r>
    </w:p>
    <w:p w:rsidR="00FF4CAB" w:rsidRPr="00C83DF5" w:rsidRDefault="00FF4CAB" w:rsidP="00D511CC">
      <w:pPr>
        <w:ind w:left="720"/>
        <w:rPr>
          <w:lang w:val="de-DE"/>
        </w:rPr>
      </w:pPr>
      <w:r w:rsidRPr="00C83DF5">
        <w:rPr>
          <w:lang w:val="de-DE"/>
        </w:rPr>
        <w:t>Weitere Informationen zur Gewährung von Übergangslizenzen finden Sie im Produkthinweis zu System Center 2012-Angeboten.</w:t>
      </w:r>
    </w:p>
    <w:p w:rsidR="00FF4CAB" w:rsidRPr="00C83DF5" w:rsidRDefault="00FF4CAB" w:rsidP="00D511CC">
      <w:pPr>
        <w:ind w:left="720"/>
        <w:rPr>
          <w:lang w:val="de-DE"/>
        </w:rPr>
      </w:pPr>
    </w:p>
    <w:p w:rsidR="00023FE7" w:rsidRPr="00C83DF5" w:rsidRDefault="00023FE7" w:rsidP="00E7470D">
      <w:pPr>
        <w:ind w:left="720"/>
        <w:rPr>
          <w:lang w:val="de-DE"/>
        </w:rPr>
      </w:pPr>
      <w:r w:rsidRPr="00C83DF5">
        <w:rPr>
          <w:rFonts w:cs="Tahoma"/>
          <w:szCs w:val="20"/>
          <w:lang w:val="de-DE"/>
        </w:rPr>
        <w:t xml:space="preserve">System Center Server Management Suite Enterprise hat </w:t>
      </w:r>
      <w:r w:rsidRPr="00C83DF5">
        <w:rPr>
          <w:rFonts w:cs="Tahoma"/>
          <w:color w:val="000000"/>
          <w:szCs w:val="20"/>
          <w:lang w:val="de-DE"/>
        </w:rPr>
        <w:t>keine Versionsnummer, und die Produktbenutzungsrechte hängen vom Status der Software Assurance für System Center Server Management Suite Enterprise ab.</w:t>
      </w:r>
      <w:r w:rsidR="00E71F46" w:rsidRPr="00C83DF5">
        <w:rPr>
          <w:rFonts w:cs="Tahoma"/>
          <w:color w:val="000000"/>
          <w:szCs w:val="20"/>
          <w:lang w:val="de-DE"/>
        </w:rPr>
        <w:t xml:space="preserve"> </w:t>
      </w:r>
      <w:r w:rsidRPr="00C83DF5">
        <w:rPr>
          <w:rFonts w:cs="Tahoma"/>
          <w:color w:val="000000"/>
          <w:szCs w:val="20"/>
          <w:lang w:val="de-DE"/>
        </w:rPr>
        <w:t>Falls Software Assurance unterbrochen wird, hängen die Zugriffsrechte im</w:t>
      </w:r>
      <w:r w:rsidR="00E7470D">
        <w:rPr>
          <w:rFonts w:cs="Tahoma"/>
          <w:color w:val="000000"/>
          <w:szCs w:val="20"/>
          <w:lang w:val="de-DE"/>
        </w:rPr>
        <w:t> </w:t>
      </w:r>
      <w:r w:rsidRPr="00C83DF5">
        <w:rPr>
          <w:rFonts w:cs="Tahoma"/>
          <w:color w:val="000000"/>
          <w:szCs w:val="20"/>
          <w:lang w:val="de-DE"/>
        </w:rPr>
        <w:t>Rahmen zeitlich unbeschränkter Lizenzen von den Produktbenutzungsrechten ab, die vor der Unterbrechung galten.</w:t>
      </w:r>
      <w:r w:rsidR="00E71F46" w:rsidRPr="00C83DF5">
        <w:rPr>
          <w:rFonts w:cs="Tahoma"/>
          <w:color w:val="000000"/>
          <w:szCs w:val="20"/>
          <w:lang w:val="de-DE"/>
        </w:rPr>
        <w:t xml:space="preserve"> </w:t>
      </w:r>
    </w:p>
    <w:p w:rsidR="00E72B93" w:rsidRPr="00C83DF5" w:rsidRDefault="00E72B93" w:rsidP="00D511CC">
      <w:pPr>
        <w:ind w:left="720"/>
        <w:rPr>
          <w:lang w:val="de-DE"/>
        </w:rPr>
      </w:pPr>
    </w:p>
    <w:p w:rsidR="005C164D" w:rsidRPr="00C83DF5" w:rsidRDefault="005C164D" w:rsidP="00D511CC">
      <w:pPr>
        <w:ind w:left="720"/>
        <w:jc w:val="both"/>
        <w:rPr>
          <w:lang w:val="de-DE"/>
        </w:rPr>
      </w:pPr>
      <w:r w:rsidRPr="00C83DF5">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rsidR="00023FE7" w:rsidRPr="00C83DF5" w:rsidRDefault="00023FE7" w:rsidP="00D511CC">
      <w:pPr>
        <w:ind w:left="720"/>
        <w:rPr>
          <w:lang w:val="de-DE"/>
        </w:rPr>
      </w:pPr>
    </w:p>
    <w:p w:rsidR="004323B9" w:rsidRPr="00C83DF5" w:rsidRDefault="00D511CC" w:rsidP="00D511CC">
      <w:pPr>
        <w:spacing w:after="60"/>
        <w:ind w:left="720"/>
        <w:rPr>
          <w:lang w:val="de-DE"/>
        </w:rPr>
      </w:pPr>
      <w:r w:rsidRPr="00C83DF5">
        <w:rPr>
          <w:rFonts w:cs="Tahoma"/>
          <w:b/>
          <w:szCs w:val="20"/>
          <w:lang w:val="de-DE"/>
        </w:rPr>
        <w:t>Lizenzgewährung</w:t>
      </w:r>
    </w:p>
    <w:p w:rsidR="004323B9" w:rsidRPr="00C83DF5" w:rsidRDefault="004323B9" w:rsidP="00D511CC">
      <w:pPr>
        <w:pStyle w:val="FootnoteBulletLevel1"/>
        <w:tabs>
          <w:tab w:val="left" w:pos="900"/>
        </w:tabs>
        <w:spacing w:before="0" w:after="0"/>
        <w:ind w:left="720" w:firstLine="0"/>
        <w:rPr>
          <w:lang w:val="de-DE"/>
        </w:rPr>
      </w:pPr>
      <w:r w:rsidRPr="00C83DF5">
        <w:rPr>
          <w:rFonts w:ascii="Tahoma" w:hAnsi="Tahoma" w:cs="Tahoma"/>
          <w:sz w:val="18"/>
          <w:lang w:val="de-DE"/>
        </w:rPr>
        <w:t>Einmalige Lizenzgewährung für System Center Server Management Suite Datacenter (SMSD) an Lizenzinhaber von System Center Server Management Suite Enterprise (SMSE).</w:t>
      </w:r>
    </w:p>
    <w:p w:rsidR="000A18AA" w:rsidRPr="00DF3F89" w:rsidRDefault="000A18AA" w:rsidP="0056541A">
      <w:pPr>
        <w:pStyle w:val="EndnoteText"/>
        <w:rPr>
          <w:rFonts w:ascii="Tahoma" w:hAnsi="Tahoma" w:cs="Tahoma"/>
          <w:sz w:val="18"/>
          <w:lang w:val="de-DE"/>
        </w:rPr>
      </w:pPr>
    </w:p>
    <w:p w:rsidR="004323B9" w:rsidRPr="00C83DF5" w:rsidRDefault="004323B9" w:rsidP="00D511CC">
      <w:pPr>
        <w:pStyle w:val="FootnoteBulletLevel1"/>
        <w:tabs>
          <w:tab w:val="clear" w:pos="900"/>
          <w:tab w:val="left" w:pos="720"/>
        </w:tabs>
        <w:spacing w:before="0" w:after="0"/>
        <w:ind w:left="720" w:firstLine="0"/>
      </w:pPr>
      <w:r w:rsidRPr="00C83DF5">
        <w:rPr>
          <w:rFonts w:ascii="Tahoma" w:hAnsi="Tahoma" w:cs="Tahoma"/>
          <w:sz w:val="18"/>
          <w:lang w:val="de-DE"/>
        </w:rPr>
        <w:t xml:space="preserve">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w:t>
      </w:r>
      <w:r w:rsidRPr="00C83DF5">
        <w:rPr>
          <w:rFonts w:ascii="Tahoma" w:hAnsi="Tahoma" w:cs="Tahoma"/>
          <w:sz w:val="18"/>
        </w:rPr>
        <w:t>Juli 2009 Folgendes:</w:t>
      </w:r>
      <w:r w:rsidRPr="00C83DF5">
        <w:rPr>
          <w:rFonts w:ascii="Tahoma" w:hAnsi="Tahoma" w:cs="Tahoma"/>
          <w:color w:val="000000"/>
          <w:sz w:val="18"/>
        </w:rPr>
        <w:t>:</w:t>
      </w:r>
    </w:p>
    <w:p w:rsidR="000A18AA" w:rsidRPr="0056541A" w:rsidRDefault="000A18AA" w:rsidP="0056541A">
      <w:pPr>
        <w:pStyle w:val="EndnoteText"/>
        <w:rPr>
          <w:rFonts w:ascii="Tahoma" w:hAnsi="Tahoma" w:cs="Tahoma"/>
          <w:sz w:val="18"/>
        </w:rPr>
      </w:pPr>
    </w:p>
    <w:p w:rsidR="004323B9" w:rsidRPr="00C83DF5" w:rsidRDefault="004323B9" w:rsidP="0056541A">
      <w:pPr>
        <w:numPr>
          <w:ilvl w:val="0"/>
          <w:numId w:val="3"/>
        </w:numPr>
        <w:ind w:left="1440"/>
        <w:rPr>
          <w:lang w:val="de-DE"/>
        </w:rPr>
      </w:pPr>
      <w:r w:rsidRPr="00C83DF5">
        <w:rPr>
          <w:rFonts w:cs="Tahoma"/>
          <w:color w:val="000000"/>
          <w:szCs w:val="20"/>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w:t>
      </w:r>
      <w:r w:rsidR="0056541A">
        <w:rPr>
          <w:rFonts w:cs="Tahoma"/>
          <w:color w:val="000000"/>
          <w:szCs w:val="20"/>
          <w:lang w:val="de-DE"/>
        </w:rPr>
        <w:t> </w:t>
      </w:r>
      <w:r w:rsidRPr="00C83DF5">
        <w:rPr>
          <w:rFonts w:cs="Tahoma"/>
          <w:color w:val="000000"/>
          <w:szCs w:val="20"/>
          <w:lang w:val="de-DE"/>
        </w:rPr>
        <w:t>werden.</w:t>
      </w:r>
    </w:p>
    <w:p w:rsidR="000A18AA" w:rsidRPr="00C83DF5" w:rsidRDefault="000A18AA" w:rsidP="000A18AA">
      <w:pPr>
        <w:rPr>
          <w:lang w:val="de-DE"/>
        </w:rPr>
      </w:pPr>
    </w:p>
    <w:p w:rsidR="004323B9" w:rsidRPr="00C83DF5" w:rsidRDefault="004323B9" w:rsidP="00D511CC">
      <w:pPr>
        <w:pStyle w:val="FootnoteBulletLevel1"/>
        <w:tabs>
          <w:tab w:val="clear" w:pos="900"/>
        </w:tabs>
        <w:spacing w:before="0" w:after="0"/>
        <w:ind w:left="720" w:firstLine="0"/>
        <w:rPr>
          <w:lang w:val="de-DE"/>
        </w:rPr>
      </w:pPr>
      <w:r w:rsidRPr="00C83DF5">
        <w:rPr>
          <w:rFonts w:ascii="Tahoma" w:hAnsi="Tahoma" w:cs="Tahoma"/>
          <w:sz w:val="18"/>
          <w:lang w:val="de-DE"/>
        </w:rPr>
        <w:t>Die Verwaltungsrechte im Zusammenhang mit den zusätzlichen SMSD-Lizenzen werden statt der Verwaltungsrechte für die qualifizierende SMSE-Lizenz gewährt.</w:t>
      </w:r>
      <w:r w:rsidR="00E71F46" w:rsidRPr="00C83DF5">
        <w:rPr>
          <w:rFonts w:ascii="Tahoma" w:hAnsi="Tahoma" w:cs="Tahoma"/>
          <w:sz w:val="18"/>
          <w:lang w:val="de-DE"/>
        </w:rPr>
        <w:t xml:space="preserve"> </w:t>
      </w:r>
      <w:r w:rsidRPr="00C83DF5">
        <w:rPr>
          <w:rFonts w:ascii="Tahoma" w:hAnsi="Tahoma" w:cs="Tahoma"/>
          <w:sz w:val="18"/>
          <w:lang w:val="de-DE"/>
        </w:rPr>
        <w:t>Durch Zuweisung der gewährten SMSD-Lizenzen verzichtet der Kunde auf seine Verwaltungsrechte im Rahmen der zugehörigen SMSE-Lizenz.</w:t>
      </w:r>
    </w:p>
    <w:p w:rsidR="004323B9" w:rsidRPr="00C83DF5" w:rsidRDefault="004323B9" w:rsidP="00D511CC">
      <w:pPr>
        <w:pStyle w:val="FootnoteBulletLevel1"/>
        <w:tabs>
          <w:tab w:val="clear" w:pos="900"/>
        </w:tabs>
        <w:spacing w:before="0" w:after="0"/>
        <w:ind w:left="720" w:firstLine="0"/>
        <w:rPr>
          <w:lang w:val="de-DE"/>
        </w:rPr>
      </w:pPr>
      <w:r w:rsidRPr="00C83DF5">
        <w:rPr>
          <w:rFonts w:ascii="Tahoma" w:hAnsi="Tahoma" w:cs="Tahoma"/>
          <w:sz w:val="18"/>
          <w:lang w:val="de-DE"/>
        </w:rPr>
        <w:t>Laut diesem Angebot gewährte Lizenzen unterliegen der folgenden Einschränkung:</w:t>
      </w:r>
      <w:r w:rsidRPr="00C83DF5">
        <w:rPr>
          <w:rFonts w:ascii="Tahoma" w:hAnsi="Tahoma" w:cs="Tahoma"/>
          <w:color w:val="000000"/>
          <w:sz w:val="18"/>
          <w:lang w:val="de-DE"/>
        </w:rPr>
        <w:t xml:space="preserve"> Ein Satz gewährter SMSD-Lizenzen muss einem einzigen Gerät zugewiesen werden</w:t>
      </w:r>
      <w:r w:rsidRPr="00C83DF5">
        <w:rPr>
          <w:rFonts w:ascii="Tahoma" w:hAnsi="Tahoma" w:cs="Tahoma"/>
          <w:sz w:val="18"/>
          <w:lang w:val="de-DE"/>
        </w:rPr>
        <w:t>.</w:t>
      </w:r>
    </w:p>
    <w:p w:rsidR="000A18AA" w:rsidRPr="00DF3F89" w:rsidRDefault="000A18AA" w:rsidP="0056541A">
      <w:pPr>
        <w:pStyle w:val="EndnoteText"/>
        <w:rPr>
          <w:rFonts w:ascii="Tahoma" w:hAnsi="Tahoma" w:cs="Tahoma"/>
          <w:sz w:val="18"/>
          <w:lang w:val="de-DE"/>
        </w:rPr>
      </w:pPr>
    </w:p>
    <w:p w:rsidR="00CF7343" w:rsidRPr="0056541A" w:rsidRDefault="004323B9" w:rsidP="000A18AA">
      <w:pPr>
        <w:pStyle w:val="FootnoteBulletLevel1"/>
        <w:tabs>
          <w:tab w:val="clear" w:pos="900"/>
        </w:tabs>
        <w:spacing w:before="0" w:after="60"/>
        <w:ind w:left="720" w:firstLine="0"/>
        <w:rPr>
          <w:rFonts w:ascii="Tahoma" w:hAnsi="Tahoma" w:cs="Tahoma"/>
          <w:sz w:val="18"/>
          <w:szCs w:val="18"/>
          <w:lang w:val="de-DE"/>
        </w:rPr>
      </w:pPr>
      <w:r w:rsidRPr="0056541A">
        <w:rPr>
          <w:rFonts w:ascii="Tahoma" w:hAnsi="Tahoma" w:cs="Tahoma"/>
          <w:b/>
          <w:color w:val="000000"/>
          <w:sz w:val="18"/>
          <w:szCs w:val="18"/>
          <w:lang w:val="de-DE"/>
        </w:rPr>
        <w:t>Optionen bei der Verlängerung von Software Assurance</w:t>
      </w:r>
      <w:r w:rsidR="00E71F46" w:rsidRPr="0056541A">
        <w:rPr>
          <w:rFonts w:ascii="Tahoma" w:hAnsi="Tahoma" w:cs="Tahoma"/>
          <w:b/>
          <w:color w:val="000000"/>
          <w:sz w:val="18"/>
          <w:szCs w:val="18"/>
          <w:lang w:val="de-DE"/>
        </w:rPr>
        <w:t xml:space="preserve"> </w:t>
      </w:r>
    </w:p>
    <w:p w:rsidR="004323B9" w:rsidRPr="0056541A" w:rsidRDefault="004323B9" w:rsidP="00D511CC">
      <w:pPr>
        <w:pStyle w:val="FootnoteBulletLevel1"/>
        <w:tabs>
          <w:tab w:val="clear" w:pos="900"/>
        </w:tabs>
        <w:spacing w:before="0" w:after="0"/>
        <w:ind w:left="720" w:firstLine="0"/>
        <w:rPr>
          <w:rFonts w:ascii="Tahoma" w:hAnsi="Tahoma" w:cs="Tahoma"/>
          <w:sz w:val="18"/>
          <w:szCs w:val="18"/>
        </w:rPr>
      </w:pPr>
      <w:r w:rsidRPr="0056541A">
        <w:rPr>
          <w:rFonts w:ascii="Tahoma" w:hAnsi="Tahoma" w:cs="Tahoma"/>
          <w:color w:val="000000"/>
          <w:sz w:val="18"/>
          <w:szCs w:val="18"/>
          <w:lang w:val="de-DE"/>
        </w:rPr>
        <w:t xml:space="preserve">Im Rahmen dieses Angebots gewährte Lizenzen umfassen Software Assurance bis zum Ablauf von Software Assurance für die zugehörigen qualifizierenden Lizenzen. </w:t>
      </w:r>
      <w:r w:rsidRPr="0056541A">
        <w:rPr>
          <w:rFonts w:ascii="Tahoma" w:hAnsi="Tahoma" w:cs="Tahoma"/>
          <w:sz w:val="18"/>
          <w:szCs w:val="18"/>
        </w:rPr>
        <w:t>Danach können die Kunden Software Assurance folgendermaßen verlängern:</w:t>
      </w:r>
    </w:p>
    <w:p w:rsidR="000A18AA" w:rsidRPr="0056541A" w:rsidRDefault="000A18AA" w:rsidP="0056541A">
      <w:pPr>
        <w:pStyle w:val="EndnoteText"/>
        <w:rPr>
          <w:rFonts w:ascii="Tahoma" w:hAnsi="Tahoma" w:cs="Tahoma"/>
          <w:sz w:val="18"/>
          <w:szCs w:val="18"/>
        </w:rPr>
      </w:pPr>
    </w:p>
    <w:p w:rsidR="004323B9" w:rsidRPr="0056541A" w:rsidRDefault="004323B9" w:rsidP="0056541A">
      <w:pPr>
        <w:pStyle w:val="FootnoteBulletLevel1"/>
        <w:numPr>
          <w:ilvl w:val="0"/>
          <w:numId w:val="13"/>
        </w:numPr>
        <w:tabs>
          <w:tab w:val="left" w:pos="720"/>
        </w:tabs>
        <w:spacing w:before="0" w:after="60"/>
        <w:ind w:left="1440"/>
        <w:rPr>
          <w:rFonts w:ascii="Tahoma" w:hAnsi="Tahoma" w:cs="Tahoma"/>
          <w:sz w:val="18"/>
          <w:szCs w:val="18"/>
          <w:lang w:val="de-DE"/>
        </w:rPr>
      </w:pPr>
      <w:r w:rsidRPr="0056541A">
        <w:rPr>
          <w:rFonts w:ascii="Tahoma" w:hAnsi="Tahoma" w:cs="Tahoma"/>
          <w:sz w:val="18"/>
          <w:szCs w:val="18"/>
          <w:lang w:val="de-DE"/>
        </w:rPr>
        <w:t>Sie können Software Assurance für die ursprüngliche SMSE-Lizenz verlängern. Die</w:t>
      </w:r>
      <w:r w:rsidR="0056541A">
        <w:rPr>
          <w:rFonts w:ascii="Tahoma" w:hAnsi="Tahoma" w:cs="Tahoma"/>
          <w:sz w:val="18"/>
          <w:szCs w:val="18"/>
          <w:lang w:val="de-DE"/>
        </w:rPr>
        <w:t> </w:t>
      </w:r>
      <w:r w:rsidRPr="0056541A">
        <w:rPr>
          <w:rFonts w:ascii="Tahoma" w:hAnsi="Tahoma" w:cs="Tahoma"/>
          <w:sz w:val="18"/>
          <w:szCs w:val="18"/>
          <w:lang w:val="de-DE"/>
        </w:rPr>
        <w:t>Verwaltungsrechte im Rahmen der SMSE-Software Assurance hängen von den zum Zeitpunkt der Verlängerung geltenden Rechten ab. Durch die Verlängerung des Upgrade-Programms für die</w:t>
      </w:r>
      <w:r w:rsidR="0056541A">
        <w:rPr>
          <w:rFonts w:ascii="Tahoma" w:hAnsi="Tahoma" w:cs="Tahoma"/>
          <w:sz w:val="18"/>
          <w:szCs w:val="18"/>
          <w:lang w:val="de-DE"/>
        </w:rPr>
        <w:t> </w:t>
      </w:r>
      <w:r w:rsidRPr="0056541A">
        <w:rPr>
          <w:rFonts w:ascii="Tahoma" w:hAnsi="Tahoma" w:cs="Tahoma"/>
          <w:sz w:val="18"/>
          <w:szCs w:val="18"/>
          <w:lang w:val="de-DE"/>
        </w:rPr>
        <w:t>ursprüngliche SMSE-Lizenz verzichtet der Kunde auf seine Rechte an den vier zusätzlichen SMSD-Lizenzen.</w:t>
      </w:r>
    </w:p>
    <w:p w:rsidR="004323B9" w:rsidRPr="0056541A" w:rsidRDefault="004323B9" w:rsidP="000A18AA">
      <w:pPr>
        <w:pStyle w:val="FootnoteBulletLevel1"/>
        <w:numPr>
          <w:ilvl w:val="0"/>
          <w:numId w:val="14"/>
        </w:numPr>
        <w:tabs>
          <w:tab w:val="left" w:pos="720"/>
        </w:tabs>
        <w:spacing w:before="0" w:after="60"/>
        <w:ind w:left="1440"/>
        <w:rPr>
          <w:rFonts w:ascii="Tahoma" w:hAnsi="Tahoma" w:cs="Tahoma"/>
          <w:sz w:val="18"/>
          <w:szCs w:val="18"/>
          <w:lang w:val="de-DE"/>
        </w:rPr>
      </w:pPr>
      <w:r w:rsidRPr="0056541A">
        <w:rPr>
          <w:rFonts w:ascii="Tahoma" w:hAnsi="Tahoma" w:cs="Tahoma"/>
          <w:sz w:val="18"/>
          <w:szCs w:val="18"/>
          <w:lang w:val="de-DE"/>
        </w:rPr>
        <w:t>Die Kunden können Software Assurance für die zusätzlichen SMSD-Lizenzen verlängern.</w:t>
      </w:r>
    </w:p>
    <w:p w:rsidR="004323B9" w:rsidRPr="0056541A" w:rsidRDefault="004323B9" w:rsidP="0056541A">
      <w:pPr>
        <w:pStyle w:val="FootnoteBulletLevel1"/>
        <w:numPr>
          <w:ilvl w:val="2"/>
          <w:numId w:val="15"/>
        </w:numPr>
        <w:tabs>
          <w:tab w:val="left" w:pos="720"/>
        </w:tabs>
        <w:spacing w:before="0" w:after="60"/>
        <w:ind w:left="1980"/>
        <w:rPr>
          <w:rFonts w:ascii="Tahoma" w:hAnsi="Tahoma" w:cs="Tahoma"/>
          <w:sz w:val="18"/>
          <w:szCs w:val="18"/>
          <w:lang w:val="de-DE"/>
        </w:rPr>
      </w:pPr>
      <w:r w:rsidRPr="0056541A">
        <w:rPr>
          <w:rFonts w:ascii="Tahoma" w:hAnsi="Tahoma" w:cs="Tahoma"/>
          <w:sz w:val="18"/>
          <w:szCs w:val="18"/>
          <w:lang w:val="de-DE"/>
        </w:rPr>
        <w:t>Dabei haben sie die Möglichkeit, Software Assurance für alle vier zusätzlichen SMSD-Lizenzen, die bei diesem Angebot gewährt werden, zu verlängern. Bei dieser Option fällt die</w:t>
      </w:r>
      <w:r w:rsidR="0056541A">
        <w:rPr>
          <w:rFonts w:ascii="Tahoma" w:hAnsi="Tahoma" w:cs="Tahoma"/>
          <w:sz w:val="18"/>
          <w:szCs w:val="18"/>
          <w:lang w:val="de-DE"/>
        </w:rPr>
        <w:t> </w:t>
      </w:r>
      <w:r w:rsidRPr="0056541A">
        <w:rPr>
          <w:rFonts w:ascii="Tahoma" w:hAnsi="Tahoma" w:cs="Tahoma"/>
          <w:sz w:val="18"/>
          <w:szCs w:val="18"/>
          <w:lang w:val="de-DE"/>
        </w:rPr>
        <w:t>Verpflichtung, die vier Lizenzen einem Gerät zuzuweisen, weg.</w:t>
      </w:r>
    </w:p>
    <w:p w:rsidR="004323B9" w:rsidRPr="0056541A" w:rsidRDefault="004323B9" w:rsidP="00A917BB">
      <w:pPr>
        <w:pStyle w:val="FootnoteBulletLevel1"/>
        <w:numPr>
          <w:ilvl w:val="2"/>
          <w:numId w:val="15"/>
        </w:numPr>
        <w:tabs>
          <w:tab w:val="left" w:pos="720"/>
        </w:tabs>
        <w:spacing w:before="0" w:after="60"/>
        <w:ind w:left="1980"/>
        <w:rPr>
          <w:rFonts w:ascii="Tahoma" w:hAnsi="Tahoma" w:cs="Tahoma"/>
          <w:sz w:val="18"/>
          <w:szCs w:val="18"/>
          <w:lang w:val="de-DE"/>
        </w:rPr>
      </w:pPr>
      <w:r w:rsidRPr="0056541A">
        <w:rPr>
          <w:rFonts w:ascii="Tahoma" w:hAnsi="Tahoma" w:cs="Tahoma"/>
          <w:sz w:val="18"/>
          <w:szCs w:val="18"/>
          <w:lang w:val="de-DE"/>
        </w:rPr>
        <w:lastRenderedPageBreak/>
        <w:t>Kunden, die Software Assurance vor dem 1. Juli 2011 verlängern, können dies für zwei der vier zusätzlichen SMSD-Lizenzen tun, die bei diesem Angebot gewährt werden. In diesem Fall gilt Software Assurance für alle vier SMSD-Lizenzen als verlängert.</w:t>
      </w:r>
      <w:r w:rsidR="00E71F46" w:rsidRPr="0056541A">
        <w:rPr>
          <w:rFonts w:ascii="Tahoma" w:hAnsi="Tahoma" w:cs="Tahoma"/>
          <w:sz w:val="18"/>
          <w:szCs w:val="18"/>
          <w:lang w:val="de-DE"/>
        </w:rPr>
        <w:t xml:space="preserve"> </w:t>
      </w:r>
      <w:r w:rsidRPr="0056541A">
        <w:rPr>
          <w:rFonts w:ascii="Tahoma" w:hAnsi="Tahoma" w:cs="Tahoma"/>
          <w:sz w:val="18"/>
          <w:szCs w:val="18"/>
          <w:lang w:val="de-DE"/>
        </w:rPr>
        <w:t>Bei dieser Option gilt</w:t>
      </w:r>
      <w:r w:rsidR="00A917BB">
        <w:rPr>
          <w:rFonts w:ascii="Tahoma" w:hAnsi="Tahoma" w:cs="Tahoma"/>
          <w:sz w:val="18"/>
          <w:szCs w:val="18"/>
          <w:lang w:val="de-DE"/>
        </w:rPr>
        <w:t> </w:t>
      </w:r>
      <w:r w:rsidRPr="0056541A">
        <w:rPr>
          <w:rFonts w:ascii="Tahoma" w:hAnsi="Tahoma" w:cs="Tahoma"/>
          <w:sz w:val="18"/>
          <w:szCs w:val="18"/>
          <w:lang w:val="de-DE"/>
        </w:rPr>
        <w:t>die Verpflichtung, die vier Lizenzen bei Verlängerung einem Gerät zuzuweisen, auch weiterhin.</w:t>
      </w:r>
      <w:r w:rsidR="00E71F46" w:rsidRPr="0056541A">
        <w:rPr>
          <w:rFonts w:ascii="Tahoma" w:hAnsi="Tahoma" w:cs="Tahoma"/>
          <w:sz w:val="18"/>
          <w:szCs w:val="18"/>
          <w:lang w:val="de-DE"/>
        </w:rPr>
        <w:t xml:space="preserve"> </w:t>
      </w:r>
      <w:r w:rsidRPr="0056541A">
        <w:rPr>
          <w:rFonts w:ascii="Tahoma" w:hAnsi="Tahoma" w:cs="Tahoma"/>
          <w:sz w:val="18"/>
          <w:szCs w:val="18"/>
          <w:lang w:val="de-DE"/>
        </w:rPr>
        <w:t>Bei der nächsten Verlängerung von Software Assurance können die Kunden diese auch nur für die SMSD-Lizenzen des Satzes aus vier Lizenzen verlängern, die sie tatsächlich benötigen. Zu diesem Zeitpunkt gilt anders als bei der ersten Verlängerung, dass SMSD-Lizenzen, für die Software Assurance nicht verlängert wurde, nicht mehr an diesem Programm teilnehmen. Die Pflicht, alle vier zusätzlichen SMSD-Lizenzen einem Gerät zuzuweisen, fällt bei dieser Verlängerung nur weg, wenn Software Assurance für alle vier Lizenzen verlängert wird.</w:t>
      </w:r>
    </w:p>
    <w:p w:rsidR="00D63733" w:rsidRPr="006C5248" w:rsidRDefault="00D63733" w:rsidP="00D511CC">
      <w:pPr>
        <w:pStyle w:val="FootnoteBulletLevel1"/>
        <w:tabs>
          <w:tab w:val="clear" w:pos="900"/>
          <w:tab w:val="left" w:pos="720"/>
        </w:tabs>
        <w:spacing w:before="0" w:after="0"/>
        <w:ind w:firstLine="0"/>
        <w:rPr>
          <w:rFonts w:ascii="Tahoma" w:hAnsi="Tahoma" w:cs="Tahoma"/>
          <w:sz w:val="17"/>
          <w:szCs w:val="17"/>
          <w:lang w:val="de-DE"/>
        </w:rPr>
      </w:pPr>
    </w:p>
    <w:p w:rsidR="00CF7343" w:rsidRPr="00A917BB" w:rsidRDefault="004323B9" w:rsidP="000566D4">
      <w:pPr>
        <w:pStyle w:val="FootnoteBulletLevel1"/>
        <w:tabs>
          <w:tab w:val="clear" w:pos="900"/>
          <w:tab w:val="left" w:pos="720"/>
        </w:tabs>
        <w:spacing w:before="0" w:after="60"/>
        <w:ind w:left="720" w:firstLine="0"/>
        <w:rPr>
          <w:rFonts w:ascii="Tahoma" w:hAnsi="Tahoma" w:cs="Tahoma"/>
          <w:sz w:val="18"/>
          <w:szCs w:val="18"/>
          <w:lang w:val="de-DE"/>
        </w:rPr>
      </w:pPr>
      <w:r w:rsidRPr="00A917BB">
        <w:rPr>
          <w:rFonts w:ascii="Tahoma" w:hAnsi="Tahoma" w:cs="Tahoma"/>
          <w:b/>
          <w:sz w:val="18"/>
          <w:szCs w:val="18"/>
          <w:lang w:val="de-DE"/>
        </w:rPr>
        <w:t>Aufheben der Einschränkung, ein</w:t>
      </w:r>
      <w:r w:rsidRPr="00A917BB">
        <w:rPr>
          <w:rFonts w:ascii="Tahoma" w:hAnsi="Tahoma" w:cs="Tahoma"/>
          <w:b/>
          <w:color w:val="000000"/>
          <w:sz w:val="18"/>
          <w:szCs w:val="18"/>
          <w:lang w:val="de-DE"/>
        </w:rPr>
        <w:t>en Satz gewährter SMSD-Lizenzen einem Gerät zuweisen zu</w:t>
      </w:r>
      <w:r w:rsidR="000566D4">
        <w:rPr>
          <w:rFonts w:ascii="Tahoma" w:hAnsi="Tahoma" w:cs="Tahoma"/>
          <w:b/>
          <w:color w:val="000000"/>
          <w:sz w:val="18"/>
          <w:szCs w:val="18"/>
          <w:lang w:val="de-DE"/>
        </w:rPr>
        <w:t> </w:t>
      </w:r>
      <w:r w:rsidRPr="00A917BB">
        <w:rPr>
          <w:rFonts w:ascii="Tahoma" w:hAnsi="Tahoma" w:cs="Tahoma"/>
          <w:b/>
          <w:color w:val="000000"/>
          <w:sz w:val="18"/>
          <w:szCs w:val="18"/>
          <w:lang w:val="de-DE"/>
        </w:rPr>
        <w:t>müssen</w:t>
      </w:r>
    </w:p>
    <w:p w:rsidR="004323B9" w:rsidRPr="00A917BB" w:rsidRDefault="004323B9" w:rsidP="00D511CC">
      <w:pPr>
        <w:pStyle w:val="FootnoteBulletLevel1"/>
        <w:tabs>
          <w:tab w:val="clear" w:pos="900"/>
          <w:tab w:val="left" w:pos="720"/>
        </w:tabs>
        <w:spacing w:before="0" w:after="0"/>
        <w:ind w:left="720" w:firstLine="0"/>
        <w:rPr>
          <w:rFonts w:ascii="Tahoma" w:hAnsi="Tahoma" w:cs="Tahoma"/>
          <w:sz w:val="18"/>
          <w:szCs w:val="18"/>
          <w:lang w:val="de-DE"/>
        </w:rPr>
      </w:pPr>
      <w:r w:rsidRPr="00A917BB">
        <w:rPr>
          <w:rFonts w:ascii="Tahoma" w:hAnsi="Tahoma" w:cs="Tahoma"/>
          <w:sz w:val="18"/>
          <w:szCs w:val="18"/>
          <w:lang w:val="de-DE"/>
        </w:rPr>
        <w:t xml:space="preserve">Vor der ersten Verlängerung von Software Assurance nach dieser Lizenzgewährung können Kunden zu einem beliebigen Zeitpunkt die Einschränkung, </w:t>
      </w:r>
      <w:r w:rsidRPr="00A917BB">
        <w:rPr>
          <w:rFonts w:ascii="Tahoma" w:hAnsi="Tahoma" w:cs="Tahoma"/>
          <w:color w:val="000000"/>
          <w:sz w:val="18"/>
          <w:szCs w:val="18"/>
          <w:lang w:val="de-DE"/>
        </w:rPr>
        <w:t>einen Satz gewährter SMSD-Lizenzen einem Gerät zuweisen zu müssen, aufheben. Dazu</w:t>
      </w:r>
      <w:r w:rsidRPr="00A917BB">
        <w:rPr>
          <w:rFonts w:ascii="Tahoma" w:hAnsi="Tahoma" w:cs="Tahoma"/>
          <w:sz w:val="18"/>
          <w:szCs w:val="18"/>
          <w:lang w:val="de-DE"/>
        </w:rPr>
        <w:t xml:space="preserve"> müssen sie nur Software Assurance für zwei der SMSD-Lizenzen eines Satzes zusätzlicher Lizenzen erwerben.</w:t>
      </w:r>
      <w:r w:rsidR="00E71F46" w:rsidRPr="00A917BB">
        <w:rPr>
          <w:rFonts w:ascii="Tahoma" w:hAnsi="Tahoma" w:cs="Tahoma"/>
          <w:sz w:val="18"/>
          <w:szCs w:val="18"/>
          <w:lang w:val="de-DE"/>
        </w:rPr>
        <w:t xml:space="preserve"> </w:t>
      </w:r>
    </w:p>
    <w:p w:rsidR="000A18AA" w:rsidRPr="006C5248" w:rsidRDefault="000A18AA" w:rsidP="00D511CC">
      <w:pPr>
        <w:pStyle w:val="FootnoteBulletLevel1"/>
        <w:tabs>
          <w:tab w:val="clear" w:pos="900"/>
          <w:tab w:val="left" w:pos="720"/>
        </w:tabs>
        <w:spacing w:before="0" w:after="0"/>
        <w:ind w:left="720" w:firstLine="0"/>
        <w:rPr>
          <w:rFonts w:ascii="Tahoma" w:hAnsi="Tahoma" w:cs="Tahoma"/>
          <w:sz w:val="17"/>
          <w:szCs w:val="17"/>
          <w:lang w:val="de-DE"/>
        </w:rPr>
      </w:pPr>
    </w:p>
    <w:p w:rsidR="004323B9" w:rsidRPr="00A917BB" w:rsidRDefault="004323B9" w:rsidP="006F3BEA">
      <w:pPr>
        <w:pStyle w:val="FootnoteBulletLevel1"/>
        <w:tabs>
          <w:tab w:val="clear" w:pos="900"/>
          <w:tab w:val="left" w:pos="720"/>
        </w:tabs>
        <w:spacing w:before="0" w:after="0"/>
        <w:ind w:left="720" w:firstLine="0"/>
        <w:rPr>
          <w:rFonts w:ascii="Tahoma" w:hAnsi="Tahoma" w:cs="Tahoma"/>
          <w:sz w:val="18"/>
          <w:szCs w:val="18"/>
          <w:lang w:val="de-DE"/>
        </w:rPr>
      </w:pPr>
      <w:r w:rsidRPr="00A917BB">
        <w:rPr>
          <w:rFonts w:ascii="Tahoma" w:hAnsi="Tahoma" w:cs="Tahoma"/>
          <w:sz w:val="18"/>
          <w:szCs w:val="18"/>
          <w:lang w:val="de-DE"/>
        </w:rPr>
        <w:t>Das Recht von Kunden zur Nutzung der Software im Rahmen der zusätzlichen SMSD-Lizenzen wird durch diesen Hinweis auf die Produktbedingungen sowie den Nachweis der zugehörigen qualifizierenden Lizenzen belegt.</w:t>
      </w:r>
      <w:r w:rsidR="00E71F46" w:rsidRPr="00A917BB">
        <w:rPr>
          <w:rFonts w:ascii="Tahoma" w:hAnsi="Tahoma" w:cs="Tahoma"/>
          <w:sz w:val="18"/>
          <w:szCs w:val="18"/>
          <w:lang w:val="de-DE"/>
        </w:rPr>
        <w:t xml:space="preserve"> </w:t>
      </w:r>
      <w:r w:rsidRPr="00A917BB">
        <w:rPr>
          <w:rFonts w:ascii="Tahoma" w:hAnsi="Tahoma" w:cs="Tahoma"/>
          <w:sz w:val="18"/>
          <w:szCs w:val="18"/>
          <w:lang w:val="de-DE"/>
        </w:rPr>
        <w:t>Die Nutzung der Software laut diesem Angebot unterliegt den Bestimmungen des Lizenzvertrages des Kunden sowie den Produktbenutzungsrechten der Software. Das Recht zur Nutzung der Software im</w:t>
      </w:r>
      <w:r w:rsidR="000566D4">
        <w:rPr>
          <w:rFonts w:ascii="Tahoma" w:hAnsi="Tahoma" w:cs="Tahoma"/>
          <w:sz w:val="18"/>
          <w:szCs w:val="18"/>
          <w:lang w:val="de-DE"/>
        </w:rPr>
        <w:t> </w:t>
      </w:r>
      <w:r w:rsidRPr="00A917BB">
        <w:rPr>
          <w:rFonts w:ascii="Tahoma" w:hAnsi="Tahoma" w:cs="Tahoma"/>
          <w:sz w:val="18"/>
          <w:szCs w:val="18"/>
          <w:lang w:val="de-DE"/>
        </w:rPr>
        <w:t>Rahmen der zusätzlichen Lizenz gilt bis zum Ablauf des Rechts zur Nutzung der Software gemäß den</w:t>
      </w:r>
      <w:r w:rsidR="006F3BEA">
        <w:rPr>
          <w:rFonts w:ascii="Tahoma" w:hAnsi="Tahoma" w:cs="Tahoma"/>
          <w:sz w:val="18"/>
          <w:szCs w:val="18"/>
          <w:lang w:val="de-DE"/>
        </w:rPr>
        <w:t> </w:t>
      </w:r>
      <w:r w:rsidRPr="00A917BB">
        <w:rPr>
          <w:rFonts w:ascii="Tahoma" w:hAnsi="Tahoma" w:cs="Tahoma"/>
          <w:sz w:val="18"/>
          <w:szCs w:val="18"/>
          <w:lang w:val="de-DE"/>
        </w:rPr>
        <w:t>zugehörigen qualifizierenden Lizenzen. Im Rahmen dieses Angebots gewährte Lizenzen dürfen nicht getrennt von den zugehörigen qualifizierenden Lizenzen übertragen werden.</w:t>
      </w:r>
    </w:p>
    <w:p w:rsidR="000A18AA" w:rsidRPr="006C5248" w:rsidRDefault="000A18AA" w:rsidP="00D511CC">
      <w:pPr>
        <w:pStyle w:val="FootnoteBulletLevel1"/>
        <w:tabs>
          <w:tab w:val="clear" w:pos="900"/>
          <w:tab w:val="left" w:pos="720"/>
        </w:tabs>
        <w:spacing w:before="0" w:after="0"/>
        <w:ind w:left="720" w:firstLine="0"/>
        <w:rPr>
          <w:rFonts w:ascii="Tahoma" w:hAnsi="Tahoma" w:cs="Tahoma"/>
          <w:sz w:val="17"/>
          <w:szCs w:val="17"/>
          <w:lang w:val="de-DE"/>
        </w:rPr>
      </w:pPr>
    </w:p>
    <w:p w:rsidR="00F23A1B" w:rsidRPr="00A917BB" w:rsidRDefault="004323B9" w:rsidP="000566D4">
      <w:pPr>
        <w:pStyle w:val="FootnoteBulletLevel1"/>
        <w:tabs>
          <w:tab w:val="clear" w:pos="900"/>
          <w:tab w:val="left" w:pos="720"/>
        </w:tabs>
        <w:spacing w:before="0" w:after="0"/>
        <w:ind w:left="720" w:firstLine="0"/>
        <w:rPr>
          <w:rFonts w:ascii="Tahoma" w:hAnsi="Tahoma" w:cs="Tahoma"/>
          <w:sz w:val="18"/>
          <w:szCs w:val="18"/>
          <w:lang w:val="de-DE"/>
        </w:rPr>
      </w:pPr>
      <w:r w:rsidRPr="00A917BB">
        <w:rPr>
          <w:rFonts w:ascii="Tahoma" w:hAnsi="Tahoma" w:cs="Tahoma"/>
          <w:sz w:val="18"/>
          <w:szCs w:val="18"/>
          <w:lang w:val="de-DE"/>
        </w:rPr>
        <w:t>*Die geänderte SMSE-Lizenzierung gilt für System Center Operations Manager 2007 R2 sowie für neue Versionen der anderen Produkte, die zu System Center Server Management Suite Enterprise gehören (z.</w:t>
      </w:r>
      <w:r w:rsidR="000566D4">
        <w:rPr>
          <w:rFonts w:ascii="Tahoma" w:hAnsi="Tahoma" w:cs="Tahoma"/>
          <w:sz w:val="18"/>
          <w:szCs w:val="18"/>
          <w:lang w:val="de-DE"/>
        </w:rPr>
        <w:t> </w:t>
      </w:r>
      <w:r w:rsidRPr="00A917BB">
        <w:rPr>
          <w:rFonts w:ascii="Tahoma" w:hAnsi="Tahoma" w:cs="Tahoma"/>
          <w:sz w:val="18"/>
          <w:szCs w:val="18"/>
          <w:lang w:val="de-DE"/>
        </w:rPr>
        <w:t>B.</w:t>
      </w:r>
      <w:r w:rsidR="000566D4">
        <w:rPr>
          <w:rFonts w:ascii="Tahoma" w:hAnsi="Tahoma" w:cs="Tahoma"/>
          <w:sz w:val="18"/>
          <w:szCs w:val="18"/>
          <w:lang w:val="de-DE"/>
        </w:rPr>
        <w:t> </w:t>
      </w:r>
      <w:r w:rsidRPr="00A917BB">
        <w:rPr>
          <w:rFonts w:ascii="Tahoma" w:hAnsi="Tahoma" w:cs="Tahoma"/>
          <w:sz w:val="18"/>
          <w:szCs w:val="18"/>
          <w:lang w:val="de-DE"/>
        </w:rPr>
        <w:t>System Center Virtual Machine Manager 2008 R2).</w:t>
      </w:r>
    </w:p>
    <w:p w:rsidR="000A18AA" w:rsidRPr="00DF3F89" w:rsidRDefault="000A18AA" w:rsidP="006F3BEA">
      <w:pPr>
        <w:pStyle w:val="EndnoteText"/>
        <w:rPr>
          <w:rFonts w:ascii="Tahoma" w:hAnsi="Tahoma" w:cs="Tahoma"/>
          <w:sz w:val="17"/>
          <w:szCs w:val="17"/>
          <w:lang w:val="de-DE"/>
        </w:rPr>
      </w:pPr>
    </w:p>
    <w:p w:rsidR="000A18AA" w:rsidRPr="00DF3F89" w:rsidRDefault="000A18AA" w:rsidP="006F3BEA">
      <w:pPr>
        <w:pStyle w:val="EndnoteText"/>
        <w:rPr>
          <w:rFonts w:ascii="Tahoma" w:hAnsi="Tahoma" w:cs="Tahoma"/>
          <w:sz w:val="17"/>
          <w:szCs w:val="17"/>
          <w:lang w:val="de-DE"/>
        </w:rPr>
      </w:pPr>
    </w:p>
    <w:p w:rsidR="00F411FE" w:rsidRPr="00C83DF5" w:rsidRDefault="00A560B6" w:rsidP="0097015A">
      <w:pPr>
        <w:pStyle w:val="Heading3"/>
        <w:rPr>
          <w:lang w:val="de-DE"/>
        </w:rPr>
      </w:pPr>
      <w:bookmarkStart w:id="1525" w:name="_86_System_Center"/>
      <w:bookmarkStart w:id="1526" w:name="_94_System_Center"/>
      <w:bookmarkStart w:id="1527" w:name="_Toc336338355"/>
      <w:bookmarkStart w:id="1528" w:name="Srv_90SysCtrSvrMgmtSuiteDatacenter"/>
      <w:bookmarkStart w:id="1529" w:name="_Toc370983461"/>
      <w:bookmarkEnd w:id="1525"/>
      <w:bookmarkEnd w:id="1526"/>
      <w:r w:rsidRPr="00C83DF5">
        <w:rPr>
          <w:rFonts w:ascii="Tahoma" w:hAnsi="Tahoma" w:cs="Tahoma"/>
          <w:caps/>
          <w:color w:val="FF7415"/>
          <w:sz w:val="22"/>
          <w:szCs w:val="22"/>
          <w:vertAlign w:val="superscript"/>
          <w:lang w:val="de-DE"/>
        </w:rPr>
        <w:t>93</w:t>
      </w:r>
      <w:r w:rsidRPr="006F3BEA">
        <w:rPr>
          <w:rFonts w:ascii="Tahoma" w:hAnsi="Tahoma" w:cs="Tahoma"/>
          <w:caps/>
          <w:color w:val="FF7415"/>
          <w:sz w:val="22"/>
          <w:szCs w:val="22"/>
          <w:lang w:val="de-DE"/>
        </w:rPr>
        <w:t xml:space="preserve"> </w:t>
      </w:r>
      <w:r w:rsidRPr="00C83DF5">
        <w:rPr>
          <w:rFonts w:ascii="Tahoma" w:hAnsi="Tahoma" w:cs="Tahoma"/>
          <w:color w:val="FF7415"/>
          <w:sz w:val="22"/>
          <w:szCs w:val="22"/>
          <w:lang w:val="de-DE"/>
        </w:rPr>
        <w:t>System Center Server Management Suite Datacenter</w:t>
      </w:r>
      <w:bookmarkEnd w:id="1527"/>
      <w:bookmarkEnd w:id="1529"/>
    </w:p>
    <w:bookmarkEnd w:id="1528"/>
    <w:p w:rsidR="00F411FE" w:rsidRPr="006C5248" w:rsidRDefault="00F411FE" w:rsidP="00F411FE">
      <w:pPr>
        <w:ind w:left="360"/>
        <w:rPr>
          <w:sz w:val="17"/>
          <w:szCs w:val="17"/>
          <w:lang w:val="de-DE"/>
        </w:rPr>
      </w:pPr>
    </w:p>
    <w:p w:rsidR="00FF4CAB" w:rsidRPr="00C83DF5" w:rsidRDefault="00FF4CAB" w:rsidP="000A18AA">
      <w:pPr>
        <w:pStyle w:val="EndnoteText"/>
        <w:ind w:left="720"/>
        <w:rPr>
          <w:lang w:val="de-DE"/>
        </w:rPr>
      </w:pPr>
      <w:r w:rsidRPr="00C83DF5">
        <w:rPr>
          <w:rFonts w:ascii="Tahoma" w:hAnsi="Tahoma" w:cs="Tahoma"/>
          <w:color w:val="000000"/>
          <w:sz w:val="18"/>
          <w:lang w:val="de-DE"/>
        </w:rPr>
        <w:t xml:space="preserve">Dieses Produkt hat den Status End-Of-Life (EOL) und wird nicht mehr angeboten. </w:t>
      </w:r>
    </w:p>
    <w:p w:rsidR="004F0CAE" w:rsidRPr="00DF3F89" w:rsidRDefault="004F0CAE" w:rsidP="006F3BEA">
      <w:pPr>
        <w:pStyle w:val="EndnoteText"/>
        <w:rPr>
          <w:rFonts w:ascii="Tahoma" w:hAnsi="Tahoma" w:cs="Tahoma"/>
          <w:sz w:val="17"/>
          <w:szCs w:val="17"/>
          <w:lang w:val="de-DE"/>
        </w:rPr>
      </w:pPr>
    </w:p>
    <w:p w:rsidR="00FF4CAB" w:rsidRPr="00C83DF5" w:rsidRDefault="00FF4CAB" w:rsidP="004F0CAE">
      <w:pPr>
        <w:pStyle w:val="FootnoteBulletLevel1"/>
        <w:tabs>
          <w:tab w:val="clear" w:pos="900"/>
        </w:tabs>
        <w:spacing w:before="0" w:after="60"/>
        <w:ind w:left="720" w:firstLine="0"/>
        <w:rPr>
          <w:lang w:val="de-DE"/>
        </w:rPr>
      </w:pPr>
      <w:r w:rsidRPr="00C83DF5">
        <w:rPr>
          <w:rFonts w:ascii="Tahoma" w:hAnsi="Tahoma" w:cs="Tahoma"/>
          <w:b/>
          <w:sz w:val="18"/>
          <w:lang w:val="de-DE"/>
        </w:rPr>
        <w:t>Details zur einmaligen Gewährung von Übergangslizenzen für System Center 2012</w:t>
      </w:r>
    </w:p>
    <w:p w:rsidR="00FF4CAB" w:rsidRPr="00C83DF5" w:rsidRDefault="00FF4CAB" w:rsidP="006C5248">
      <w:pPr>
        <w:ind w:left="720"/>
        <w:rPr>
          <w:lang w:val="de-DE"/>
        </w:rPr>
      </w:pPr>
      <w:r w:rsidRPr="00C83DF5">
        <w:rPr>
          <w:lang w:val="de-DE"/>
        </w:rPr>
        <w:t>Weitere Informationen zur Gewährung von Übergangslizenzen finden Sie im Produkthinweis zu System</w:t>
      </w:r>
      <w:r w:rsidR="006C5248">
        <w:rPr>
          <w:lang w:val="de-DE"/>
        </w:rPr>
        <w:t> </w:t>
      </w:r>
      <w:r w:rsidRPr="00C83DF5">
        <w:rPr>
          <w:lang w:val="de-DE"/>
        </w:rPr>
        <w:t>Center 2012-Angeboten.</w:t>
      </w:r>
    </w:p>
    <w:p w:rsidR="00FF4CAB" w:rsidRPr="006C5248" w:rsidRDefault="00FF4CAB" w:rsidP="000A18AA">
      <w:pPr>
        <w:ind w:left="720"/>
        <w:rPr>
          <w:sz w:val="17"/>
          <w:szCs w:val="17"/>
          <w:lang w:val="de-DE"/>
        </w:rPr>
      </w:pPr>
    </w:p>
    <w:p w:rsidR="00F411FE" w:rsidRPr="00C83DF5" w:rsidRDefault="00F411FE" w:rsidP="000A18AA">
      <w:pPr>
        <w:ind w:left="720"/>
        <w:rPr>
          <w:lang w:val="de-DE"/>
        </w:rPr>
      </w:pPr>
      <w:r w:rsidRPr="00C83DF5">
        <w:rPr>
          <w:rFonts w:cs="Tahoma"/>
          <w:szCs w:val="20"/>
          <w:lang w:val="de-DE"/>
        </w:rPr>
        <w:t>System Center Server Management Suite Datacenter hat keine Versionsnummer, und die Produktbenutzungsrechte hängen vom Status der Software Assurance für System Center Server Management Suite Datacenter ab.</w:t>
      </w:r>
      <w:r w:rsidR="00E71F46" w:rsidRPr="00C83DF5">
        <w:rPr>
          <w:rFonts w:cs="Tahoma"/>
          <w:szCs w:val="20"/>
          <w:lang w:val="de-DE"/>
        </w:rPr>
        <w:t xml:space="preserve"> </w:t>
      </w:r>
      <w:r w:rsidRPr="00C83DF5">
        <w:rPr>
          <w:rFonts w:cs="Tahoma"/>
          <w:szCs w:val="20"/>
          <w:lang w:val="de-DE"/>
        </w:rPr>
        <w:t>Falls Software Assurance unterbrochen wird, hängen die Zugriffsrechte im Rahmen zeitlich unbeschränkter Lizenzen von den Produktbenutzungsrechten ab, die vor der Unterbrechung galten.</w:t>
      </w:r>
      <w:r w:rsidR="00E71F46" w:rsidRPr="00C83DF5">
        <w:rPr>
          <w:rFonts w:cs="Tahoma"/>
          <w:szCs w:val="20"/>
          <w:lang w:val="de-DE"/>
        </w:rPr>
        <w:t xml:space="preserve"> </w:t>
      </w:r>
    </w:p>
    <w:p w:rsidR="00E72B93" w:rsidRPr="006C5248" w:rsidRDefault="00E72B93" w:rsidP="000A18AA">
      <w:pPr>
        <w:ind w:left="720"/>
        <w:rPr>
          <w:sz w:val="17"/>
          <w:szCs w:val="17"/>
          <w:lang w:val="de-DE"/>
        </w:rPr>
      </w:pPr>
    </w:p>
    <w:p w:rsidR="00143CF6" w:rsidRPr="00C83DF5" w:rsidRDefault="005C164D" w:rsidP="003165D6">
      <w:pPr>
        <w:ind w:left="720"/>
        <w:rPr>
          <w:lang w:val="de-DE"/>
        </w:rPr>
      </w:pPr>
      <w:r w:rsidRPr="00C83DF5">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30" w:name="_90_System_Center"/>
      <w:bookmarkEnd w:id="1530"/>
    </w:p>
    <w:p w:rsidR="004F0CAE" w:rsidRPr="006C5248" w:rsidRDefault="004F0CAE" w:rsidP="004F0CAE">
      <w:pPr>
        <w:rPr>
          <w:sz w:val="17"/>
          <w:szCs w:val="17"/>
          <w:lang w:val="de-DE"/>
        </w:rPr>
      </w:pPr>
      <w:bookmarkStart w:id="1531" w:name="_87_System_Center"/>
      <w:bookmarkStart w:id="1532" w:name="_Toc336338358"/>
      <w:bookmarkStart w:id="1533" w:name="Srv_101SystemCenter2012"/>
      <w:bookmarkStart w:id="1534" w:name="Srv_92TechNetPlusSingleUser"/>
      <w:bookmarkEnd w:id="1531"/>
    </w:p>
    <w:p w:rsidR="004F0CAE" w:rsidRPr="006C5248" w:rsidRDefault="004F0CAE" w:rsidP="004F0CAE">
      <w:pPr>
        <w:rPr>
          <w:sz w:val="17"/>
          <w:szCs w:val="17"/>
          <w:lang w:val="de-DE"/>
        </w:rPr>
      </w:pPr>
    </w:p>
    <w:p w:rsidR="00FF4CAB" w:rsidRPr="00C83DF5" w:rsidRDefault="00A560B6" w:rsidP="00FF4CAB">
      <w:pPr>
        <w:pStyle w:val="Heading3"/>
        <w:rPr>
          <w:lang w:val="de-DE"/>
        </w:rPr>
      </w:pPr>
      <w:bookmarkStart w:id="1535" w:name="_91_89_System"/>
      <w:bookmarkStart w:id="1536" w:name="_96_System_Center"/>
      <w:bookmarkStart w:id="1537" w:name="_Toc370983462"/>
      <w:bookmarkEnd w:id="1535"/>
      <w:bookmarkEnd w:id="1536"/>
      <w:r w:rsidRPr="00C83DF5">
        <w:rPr>
          <w:rFonts w:ascii="Tahoma" w:hAnsi="Tahoma" w:cs="Tahoma"/>
          <w:caps/>
          <w:color w:val="FF6F0D"/>
          <w:sz w:val="22"/>
          <w:szCs w:val="22"/>
          <w:vertAlign w:val="superscript"/>
          <w:lang w:val="de-DE"/>
        </w:rPr>
        <w:t>94</w:t>
      </w:r>
      <w:r w:rsidRPr="00C83DF5">
        <w:rPr>
          <w:rFonts w:ascii="Tahoma" w:hAnsi="Tahoma" w:cs="Tahoma"/>
          <w:color w:val="FF6F0D"/>
          <w:sz w:val="22"/>
          <w:szCs w:val="22"/>
          <w:lang w:val="de-DE"/>
        </w:rPr>
        <w:t xml:space="preserve"> System Center 2012</w:t>
      </w:r>
      <w:bookmarkEnd w:id="1532"/>
      <w:r w:rsidRPr="00C83DF5">
        <w:rPr>
          <w:rFonts w:ascii="Tahoma" w:hAnsi="Tahoma" w:cs="Tahoma"/>
          <w:color w:val="FF6F0D"/>
          <w:sz w:val="22"/>
          <w:szCs w:val="22"/>
          <w:lang w:val="de-DE"/>
        </w:rPr>
        <w:t xml:space="preserve"> R2 Datacenter</w:t>
      </w:r>
      <w:bookmarkEnd w:id="1537"/>
    </w:p>
    <w:bookmarkEnd w:id="1533"/>
    <w:p w:rsidR="00FF4CAB" w:rsidRPr="006C5248" w:rsidRDefault="00FF4CAB" w:rsidP="004F0CAE">
      <w:pPr>
        <w:rPr>
          <w:sz w:val="17"/>
          <w:szCs w:val="17"/>
          <w:lang w:val="de-DE"/>
        </w:rPr>
      </w:pPr>
    </w:p>
    <w:p w:rsidR="00A83EBB" w:rsidRPr="00C83DF5" w:rsidRDefault="00A83EBB" w:rsidP="00DE02E2">
      <w:pPr>
        <w:numPr>
          <w:ilvl w:val="0"/>
          <w:numId w:val="52"/>
        </w:numPr>
        <w:spacing w:afterLines="60" w:after="144"/>
        <w:ind w:left="1440" w:hanging="274"/>
        <w:rPr>
          <w:lang w:val="de-DE"/>
        </w:rPr>
      </w:pPr>
      <w:r w:rsidRPr="00C83DF5">
        <w:rPr>
          <w:rFonts w:eastAsia="Calibri" w:cs="Tahoma"/>
          <w:szCs w:val="18"/>
          <w:lang w:val="de-DE"/>
        </w:rPr>
        <w:t>System Center 2012 R2 Datacenter ist die nächste Version von System Center 2012 Datacenter.</w:t>
      </w:r>
      <w:r w:rsidRPr="00C83DF5">
        <w:rPr>
          <w:b/>
          <w:color w:val="000000"/>
          <w:lang w:val="de-DE"/>
        </w:rPr>
        <w:t xml:space="preserve"> </w:t>
      </w:r>
    </w:p>
    <w:p w:rsidR="00A83EBB" w:rsidRPr="00C83DF5" w:rsidRDefault="00A83EBB" w:rsidP="00DE02E2">
      <w:pPr>
        <w:numPr>
          <w:ilvl w:val="0"/>
          <w:numId w:val="52"/>
        </w:numPr>
        <w:spacing w:afterLines="60" w:after="144"/>
        <w:ind w:left="1440" w:hanging="274"/>
        <w:rPr>
          <w:lang w:val="de-DE"/>
        </w:rPr>
      </w:pPr>
      <w:r w:rsidRPr="00C83DF5">
        <w:rPr>
          <w:color w:val="000000"/>
          <w:lang w:val="de-DE"/>
        </w:rPr>
        <w:t xml:space="preserve">Jede Lizenz für System Center 2012 R2 Datacenter deckt bis zu zwei physische Prozessoren ab. </w:t>
      </w:r>
    </w:p>
    <w:p w:rsidR="00A83EBB" w:rsidRPr="00C83DF5" w:rsidRDefault="00162ADA" w:rsidP="00A83EBB">
      <w:pPr>
        <w:pStyle w:val="Heading3"/>
      </w:pPr>
      <w:bookmarkStart w:id="1538" w:name="_Toc370983463"/>
      <w:r w:rsidRPr="00C83DF5">
        <w:rPr>
          <w:rFonts w:ascii="Tahoma" w:hAnsi="Tahoma" w:cs="Tahoma"/>
          <w:caps/>
          <w:color w:val="FF6F0D"/>
          <w:sz w:val="22"/>
          <w:szCs w:val="22"/>
          <w:vertAlign w:val="superscript"/>
        </w:rPr>
        <w:lastRenderedPageBreak/>
        <w:t>95</w:t>
      </w:r>
      <w:r w:rsidRPr="00C83DF5">
        <w:rPr>
          <w:rFonts w:ascii="Tahoma" w:hAnsi="Tahoma" w:cs="Tahoma"/>
          <w:color w:val="FF6F0D"/>
          <w:sz w:val="22"/>
          <w:szCs w:val="22"/>
        </w:rPr>
        <w:t xml:space="preserve"> System Center 2012 R2 Standard</w:t>
      </w:r>
      <w:bookmarkEnd w:id="1538"/>
    </w:p>
    <w:p w:rsidR="00A83EBB" w:rsidRPr="00C83DF5" w:rsidRDefault="00A83EBB" w:rsidP="00A83EBB"/>
    <w:p w:rsidR="00A83EBB" w:rsidRPr="00C83DF5" w:rsidRDefault="00A83EBB" w:rsidP="00DE02E2">
      <w:pPr>
        <w:numPr>
          <w:ilvl w:val="0"/>
          <w:numId w:val="52"/>
        </w:numPr>
        <w:spacing w:afterLines="60" w:after="144"/>
        <w:ind w:left="1440" w:hanging="274"/>
        <w:rPr>
          <w:lang w:val="de-DE"/>
        </w:rPr>
      </w:pPr>
      <w:r w:rsidRPr="00C83DF5">
        <w:rPr>
          <w:rFonts w:eastAsia="Calibri" w:cs="Tahoma"/>
          <w:szCs w:val="18"/>
          <w:lang w:val="de-DE"/>
        </w:rPr>
        <w:t>System Center 2012 R2 Standard ist die nächste Version von System Center 2012 Standard.</w:t>
      </w:r>
    </w:p>
    <w:p w:rsidR="00A83EBB" w:rsidRPr="00C83DF5" w:rsidRDefault="00A83EBB" w:rsidP="00DE02E2">
      <w:pPr>
        <w:numPr>
          <w:ilvl w:val="0"/>
          <w:numId w:val="52"/>
        </w:numPr>
        <w:spacing w:afterLines="60" w:after="144"/>
        <w:ind w:left="1440" w:hanging="274"/>
        <w:rPr>
          <w:lang w:val="de-DE"/>
        </w:rPr>
      </w:pPr>
      <w:r w:rsidRPr="00C83DF5">
        <w:rPr>
          <w:b/>
          <w:color w:val="000000"/>
          <w:lang w:val="de-DE"/>
        </w:rPr>
        <w:t xml:space="preserve"> </w:t>
      </w:r>
      <w:r w:rsidRPr="00C83DF5">
        <w:rPr>
          <w:color w:val="000000"/>
          <w:lang w:val="de-DE"/>
        </w:rPr>
        <w:t xml:space="preserve">Jede Lizenz für System Center 2012 R2 Standard deckt bis zu zwei physische Prozessoren ab. </w:t>
      </w:r>
    </w:p>
    <w:p w:rsidR="00A83EBB" w:rsidRDefault="00A83EBB" w:rsidP="006C5248">
      <w:pPr>
        <w:ind w:left="1166"/>
        <w:rPr>
          <w:lang w:val="de-DE"/>
        </w:rPr>
      </w:pPr>
    </w:p>
    <w:p w:rsidR="006C5248" w:rsidRPr="00C83DF5" w:rsidRDefault="006C5248" w:rsidP="006C5248">
      <w:pPr>
        <w:ind w:left="1166"/>
        <w:rPr>
          <w:lang w:val="de-DE"/>
        </w:rPr>
      </w:pPr>
    </w:p>
    <w:p w:rsidR="00A83EBB" w:rsidRPr="00C83DF5" w:rsidRDefault="00162ADA" w:rsidP="00A83EBB">
      <w:pPr>
        <w:pStyle w:val="Heading3"/>
        <w:rPr>
          <w:lang w:val="fr-FR"/>
        </w:rPr>
      </w:pPr>
      <w:bookmarkStart w:id="1539" w:name="_96_System_Center_1"/>
      <w:bookmarkStart w:id="1540" w:name="_Toc370983464"/>
      <w:bookmarkEnd w:id="1539"/>
      <w:r w:rsidRPr="00C83DF5">
        <w:rPr>
          <w:rFonts w:ascii="Tahoma" w:hAnsi="Tahoma" w:cs="Tahoma"/>
          <w:caps/>
          <w:color w:val="FF6F0D"/>
          <w:sz w:val="22"/>
          <w:szCs w:val="22"/>
          <w:vertAlign w:val="superscript"/>
          <w:lang w:val="fr-FR"/>
        </w:rPr>
        <w:t>96</w:t>
      </w:r>
      <w:r w:rsidRPr="00C83DF5">
        <w:rPr>
          <w:rFonts w:ascii="Tahoma" w:hAnsi="Tahoma" w:cs="Tahoma"/>
          <w:color w:val="FF6F0D"/>
          <w:sz w:val="22"/>
          <w:szCs w:val="22"/>
          <w:lang w:val="fr-FR"/>
        </w:rPr>
        <w:t xml:space="preserve"> System Center 2012 R2 Client Management Suite</w:t>
      </w:r>
      <w:bookmarkEnd w:id="1540"/>
    </w:p>
    <w:p w:rsidR="00A83EBB" w:rsidRPr="00C83DF5" w:rsidRDefault="00A83EBB" w:rsidP="00A83EBB">
      <w:pPr>
        <w:rPr>
          <w:lang w:val="fr-FR"/>
        </w:rPr>
      </w:pPr>
    </w:p>
    <w:p w:rsidR="00A83EBB" w:rsidRPr="00C83DF5" w:rsidRDefault="00A83EBB" w:rsidP="00DE02E2">
      <w:pPr>
        <w:numPr>
          <w:ilvl w:val="0"/>
          <w:numId w:val="52"/>
        </w:numPr>
        <w:spacing w:afterLines="60" w:after="144"/>
        <w:ind w:left="1440" w:hanging="274"/>
      </w:pPr>
      <w:r w:rsidRPr="00C83DF5">
        <w:rPr>
          <w:rFonts w:eastAsia="Calibri" w:cs="Tahoma"/>
          <w:szCs w:val="18"/>
        </w:rPr>
        <w:t>System Center 2012 R2 Client Management Suite ist die nächste Version von System Center 2012 Client Management Suite.</w:t>
      </w:r>
    </w:p>
    <w:p w:rsidR="00A83EBB" w:rsidRPr="00C83DF5" w:rsidRDefault="00A83EBB" w:rsidP="006C5248">
      <w:pPr>
        <w:numPr>
          <w:ilvl w:val="0"/>
          <w:numId w:val="52"/>
        </w:numPr>
        <w:spacing w:afterLines="60" w:after="144"/>
        <w:ind w:left="1440" w:hanging="274"/>
      </w:pPr>
      <w:r w:rsidRPr="00C83DF5">
        <w:rPr>
          <w:b/>
          <w:color w:val="000000"/>
          <w:lang w:val="de-DE"/>
        </w:rPr>
        <w:t xml:space="preserve"> </w:t>
      </w:r>
      <w:r w:rsidRPr="00C83DF5">
        <w:rPr>
          <w:rFonts w:eastAsia="Calibri" w:cs="Tahoma"/>
          <w:szCs w:val="18"/>
          <w:lang w:val="de-DE"/>
        </w:rPr>
        <w:t>System Center Client Management Suite</w:t>
      </w:r>
      <w:r w:rsidRPr="00C83DF5">
        <w:rPr>
          <w:color w:val="000000"/>
          <w:lang w:val="de-DE"/>
        </w:rPr>
        <w:t>-Kunden, die am 1. April 2012 über Software Assurance für System Center Client Management Suite verfügten, sind möglicherweise berechtigt, unter speziellen Bestimmungen auf die Version 2012 upzugraden</w:t>
      </w:r>
      <w:r w:rsidRPr="00C83DF5">
        <w:rPr>
          <w:rFonts w:eastAsia="Calibri" w:cs="Tahoma"/>
          <w:szCs w:val="18"/>
          <w:lang w:val="de-DE"/>
        </w:rPr>
        <w:t>.</w:t>
      </w:r>
      <w:r w:rsidR="00E71F46" w:rsidRPr="00C83DF5">
        <w:rPr>
          <w:rFonts w:eastAsia="Calibri" w:cs="Tahoma"/>
          <w:szCs w:val="18"/>
          <w:lang w:val="de-DE"/>
        </w:rPr>
        <w:t xml:space="preserve"> </w:t>
      </w:r>
      <w:r w:rsidRPr="00C83DF5">
        <w:rPr>
          <w:rFonts w:eastAsia="Calibri" w:cs="Tahoma"/>
          <w:szCs w:val="18"/>
        </w:rPr>
        <w:t>Nähere Informationen finden Sie in der</w:t>
      </w:r>
      <w:r w:rsidR="006C5248">
        <w:rPr>
          <w:rFonts w:eastAsia="Calibri" w:cs="Tahoma"/>
          <w:szCs w:val="18"/>
        </w:rPr>
        <w:t> </w:t>
      </w:r>
      <w:r w:rsidRPr="00C83DF5">
        <w:rPr>
          <w:rFonts w:eastAsia="Calibri" w:cs="Tahoma"/>
          <w:szCs w:val="18"/>
        </w:rPr>
        <w:t>Produktliste von Oktober 2013.</w:t>
      </w:r>
    </w:p>
    <w:p w:rsidR="00A83EBB" w:rsidRDefault="00A83EBB" w:rsidP="006C5248">
      <w:pPr>
        <w:ind w:left="1166"/>
        <w:rPr>
          <w:lang w:val="de-DE"/>
        </w:rPr>
      </w:pPr>
    </w:p>
    <w:p w:rsidR="006C5248" w:rsidRPr="006C5248" w:rsidRDefault="006C5248" w:rsidP="006C5248">
      <w:pPr>
        <w:ind w:left="1166"/>
        <w:rPr>
          <w:lang w:val="de-DE"/>
        </w:rPr>
      </w:pPr>
    </w:p>
    <w:p w:rsidR="00A83EBB" w:rsidRPr="00C83DF5" w:rsidRDefault="00162ADA" w:rsidP="00A83EBB">
      <w:pPr>
        <w:pStyle w:val="Heading3"/>
      </w:pPr>
      <w:bookmarkStart w:id="1541" w:name="_97_System_Center_1"/>
      <w:bookmarkStart w:id="1542" w:name="_Toc370983465"/>
      <w:bookmarkEnd w:id="1541"/>
      <w:r w:rsidRPr="00C83DF5">
        <w:rPr>
          <w:rFonts w:ascii="Tahoma" w:hAnsi="Tahoma" w:cs="Tahoma"/>
          <w:caps/>
          <w:color w:val="FF6F0D"/>
          <w:sz w:val="22"/>
          <w:szCs w:val="22"/>
          <w:vertAlign w:val="superscript"/>
        </w:rPr>
        <w:t>97</w:t>
      </w:r>
      <w:r w:rsidRPr="00C83DF5">
        <w:rPr>
          <w:rFonts w:ascii="Tahoma" w:hAnsi="Tahoma" w:cs="Tahoma"/>
          <w:color w:val="FF6F0D"/>
          <w:sz w:val="22"/>
          <w:szCs w:val="22"/>
        </w:rPr>
        <w:t xml:space="preserve"> System Center 2012 R2 Configuration Manager</w:t>
      </w:r>
      <w:bookmarkEnd w:id="1542"/>
    </w:p>
    <w:p w:rsidR="00A83EBB" w:rsidRPr="00C83DF5" w:rsidRDefault="00A83EBB" w:rsidP="00A83EBB"/>
    <w:p w:rsidR="00A83EBB" w:rsidRPr="00C83DF5" w:rsidRDefault="00A83EBB" w:rsidP="00DE02E2">
      <w:pPr>
        <w:numPr>
          <w:ilvl w:val="0"/>
          <w:numId w:val="52"/>
        </w:numPr>
        <w:spacing w:afterLines="60" w:after="144"/>
        <w:ind w:left="1440" w:hanging="274"/>
        <w:rPr>
          <w:lang w:val="de-DE"/>
        </w:rPr>
      </w:pPr>
      <w:r w:rsidRPr="00C83DF5">
        <w:rPr>
          <w:rFonts w:eastAsia="Calibri" w:cs="Tahoma"/>
          <w:szCs w:val="18"/>
          <w:lang w:val="de-DE"/>
        </w:rPr>
        <w:t>System Center 2012 R2 Configuration Manager ist die nächste Version von System Center 2012 Configuration Manager.</w:t>
      </w:r>
    </w:p>
    <w:p w:rsidR="00A83EBB" w:rsidRPr="00C83DF5" w:rsidRDefault="00A83EBB" w:rsidP="004F2A4E">
      <w:pPr>
        <w:numPr>
          <w:ilvl w:val="0"/>
          <w:numId w:val="52"/>
        </w:numPr>
        <w:ind w:left="1440" w:hanging="274"/>
      </w:pPr>
      <w:r w:rsidRPr="00C83DF5">
        <w:rPr>
          <w:b/>
          <w:color w:val="000000"/>
          <w:lang w:val="de-DE"/>
        </w:rPr>
        <w:t xml:space="preserve"> </w:t>
      </w:r>
      <w:r w:rsidRPr="00C83DF5">
        <w:rPr>
          <w:rFonts w:eastAsia="Calibri" w:cs="Tahoma"/>
          <w:szCs w:val="18"/>
          <w:lang w:val="de-DE"/>
        </w:rPr>
        <w:t>System Center Configuration Manager</w:t>
      </w:r>
      <w:r w:rsidRPr="00C83DF5">
        <w:rPr>
          <w:color w:val="000000"/>
          <w:lang w:val="de-DE"/>
        </w:rPr>
        <w:t>-Kunden, die am 1. April 2012 über Software Assurance für System Center Configuration Manager verfügten, sind möglicherweise berechtigt, unter speziellen Bestimmungen auf die Version 2012 upzugraden</w:t>
      </w:r>
      <w:r w:rsidRPr="00C83DF5">
        <w:rPr>
          <w:rFonts w:eastAsia="Calibri" w:cs="Tahoma"/>
          <w:szCs w:val="18"/>
          <w:lang w:val="de-DE"/>
        </w:rPr>
        <w:t>.</w:t>
      </w:r>
      <w:r w:rsidR="00E71F46" w:rsidRPr="00C83DF5">
        <w:rPr>
          <w:rFonts w:eastAsia="Calibri" w:cs="Tahoma"/>
          <w:szCs w:val="18"/>
          <w:lang w:val="de-DE"/>
        </w:rPr>
        <w:t xml:space="preserve"> </w:t>
      </w:r>
      <w:r w:rsidRPr="00C83DF5">
        <w:rPr>
          <w:rFonts w:eastAsia="Calibri" w:cs="Tahoma"/>
          <w:szCs w:val="18"/>
        </w:rPr>
        <w:t>Nähere Informationen finden Sie in der Produktliste von Oktober 2013.</w:t>
      </w:r>
    </w:p>
    <w:p w:rsidR="00FF4CAB" w:rsidRPr="006C5248" w:rsidRDefault="00E822D9" w:rsidP="006C5248">
      <w:pPr>
        <w:ind w:left="1166"/>
        <w:rPr>
          <w:lang w:val="de-DE"/>
        </w:rPr>
      </w:pPr>
      <w:r w:rsidRPr="00C83DF5">
        <w:rPr>
          <w:rFonts w:cs="Tahoma"/>
          <w:szCs w:val="18"/>
        </w:rPr>
        <w:t xml:space="preserve"> </w:t>
      </w:r>
    </w:p>
    <w:p w:rsidR="00FF4CAB" w:rsidRPr="006C5248" w:rsidRDefault="00FF4CAB" w:rsidP="006C5248">
      <w:pPr>
        <w:ind w:left="1166"/>
        <w:rPr>
          <w:lang w:val="de-DE"/>
        </w:rPr>
      </w:pPr>
    </w:p>
    <w:p w:rsidR="00916E81" w:rsidRPr="00C83DF5" w:rsidRDefault="00A560B6" w:rsidP="002D35ED">
      <w:pPr>
        <w:pStyle w:val="Heading3"/>
      </w:pPr>
      <w:bookmarkStart w:id="1543" w:name="_103_System_Center"/>
      <w:bookmarkStart w:id="1544" w:name="_91_System_Center"/>
      <w:bookmarkStart w:id="1545" w:name="_97_System_Center"/>
      <w:bookmarkStart w:id="1546" w:name="Srv_102SysCtr2012EndpointProt"/>
      <w:bookmarkStart w:id="1547" w:name="_Toc336338359"/>
      <w:bookmarkStart w:id="1548" w:name="_Toc370983466"/>
      <w:bookmarkEnd w:id="1543"/>
      <w:bookmarkEnd w:id="1544"/>
      <w:bookmarkEnd w:id="1545"/>
      <w:r w:rsidRPr="00C83DF5">
        <w:rPr>
          <w:rFonts w:ascii="Tahoma" w:hAnsi="Tahoma" w:cs="Tahoma"/>
          <w:caps/>
          <w:color w:val="F66400"/>
          <w:sz w:val="22"/>
          <w:szCs w:val="22"/>
          <w:vertAlign w:val="superscript"/>
        </w:rPr>
        <w:t>98</w:t>
      </w:r>
      <w:r w:rsidRPr="00C83DF5">
        <w:rPr>
          <w:rFonts w:ascii="Tahoma" w:hAnsi="Tahoma" w:cs="Tahoma"/>
          <w:color w:val="F66400"/>
          <w:sz w:val="22"/>
          <w:szCs w:val="22"/>
        </w:rPr>
        <w:t xml:space="preserve"> System Center 2012 R2 Endpoint Protection</w:t>
      </w:r>
      <w:bookmarkEnd w:id="1546"/>
      <w:bookmarkEnd w:id="1547"/>
      <w:bookmarkEnd w:id="1548"/>
    </w:p>
    <w:p w:rsidR="00916E81" w:rsidRPr="006C5248" w:rsidRDefault="00916E81" w:rsidP="006C5248">
      <w:pPr>
        <w:ind w:left="1166"/>
        <w:rPr>
          <w:lang w:val="de-DE"/>
        </w:rPr>
      </w:pPr>
    </w:p>
    <w:p w:rsidR="00C21BCF" w:rsidRPr="00C83DF5" w:rsidRDefault="00A0581B" w:rsidP="00A0581B">
      <w:pPr>
        <w:spacing w:after="60"/>
        <w:ind w:left="720"/>
      </w:pPr>
      <w:r w:rsidRPr="00C83DF5">
        <w:rPr>
          <w:rFonts w:eastAsia="Calibri" w:cs="Tahoma"/>
          <w:b/>
          <w:szCs w:val="18"/>
        </w:rPr>
        <w:t>Upgrades/Downgrade</w:t>
      </w:r>
    </w:p>
    <w:p w:rsidR="00C21BCF" w:rsidRPr="00C83DF5" w:rsidRDefault="00C21BCF" w:rsidP="006C5248">
      <w:pPr>
        <w:ind w:left="720"/>
        <w:rPr>
          <w:lang w:val="de-DE"/>
        </w:rPr>
      </w:pPr>
      <w:r w:rsidRPr="00C83DF5">
        <w:rPr>
          <w:rFonts w:eastAsia="Calibri" w:cs="Tahoma"/>
          <w:szCs w:val="18"/>
          <w:lang w:val="de-DE"/>
        </w:rPr>
        <w:t>Mit Wirkung vom 1. April 2012 ist Forefront Endpoint Protection zu System Center 2012 Endpoint Protection</w:t>
      </w:r>
      <w:r w:rsidR="006C5248">
        <w:rPr>
          <w:rFonts w:eastAsia="Calibri" w:cs="Tahoma"/>
          <w:szCs w:val="18"/>
          <w:lang w:val="de-DE"/>
        </w:rPr>
        <w:t> </w:t>
      </w:r>
      <w:r w:rsidRPr="00C83DF5">
        <w:rPr>
          <w:rFonts w:eastAsia="Calibri" w:cs="Tahoma"/>
          <w:szCs w:val="18"/>
          <w:lang w:val="de-DE"/>
        </w:rPr>
        <w:t>geworden. System Center 2012 R2 Endpoint Protection gewährt als eigenständiges Angebot nur</w:t>
      </w:r>
      <w:r w:rsidR="006C5248">
        <w:rPr>
          <w:rFonts w:eastAsia="Calibri" w:cs="Tahoma"/>
          <w:szCs w:val="18"/>
          <w:lang w:val="de-DE"/>
        </w:rPr>
        <w:t> </w:t>
      </w:r>
      <w:r w:rsidRPr="00C83DF5">
        <w:rPr>
          <w:rFonts w:eastAsia="Calibri" w:cs="Tahoma"/>
          <w:szCs w:val="18"/>
          <w:lang w:val="de-DE"/>
        </w:rPr>
        <w:t>Nutzungsrechte zum Schutz von Clientgeräten. Nutzungsrechte zum Schutz von Servergeräten können nur durch Erwerb von Server-Management-Lizenzen für System Center 2012 R2 Standard oder Datacenter erworben werden.</w:t>
      </w:r>
    </w:p>
    <w:p w:rsidR="00C21BCF" w:rsidRPr="00C83DF5" w:rsidRDefault="00C21BCF" w:rsidP="006C5248">
      <w:pPr>
        <w:ind w:left="1166"/>
        <w:rPr>
          <w:lang w:val="de-DE"/>
        </w:rPr>
      </w:pPr>
    </w:p>
    <w:p w:rsidR="00C21BCF" w:rsidRPr="00C83DF5" w:rsidRDefault="00C21BCF" w:rsidP="006C5248">
      <w:pPr>
        <w:ind w:left="720"/>
        <w:rPr>
          <w:lang w:val="de-DE"/>
        </w:rPr>
      </w:pPr>
      <w:r w:rsidRPr="00C83DF5">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w:t>
      </w:r>
      <w:r w:rsidR="006C5248">
        <w:rPr>
          <w:rFonts w:eastAsia="Calibri" w:cs="Tahoma"/>
          <w:szCs w:val="18"/>
          <w:lang w:val="de-DE"/>
        </w:rPr>
        <w:t> </w:t>
      </w:r>
      <w:r w:rsidRPr="00C83DF5">
        <w:rPr>
          <w:rFonts w:eastAsia="Calibri" w:cs="Tahoma"/>
          <w:szCs w:val="18"/>
          <w:lang w:val="de-DE"/>
        </w:rPr>
        <w:t>berechtigt, ein Downgrade auf Forefront Endpoint Protection durchzuführen.</w:t>
      </w:r>
    </w:p>
    <w:p w:rsidR="00C21BCF" w:rsidRPr="00C83DF5" w:rsidRDefault="00C21BCF" w:rsidP="006C5248">
      <w:pPr>
        <w:ind w:left="1166"/>
        <w:rPr>
          <w:lang w:val="de-DE"/>
        </w:rPr>
      </w:pPr>
    </w:p>
    <w:p w:rsidR="00C21BCF" w:rsidRPr="00C83DF5" w:rsidRDefault="00C21BCF" w:rsidP="00C21BCF">
      <w:pPr>
        <w:ind w:left="720"/>
        <w:rPr>
          <w:lang w:val="de-DE"/>
        </w:rPr>
      </w:pPr>
      <w:r w:rsidRPr="00C83DF5">
        <w:rPr>
          <w:rFonts w:eastAsia="Calibri" w:cs="Tahoma"/>
          <w:szCs w:val="18"/>
          <w:lang w:val="de-DE"/>
        </w:rPr>
        <w:t>System Center 2012 R2 Configuration Manager ist die Verwaltungskonsole für System Center 2012 Endpoint Protection.</w:t>
      </w:r>
      <w:r w:rsidR="00E71F46" w:rsidRPr="00C83DF5">
        <w:rPr>
          <w:rFonts w:eastAsia="Calibri" w:cs="Tahoma"/>
          <w:szCs w:val="18"/>
          <w:lang w:val="de-DE"/>
        </w:rPr>
        <w:t xml:space="preserve"> </w:t>
      </w:r>
      <w:r w:rsidRPr="00C83DF5">
        <w:rPr>
          <w:rFonts w:eastAsia="Calibri" w:cs="Tahoma"/>
          <w:szCs w:val="18"/>
          <w:lang w:val="de-DE"/>
        </w:rPr>
        <w:t>Kunden müssen für System Center 2012 R2 Configuration Manager lizenziert sein, um System Center 2012 R2 Endpoint Protection verwalten zu können.</w:t>
      </w:r>
      <w:r w:rsidR="00E71F46" w:rsidRPr="00C83DF5">
        <w:rPr>
          <w:rFonts w:eastAsia="Calibri" w:cs="Tahoma"/>
          <w:szCs w:val="18"/>
          <w:lang w:val="de-DE"/>
        </w:rPr>
        <w:t xml:space="preserve"> </w:t>
      </w:r>
      <w:r w:rsidRPr="00C83DF5">
        <w:rPr>
          <w:rFonts w:eastAsia="Calibri" w:cs="Tahoma"/>
          <w:szCs w:val="18"/>
          <w:lang w:val="de-DE"/>
        </w:rPr>
        <w:t>Alternativ kann System Center 2012 R2 Endpoint Protection unverwaltet verwendet werden, ohne dass System Center 2012 R2 Configuration Manager lizenziert werden muss.</w:t>
      </w:r>
      <w:r w:rsidR="00E71F46" w:rsidRPr="00C83DF5">
        <w:rPr>
          <w:rFonts w:eastAsia="Calibri" w:cs="Tahoma"/>
          <w:szCs w:val="18"/>
          <w:lang w:val="de-DE"/>
        </w:rPr>
        <w:t xml:space="preserve"> </w:t>
      </w:r>
    </w:p>
    <w:p w:rsidR="00C21BCF" w:rsidRPr="00C83DF5" w:rsidRDefault="00C21BCF" w:rsidP="006C5248">
      <w:pPr>
        <w:ind w:left="1166"/>
        <w:rPr>
          <w:lang w:val="de-DE"/>
        </w:rPr>
      </w:pPr>
    </w:p>
    <w:p w:rsidR="00C21BCF" w:rsidRPr="00C83DF5" w:rsidRDefault="00A0581B" w:rsidP="00A0581B">
      <w:pPr>
        <w:spacing w:after="60"/>
        <w:ind w:left="720"/>
        <w:rPr>
          <w:lang w:val="de-DE"/>
        </w:rPr>
      </w:pPr>
      <w:r w:rsidRPr="00C83DF5">
        <w:rPr>
          <w:rFonts w:eastAsia="Calibri" w:cs="Tahoma"/>
          <w:b/>
          <w:szCs w:val="18"/>
          <w:lang w:val="de-DE"/>
        </w:rPr>
        <w:t>Heimnutzung</w:t>
      </w:r>
    </w:p>
    <w:p w:rsidR="00FF4CAB" w:rsidRPr="00C83DF5" w:rsidRDefault="00C21BCF" w:rsidP="006C5248">
      <w:pPr>
        <w:ind w:left="720"/>
        <w:rPr>
          <w:lang w:val="de-DE"/>
        </w:rPr>
      </w:pPr>
      <w:r w:rsidRPr="00C83DF5">
        <w:rPr>
          <w:rFonts w:eastAsia="Calibri" w:cs="Tahoma"/>
          <w:szCs w:val="18"/>
          <w:lang w:val="de-DE"/>
        </w:rPr>
        <w:t>Kunden mit aktuellen Nutzer-Abonnementlizenzen für System Center 2012 Endpoint Protection sind für das</w:t>
      </w:r>
      <w:r w:rsidR="006C5248">
        <w:rPr>
          <w:rFonts w:eastAsia="Calibri" w:cs="Tahoma"/>
          <w:szCs w:val="18"/>
          <w:lang w:val="de-DE"/>
        </w:rPr>
        <w:t> </w:t>
      </w:r>
      <w:r w:rsidRPr="00C83DF5">
        <w:rPr>
          <w:rFonts w:eastAsia="Calibri" w:cs="Tahoma"/>
          <w:szCs w:val="18"/>
          <w:lang w:val="de-DE"/>
        </w:rPr>
        <w:t>Home Use Program qualifiziert.</w:t>
      </w:r>
    </w:p>
    <w:p w:rsidR="00A0581B" w:rsidRDefault="00A0581B" w:rsidP="00A0581B">
      <w:pPr>
        <w:rPr>
          <w:lang w:val="de-DE"/>
        </w:rPr>
      </w:pPr>
    </w:p>
    <w:p w:rsidR="00913296" w:rsidRDefault="00913296" w:rsidP="00A0581B">
      <w:pPr>
        <w:rPr>
          <w:lang w:val="de-DE"/>
        </w:rPr>
      </w:pPr>
    </w:p>
    <w:p w:rsidR="00913296" w:rsidRDefault="00913296" w:rsidP="00A0581B">
      <w:pPr>
        <w:rPr>
          <w:lang w:val="de-DE"/>
        </w:rPr>
      </w:pPr>
    </w:p>
    <w:p w:rsidR="00913296" w:rsidRPr="00C83DF5" w:rsidRDefault="00913296" w:rsidP="00A0581B">
      <w:pPr>
        <w:rPr>
          <w:lang w:val="de-DE"/>
        </w:rPr>
      </w:pPr>
    </w:p>
    <w:p w:rsidR="001704C2" w:rsidRPr="00C83DF5" w:rsidRDefault="001704C2" w:rsidP="001704C2">
      <w:pPr>
        <w:rPr>
          <w:lang w:val="de-DE"/>
        </w:rPr>
      </w:pPr>
      <w:bookmarkStart w:id="1549" w:name="_91_TechNet_Plus"/>
      <w:bookmarkStart w:id="1550" w:name="_98_TechNet_Plus"/>
      <w:bookmarkEnd w:id="1534"/>
      <w:bookmarkEnd w:id="1549"/>
      <w:bookmarkEnd w:id="1550"/>
    </w:p>
    <w:p w:rsidR="00E8145C" w:rsidRPr="00C83DF5" w:rsidRDefault="005B4D93" w:rsidP="00E8145C">
      <w:pPr>
        <w:pStyle w:val="Heading2"/>
        <w:ind w:left="0"/>
        <w:rPr>
          <w:lang w:val="de-DE"/>
        </w:rPr>
      </w:pPr>
      <w:bookmarkStart w:id="1551" w:name="_92_Visual_Studio"/>
      <w:bookmarkStart w:id="1552" w:name="_90_VDI_Standard"/>
      <w:bookmarkStart w:id="1553" w:name="_99_VDI_Standard"/>
      <w:bookmarkStart w:id="1554" w:name="_91_Vexcel_Server,"/>
      <w:bookmarkStart w:id="1555" w:name="_105_Windows_Azure"/>
      <w:bookmarkStart w:id="1556" w:name="_100_Windows_Azure"/>
      <w:bookmarkStart w:id="1557" w:name="_99_Windows_Azure-Dienste"/>
      <w:bookmarkStart w:id="1558" w:name="_Toc336338362"/>
      <w:bookmarkStart w:id="1559" w:name="Srv_94VSLoadTestVirtualUserPack10"/>
      <w:bookmarkStart w:id="1560" w:name="_Toc370983467"/>
      <w:bookmarkEnd w:id="1551"/>
      <w:bookmarkEnd w:id="1552"/>
      <w:bookmarkEnd w:id="1553"/>
      <w:bookmarkEnd w:id="1554"/>
      <w:bookmarkEnd w:id="1555"/>
      <w:bookmarkEnd w:id="1556"/>
      <w:bookmarkEnd w:id="1557"/>
      <w:r w:rsidRPr="00C83DF5">
        <w:rPr>
          <w:rFonts w:ascii="Tahoma" w:hAnsi="Tahoma" w:cs="Tahoma"/>
          <w:caps/>
          <w:color w:val="EE6000"/>
          <w:sz w:val="22"/>
          <w:szCs w:val="18"/>
          <w:vertAlign w:val="superscript"/>
          <w:lang w:val="de-DE"/>
        </w:rPr>
        <w:lastRenderedPageBreak/>
        <w:t>99</w:t>
      </w:r>
      <w:r w:rsidRPr="00913296">
        <w:rPr>
          <w:rFonts w:ascii="Tahoma" w:hAnsi="Tahoma" w:cs="Tahoma"/>
          <w:caps/>
          <w:color w:val="EE6000"/>
          <w:sz w:val="22"/>
          <w:szCs w:val="18"/>
          <w:lang w:val="de-DE"/>
        </w:rPr>
        <w:t xml:space="preserve"> </w:t>
      </w:r>
      <w:r w:rsidRPr="00C83DF5">
        <w:rPr>
          <w:rFonts w:ascii="Tahoma" w:hAnsi="Tahoma" w:cs="Tahoma"/>
          <w:color w:val="F8701C"/>
          <w:sz w:val="22"/>
          <w:szCs w:val="22"/>
          <w:lang w:val="de-DE"/>
        </w:rPr>
        <w:t>Windows Azure-Dienste</w:t>
      </w:r>
      <w:bookmarkEnd w:id="1558"/>
      <w:bookmarkEnd w:id="1560"/>
    </w:p>
    <w:p w:rsidR="00E8145C" w:rsidRPr="00C83DF5" w:rsidRDefault="00E8145C" w:rsidP="00B76943">
      <w:pPr>
        <w:widowControl w:val="0"/>
        <w:jc w:val="both"/>
        <w:rPr>
          <w:lang w:val="de-DE"/>
        </w:rPr>
      </w:pPr>
    </w:p>
    <w:p w:rsidR="00B76943" w:rsidRPr="00C83DF5" w:rsidRDefault="00E8145C" w:rsidP="00B76943">
      <w:pPr>
        <w:widowControl w:val="0"/>
        <w:spacing w:after="60"/>
        <w:ind w:left="720"/>
        <w:jc w:val="both"/>
        <w:rPr>
          <w:lang w:val="de-DE"/>
        </w:rPr>
      </w:pPr>
      <w:r w:rsidRPr="00C83DF5">
        <w:rPr>
          <w:b/>
          <w:color w:val="000000"/>
          <w:lang w:val="de-DE"/>
        </w:rPr>
        <w:t>Windows Azure Compute-Ressourcenverpflichtung</w:t>
      </w:r>
    </w:p>
    <w:p w:rsidR="00E8145C" w:rsidRPr="00C83DF5" w:rsidRDefault="00E8145C" w:rsidP="00913296">
      <w:pPr>
        <w:widowControl w:val="0"/>
        <w:ind w:left="720"/>
        <w:jc w:val="both"/>
        <w:rPr>
          <w:lang w:val="de-DE"/>
        </w:rPr>
      </w:pPr>
      <w:r w:rsidRPr="00C83DF5">
        <w:rPr>
          <w:lang w:val="de-DE"/>
        </w:rPr>
        <w:t xml:space="preserve">Für Windows Azure Compute erklärt sich Microsoft damit einverstanden, dem Kunden eine Compute-Ressourcenverpflichtung zur Verfügung zu stellen. Die Compute-Ressourcenverpflichtung beträgt (1) </w:t>
      </w:r>
      <w:r w:rsidRPr="00C83DF5">
        <w:rPr>
          <w:rFonts w:eastAsia="Times New Roman"/>
          <w:color w:val="000000"/>
          <w:lang w:val="de-DE"/>
        </w:rPr>
        <w:t>50</w:t>
      </w:r>
      <w:r w:rsidR="00913296">
        <w:rPr>
          <w:rFonts w:eastAsia="Times New Roman"/>
          <w:color w:val="000000"/>
          <w:lang w:val="de-DE"/>
        </w:rPr>
        <w:t> </w:t>
      </w:r>
      <w:r w:rsidRPr="00C83DF5">
        <w:rPr>
          <w:rFonts w:eastAsia="Times New Roman"/>
          <w:color w:val="000000"/>
          <w:lang w:val="de-DE"/>
        </w:rPr>
        <w:t xml:space="preserve">gleichzeitige kleine Compute-Instanzen pro Monat oder (2) </w:t>
      </w:r>
      <w:r w:rsidRPr="00C83DF5">
        <w:rPr>
          <w:lang w:val="de-DE"/>
        </w:rPr>
        <w:t>125% 125</w:t>
      </w:r>
      <w:r w:rsidR="00855C44">
        <w:rPr>
          <w:lang w:val="de-DE"/>
        </w:rPr>
        <w:t>%</w:t>
      </w:r>
      <w:r w:rsidRPr="00C83DF5">
        <w:rPr>
          <w:lang w:val="de-DE"/>
        </w:rPr>
        <w:t xml:space="preserve"> der Voraussichtlichen Compute-Nutzung des Kunden (wie nachstehend berechnet), wobei der größere Wert maßgeblich ist. </w:t>
      </w:r>
    </w:p>
    <w:p w:rsidR="00B76943" w:rsidRPr="00C83DF5" w:rsidRDefault="00B76943" w:rsidP="00B76943">
      <w:pPr>
        <w:widowControl w:val="0"/>
        <w:ind w:left="720"/>
        <w:jc w:val="both"/>
        <w:rPr>
          <w:lang w:val="de-DE"/>
        </w:rPr>
      </w:pPr>
    </w:p>
    <w:p w:rsidR="00E8145C" w:rsidRPr="00C83DF5" w:rsidRDefault="00E8145C" w:rsidP="00B76943">
      <w:pPr>
        <w:widowControl w:val="0"/>
        <w:ind w:left="720"/>
        <w:jc w:val="both"/>
        <w:rPr>
          <w:lang w:val="de-DE"/>
        </w:rPr>
      </w:pPr>
      <w:r w:rsidRPr="00C83DF5">
        <w:rPr>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C83DF5">
        <w:rPr>
          <w:rFonts w:cs="Tahoma"/>
          <w:szCs w:val="18"/>
          <w:lang w:val="de-DE"/>
        </w:rPr>
        <w:t>Abonnementoption mit identischer Laufzeit</w:t>
      </w:r>
      <w:r w:rsidRPr="00C83DF5">
        <w:rPr>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B76943" w:rsidRPr="00C83DF5" w:rsidRDefault="00B76943" w:rsidP="00B76943">
      <w:pPr>
        <w:widowControl w:val="0"/>
        <w:ind w:left="720"/>
        <w:jc w:val="both"/>
        <w:rPr>
          <w:lang w:val="de-DE"/>
        </w:rPr>
      </w:pPr>
    </w:p>
    <w:p w:rsidR="00E8145C" w:rsidRPr="00C83DF5" w:rsidRDefault="00E8145C" w:rsidP="00B76943">
      <w:pPr>
        <w:widowControl w:val="0"/>
        <w:ind w:left="720"/>
        <w:jc w:val="both"/>
        <w:rPr>
          <w:lang w:val="de-DE"/>
        </w:rPr>
      </w:pPr>
      <w:r w:rsidRPr="00C83DF5">
        <w:rPr>
          <w:lang w:val="de-DE"/>
        </w:rPr>
        <w:t>Wenn Microsoft es versäumt, die Compute-Ressourcenverpflichtung einzuhalten, erhält die Gesellschaft eine Gutschrift, die 25</w:t>
      </w:r>
      <w:r w:rsidR="00855C44">
        <w:rPr>
          <w:lang w:val="de-DE"/>
        </w:rPr>
        <w:t>%</w:t>
      </w:r>
      <w:r w:rsidRPr="00C83DF5">
        <w:rPr>
          <w:lang w:val="de-DE"/>
        </w:rPr>
        <w:t xml:space="preserve">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rsidR="00E8145C" w:rsidRPr="00C83DF5" w:rsidRDefault="00E8145C" w:rsidP="00B76943">
      <w:pPr>
        <w:widowControl w:val="0"/>
        <w:ind w:left="720"/>
        <w:jc w:val="both"/>
        <w:rPr>
          <w:lang w:val="de-DE"/>
        </w:rPr>
      </w:pPr>
      <w:r w:rsidRPr="00C83DF5">
        <w:rPr>
          <w:lang w:val="de-DE"/>
        </w:rPr>
        <w:t>Die gesamte Nutzung von Windows Azure Compute, die über der Compute-Ressourcenverpflichtung liegt, wird „je nach Verfügbarkeit“ genutzt. Die gesamte Nutzung von anderen Windows Azure-Diensten als Windows Azure Compute wird „</w:t>
      </w:r>
      <w:r w:rsidR="00C9659D">
        <w:rPr>
          <w:lang w:val="de-DE"/>
        </w:rPr>
        <w:t>je nach Verfügbarkeit“ genutzt.</w:t>
      </w:r>
    </w:p>
    <w:p w:rsidR="00152361" w:rsidRPr="00C83DF5" w:rsidRDefault="00152361" w:rsidP="00913296">
      <w:pPr>
        <w:ind w:left="1166"/>
        <w:rPr>
          <w:lang w:val="de-DE"/>
        </w:rPr>
      </w:pPr>
    </w:p>
    <w:p w:rsidR="00FF4CAB" w:rsidRPr="00C83DF5" w:rsidRDefault="00FF4CAB" w:rsidP="00913296">
      <w:pPr>
        <w:ind w:left="1166"/>
        <w:rPr>
          <w:lang w:val="de-DE"/>
        </w:rPr>
      </w:pPr>
    </w:p>
    <w:p w:rsidR="00ED12C0" w:rsidRPr="00C83DF5" w:rsidRDefault="00A560B6" w:rsidP="00ED12C0">
      <w:pPr>
        <w:pStyle w:val="Heading2"/>
        <w:ind w:left="0"/>
      </w:pPr>
      <w:bookmarkStart w:id="1561" w:name="_98_Windows_Embedded"/>
      <w:bookmarkStart w:id="1562" w:name="_101_Windows_Embedded"/>
      <w:bookmarkStart w:id="1563" w:name="_100_Windows_Embedded"/>
      <w:bookmarkStart w:id="1564" w:name="Srv_107WindowsEmbeddedDeviceMgr2011"/>
      <w:bookmarkStart w:id="1565" w:name="_Toc336338363"/>
      <w:bookmarkStart w:id="1566" w:name="Srv_93SBS2008PremiumEdition"/>
      <w:bookmarkStart w:id="1567" w:name="_Toc370983468"/>
      <w:bookmarkEnd w:id="1559"/>
      <w:bookmarkEnd w:id="1561"/>
      <w:bookmarkEnd w:id="1562"/>
      <w:bookmarkEnd w:id="1563"/>
      <w:r w:rsidRPr="00C83DF5">
        <w:rPr>
          <w:rFonts w:ascii="Tahoma" w:hAnsi="Tahoma" w:cs="Tahoma"/>
          <w:caps/>
          <w:color w:val="FF6600"/>
          <w:sz w:val="22"/>
          <w:vertAlign w:val="superscript"/>
        </w:rPr>
        <w:t>100</w:t>
      </w:r>
      <w:r w:rsidRPr="00F24992">
        <w:rPr>
          <w:rFonts w:ascii="Tahoma" w:hAnsi="Tahoma" w:cs="Tahoma"/>
          <w:color w:val="FF6600"/>
          <w:sz w:val="22"/>
          <w:szCs w:val="22"/>
        </w:rPr>
        <w:t xml:space="preserve"> </w:t>
      </w:r>
      <w:r w:rsidRPr="00C83DF5">
        <w:rPr>
          <w:rFonts w:ascii="Tahoma" w:hAnsi="Tahoma" w:cs="Tahoma"/>
          <w:color w:val="FF6600"/>
          <w:sz w:val="22"/>
        </w:rPr>
        <w:t>Windows Embedded Device Manager 2011 – Management Server-Lizenz</w:t>
      </w:r>
      <w:bookmarkEnd w:id="1564"/>
      <w:bookmarkEnd w:id="1565"/>
      <w:bookmarkEnd w:id="1567"/>
    </w:p>
    <w:p w:rsidR="00ED12C0" w:rsidRPr="00C83DF5" w:rsidRDefault="00ED12C0" w:rsidP="00B76943"/>
    <w:p w:rsidR="00ED12C0" w:rsidRPr="00C83DF5" w:rsidRDefault="00ED12C0" w:rsidP="00B76943">
      <w:pPr>
        <w:pStyle w:val="EndnoteText"/>
        <w:ind w:left="720"/>
        <w:rPr>
          <w:lang w:val="de-DE"/>
        </w:rPr>
      </w:pPr>
      <w:r w:rsidRPr="00C83DF5">
        <w:rPr>
          <w:rFonts w:ascii="Tahoma" w:hAnsi="Tahoma" w:cs="Tahoma"/>
          <w:color w:val="000000"/>
          <w:sz w:val="18"/>
          <w:lang w:val="de-DE"/>
        </w:rPr>
        <w:t>Dieses Produkt hat den Status End-Of-Life (EOL) und wird nicht mehr angeboten.</w:t>
      </w:r>
    </w:p>
    <w:p w:rsidR="00ED12C0" w:rsidRPr="00C83DF5" w:rsidRDefault="00ED12C0" w:rsidP="00913296">
      <w:pPr>
        <w:ind w:left="1166"/>
        <w:rPr>
          <w:lang w:val="de-DE"/>
        </w:rPr>
      </w:pPr>
    </w:p>
    <w:p w:rsidR="00ED12C0" w:rsidRPr="00C83DF5" w:rsidRDefault="00ED12C0" w:rsidP="00B76943">
      <w:pPr>
        <w:pStyle w:val="EndnoteText"/>
        <w:spacing w:after="60"/>
        <w:ind w:left="720"/>
        <w:rPr>
          <w:lang w:val="de-DE"/>
        </w:rPr>
      </w:pPr>
      <w:r w:rsidRPr="00C83DF5">
        <w:rPr>
          <w:rFonts w:ascii="Tahoma" w:hAnsi="Tahoma" w:cs="Tahoma"/>
          <w:b/>
          <w:color w:val="000000"/>
          <w:sz w:val="18"/>
          <w:lang w:val="de-DE"/>
        </w:rPr>
        <w:t>Einmalige Lizenzgewährung an Lizenzinhaber von Windows Embedded Device Manager 2011 mit aktiver Software Assurance</w:t>
      </w:r>
    </w:p>
    <w:p w:rsidR="002512D3" w:rsidRPr="00C83DF5" w:rsidRDefault="00ED12C0" w:rsidP="003165D6">
      <w:pPr>
        <w:pStyle w:val="EndnoteText"/>
        <w:ind w:left="720"/>
        <w:rPr>
          <w:lang w:val="de-DE"/>
        </w:rPr>
      </w:pPr>
      <w:r w:rsidRPr="00C83DF5">
        <w:rPr>
          <w:rFonts w:ascii="Tahoma" w:hAnsi="Tahoma" w:cs="Tahoma"/>
          <w:color w:val="000000"/>
          <w:sz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r w:rsidRPr="00C83DF5">
        <w:rPr>
          <w:rFonts w:ascii="Tahoma" w:hAnsi="Tahoma" w:cs="Tahoma"/>
          <w:color w:val="000000"/>
          <w:sz w:val="18"/>
          <w:szCs w:val="20"/>
          <w:lang w:val="de-DE"/>
        </w:rPr>
        <w:t>:</w:t>
      </w:r>
    </w:p>
    <w:p w:rsidR="00ED12C0" w:rsidRPr="00C83DF5" w:rsidRDefault="00ED12C0" w:rsidP="00913296">
      <w:pPr>
        <w:ind w:left="1166"/>
        <w:rPr>
          <w:lang w:val="de-DE"/>
        </w:rPr>
      </w:pPr>
    </w:p>
    <w:p w:rsidR="00ED12C0" w:rsidRPr="00C83DF5" w:rsidRDefault="00ED12C0" w:rsidP="00913296">
      <w:pPr>
        <w:ind w:left="1166"/>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180"/>
      </w:tblGrid>
      <w:tr w:rsidR="00ED12C0" w:rsidRPr="00C83DF5" w:rsidTr="00913296">
        <w:tc>
          <w:tcPr>
            <w:tcW w:w="3960" w:type="dxa"/>
            <w:tcBorders>
              <w:top w:val="single" w:sz="4" w:space="0" w:color="000000"/>
              <w:bottom w:val="single" w:sz="6" w:space="0" w:color="000000"/>
            </w:tcBorders>
            <w:shd w:val="clear" w:color="auto" w:fill="FABF8F"/>
          </w:tcPr>
          <w:p w:rsidR="00ED12C0" w:rsidRPr="00C83DF5" w:rsidRDefault="00ED12C0" w:rsidP="004342E4">
            <w:pPr>
              <w:jc w:val="center"/>
              <w:rPr>
                <w:rFonts w:cs="Tahoma"/>
                <w:b/>
                <w:color w:val="000000"/>
                <w:szCs w:val="20"/>
              </w:rPr>
            </w:pPr>
            <w:r w:rsidRPr="00C83DF5">
              <w:rPr>
                <w:rFonts w:cs="Tahoma"/>
                <w:b/>
                <w:color w:val="000000"/>
                <w:szCs w:val="20"/>
              </w:rPr>
              <w:t>Qualifizierende Lizenzen</w:t>
            </w:r>
          </w:p>
        </w:tc>
        <w:tc>
          <w:tcPr>
            <w:tcW w:w="4180" w:type="dxa"/>
            <w:tcBorders>
              <w:top w:val="single" w:sz="4" w:space="0" w:color="000000"/>
              <w:bottom w:val="single" w:sz="6" w:space="0" w:color="000000"/>
            </w:tcBorders>
            <w:shd w:val="clear" w:color="auto" w:fill="FABF8F"/>
          </w:tcPr>
          <w:p w:rsidR="00ED12C0" w:rsidRPr="00913296" w:rsidRDefault="00ED12C0" w:rsidP="004342E4">
            <w:pPr>
              <w:jc w:val="center"/>
              <w:rPr>
                <w:rFonts w:cs="Tahoma"/>
                <w:b/>
                <w:bCs/>
                <w:color w:val="000000"/>
                <w:szCs w:val="20"/>
              </w:rPr>
            </w:pPr>
            <w:r w:rsidRPr="00913296">
              <w:rPr>
                <w:rFonts w:cs="Tahoma"/>
                <w:b/>
                <w:bCs/>
                <w:color w:val="000000"/>
              </w:rPr>
              <w:t>Client-Management-Lizenzen für Windows Embedded Device Manager 2011</w:t>
            </w:r>
          </w:p>
        </w:tc>
      </w:tr>
      <w:tr w:rsidR="00ED12C0" w:rsidRPr="00C83DF5" w:rsidTr="00913296">
        <w:tc>
          <w:tcPr>
            <w:tcW w:w="3960" w:type="dxa"/>
            <w:tcBorders>
              <w:top w:val="single" w:sz="6" w:space="0" w:color="000000"/>
            </w:tcBorders>
            <w:shd w:val="clear" w:color="auto" w:fill="FFFFFF"/>
          </w:tcPr>
          <w:p w:rsidR="00ED12C0" w:rsidRPr="00C83DF5" w:rsidRDefault="00ED12C0" w:rsidP="004342E4">
            <w:pPr>
              <w:rPr>
                <w:rFonts w:cs="Tahoma"/>
                <w:color w:val="000000"/>
                <w:szCs w:val="20"/>
              </w:rPr>
            </w:pPr>
            <w:r w:rsidRPr="00C83DF5">
              <w:rPr>
                <w:rFonts w:cs="Tahoma"/>
                <w:color w:val="000000"/>
                <w:szCs w:val="20"/>
              </w:rPr>
              <w:t>Server-Lizenz für Windows Embedded Device Manager 2011</w:t>
            </w:r>
          </w:p>
        </w:tc>
        <w:tc>
          <w:tcPr>
            <w:tcW w:w="4180" w:type="dxa"/>
            <w:tcBorders>
              <w:top w:val="single" w:sz="6" w:space="0" w:color="000000"/>
            </w:tcBorders>
            <w:shd w:val="clear" w:color="auto" w:fill="FFFFFF"/>
          </w:tcPr>
          <w:p w:rsidR="00ED12C0" w:rsidRPr="00C83DF5" w:rsidRDefault="00ED12C0" w:rsidP="004342E4">
            <w:pPr>
              <w:rPr>
                <w:rFonts w:cs="Tahoma"/>
                <w:color w:val="000000"/>
                <w:szCs w:val="20"/>
              </w:rPr>
            </w:pPr>
            <w:r w:rsidRPr="00C83DF5">
              <w:rPr>
                <w:rFonts w:cs="Tahoma"/>
                <w:color w:val="000000"/>
                <w:szCs w:val="20"/>
              </w:rPr>
              <w:t>13 Client-Management-Lizenzen für Windows Embedded Device Manager 2011</w:t>
            </w:r>
          </w:p>
        </w:tc>
      </w:tr>
      <w:tr w:rsidR="00ED12C0" w:rsidRPr="00C83DF5" w:rsidTr="00913296">
        <w:tc>
          <w:tcPr>
            <w:tcW w:w="3960" w:type="dxa"/>
            <w:shd w:val="clear" w:color="auto" w:fill="FFFFFF"/>
          </w:tcPr>
          <w:p w:rsidR="00ED12C0" w:rsidRPr="00C83DF5" w:rsidRDefault="00ED12C0" w:rsidP="004342E4">
            <w:pPr>
              <w:rPr>
                <w:rFonts w:cs="Tahoma"/>
                <w:color w:val="000000"/>
                <w:szCs w:val="20"/>
                <w:lang w:val="de-DE"/>
              </w:rPr>
            </w:pPr>
            <w:r w:rsidRPr="00C83DF5">
              <w:rPr>
                <w:rFonts w:cs="Tahoma"/>
                <w:color w:val="000000"/>
                <w:szCs w:val="20"/>
                <w:lang w:val="de-DE"/>
              </w:rPr>
              <w:t>Server-Lizenz für Windows Embedded Device Manager 2011 mit SQL Server 2008-Technologie</w:t>
            </w:r>
          </w:p>
        </w:tc>
        <w:tc>
          <w:tcPr>
            <w:tcW w:w="4180" w:type="dxa"/>
            <w:shd w:val="clear" w:color="auto" w:fill="FFFFFF"/>
          </w:tcPr>
          <w:p w:rsidR="00ED12C0" w:rsidRPr="00C83DF5" w:rsidRDefault="00ED12C0" w:rsidP="004342E4">
            <w:pPr>
              <w:rPr>
                <w:rFonts w:cs="Tahoma"/>
                <w:color w:val="000000"/>
                <w:szCs w:val="20"/>
              </w:rPr>
            </w:pPr>
            <w:r w:rsidRPr="00C83DF5">
              <w:rPr>
                <w:rFonts w:cs="Tahoma"/>
                <w:color w:val="000000"/>
                <w:szCs w:val="20"/>
              </w:rPr>
              <w:t>30 Client-Management-Lizenzen für Windows Embedded Device Manager 2011</w:t>
            </w:r>
          </w:p>
        </w:tc>
      </w:tr>
    </w:tbl>
    <w:p w:rsidR="00ED12C0" w:rsidRPr="00913296" w:rsidRDefault="00ED12C0" w:rsidP="00913296">
      <w:pPr>
        <w:ind w:left="1166"/>
        <w:rPr>
          <w:lang w:val="de-DE"/>
        </w:rPr>
      </w:pPr>
    </w:p>
    <w:p w:rsidR="00ED12C0" w:rsidRPr="00C83DF5" w:rsidRDefault="00ED12C0" w:rsidP="00376D4B">
      <w:pPr>
        <w:pStyle w:val="EndnoteText"/>
        <w:ind w:left="720"/>
        <w:rPr>
          <w:lang w:val="de-DE"/>
        </w:rPr>
      </w:pPr>
      <w:r w:rsidRPr="00C83DF5">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ED12C0" w:rsidRDefault="00ED12C0" w:rsidP="00913296">
      <w:pPr>
        <w:ind w:left="1166"/>
        <w:rPr>
          <w:lang w:val="de-DE"/>
        </w:rPr>
      </w:pPr>
    </w:p>
    <w:p w:rsidR="00913296" w:rsidRDefault="00913296" w:rsidP="00913296">
      <w:pPr>
        <w:ind w:left="1166"/>
        <w:rPr>
          <w:lang w:val="de-DE"/>
        </w:rPr>
      </w:pPr>
    </w:p>
    <w:p w:rsidR="00913296" w:rsidRDefault="00913296" w:rsidP="00913296">
      <w:pPr>
        <w:ind w:left="1166"/>
        <w:rPr>
          <w:lang w:val="de-DE"/>
        </w:rPr>
      </w:pPr>
    </w:p>
    <w:p w:rsidR="00913296" w:rsidRDefault="00913296" w:rsidP="00913296">
      <w:pPr>
        <w:ind w:left="1166"/>
        <w:rPr>
          <w:lang w:val="de-DE"/>
        </w:rPr>
      </w:pPr>
    </w:p>
    <w:p w:rsidR="00913296" w:rsidRPr="00C83DF5" w:rsidRDefault="00913296" w:rsidP="00913296">
      <w:pPr>
        <w:ind w:left="1166"/>
        <w:rPr>
          <w:lang w:val="de-DE"/>
        </w:rPr>
      </w:pPr>
    </w:p>
    <w:p w:rsidR="00ED12C0" w:rsidRPr="00C83DF5" w:rsidRDefault="00ED12C0" w:rsidP="00913296">
      <w:pPr>
        <w:pStyle w:val="EndnoteText"/>
        <w:ind w:left="720"/>
        <w:rPr>
          <w:lang w:val="de-DE"/>
        </w:rPr>
      </w:pPr>
      <w:r w:rsidRPr="00C83DF5">
        <w:rPr>
          <w:rFonts w:ascii="Tahoma" w:hAnsi="Tahoma" w:cs="Tahoma"/>
          <w:color w:val="000000"/>
          <w:sz w:val="18"/>
          <w:lang w:val="de-DE"/>
        </w:rPr>
        <w:lastRenderedPageBreak/>
        <w:t>Die Nutzung der laut diesem Angebot gewährten Software unterliegt den Bestimmungen des Lizenzvertrages des Kunden sowie den Produktbenutzungsrechten der Software. Das Recht zur Nutzung der</w:t>
      </w:r>
      <w:r w:rsidR="00913296">
        <w:rPr>
          <w:rFonts w:ascii="Tahoma" w:hAnsi="Tahoma" w:cs="Tahoma"/>
          <w:color w:val="000000"/>
          <w:sz w:val="18"/>
          <w:lang w:val="de-DE"/>
        </w:rPr>
        <w:t> </w:t>
      </w:r>
      <w:r w:rsidRPr="00C83DF5">
        <w:rPr>
          <w:rFonts w:ascii="Tahoma" w:hAnsi="Tahoma" w:cs="Tahoma"/>
          <w:color w:val="000000"/>
          <w:sz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w:t>
      </w:r>
      <w:r w:rsidR="00913296">
        <w:rPr>
          <w:rFonts w:ascii="Tahoma" w:hAnsi="Tahoma" w:cs="Tahoma"/>
          <w:color w:val="000000"/>
          <w:sz w:val="18"/>
          <w:lang w:val="de-DE"/>
        </w:rPr>
        <w:t> </w:t>
      </w:r>
      <w:r w:rsidRPr="00C83DF5">
        <w:rPr>
          <w:rFonts w:ascii="Tahoma" w:hAnsi="Tahoma" w:cs="Tahoma"/>
          <w:color w:val="000000"/>
          <w:sz w:val="18"/>
          <w:lang w:val="de-DE"/>
        </w:rPr>
        <w:t>Bestimmungen dieses Angebots zu verwenden. Nach der Verwendung der Software unter diesem Angebot hat der Kunde nicht mehr das Recht, die Software unter qualifizie</w:t>
      </w:r>
      <w:r w:rsidR="00913296">
        <w:rPr>
          <w:rFonts w:ascii="Tahoma" w:hAnsi="Tahoma" w:cs="Tahoma"/>
          <w:color w:val="000000"/>
          <w:sz w:val="18"/>
          <w:lang w:val="de-DE"/>
        </w:rPr>
        <w:t>renden Lizenzen, die dem Server </w:t>
      </w:r>
      <w:r w:rsidRPr="00C83DF5">
        <w:rPr>
          <w:rFonts w:ascii="Tahoma" w:hAnsi="Tahoma" w:cs="Tahoma"/>
          <w:color w:val="000000"/>
          <w:sz w:val="18"/>
          <w:lang w:val="de-DE"/>
        </w:rPr>
        <w:t>zugewiesen sind, zu verwenden. Im Rahmen dieses Angebots gewährte Lizenzen dürfen nicht getrennt von den zugehörigen qualifizierenden Lizenzen übertragen werden.</w:t>
      </w:r>
    </w:p>
    <w:p w:rsidR="00ED12C0" w:rsidRPr="00C83DF5" w:rsidRDefault="00ED12C0" w:rsidP="00913296">
      <w:pPr>
        <w:ind w:left="1166"/>
        <w:rPr>
          <w:lang w:val="de-DE"/>
        </w:rPr>
      </w:pPr>
    </w:p>
    <w:p w:rsidR="00ED12C0" w:rsidRPr="00C83DF5" w:rsidRDefault="00ED12C0" w:rsidP="00913296">
      <w:pPr>
        <w:ind w:left="720"/>
        <w:rPr>
          <w:lang w:val="de-DE"/>
        </w:rPr>
      </w:pPr>
      <w:r w:rsidRPr="00C83DF5">
        <w:rPr>
          <w:rFonts w:cs="Tahoma"/>
          <w:color w:val="000000"/>
          <w:szCs w:val="24"/>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913296">
        <w:rPr>
          <w:rFonts w:cs="Tahoma"/>
          <w:color w:val="000000"/>
          <w:szCs w:val="24"/>
          <w:lang w:val="de-DE"/>
        </w:rPr>
        <w:t> </w:t>
      </w:r>
      <w:r w:rsidRPr="00C83DF5">
        <w:rPr>
          <w:rFonts w:cs="Tahoma"/>
          <w:color w:val="000000"/>
          <w:szCs w:val="24"/>
          <w:lang w:val="de-DE"/>
        </w:rPr>
        <w:t>Rahmen dieses Angebots zu Client-MLs für Windows Embedded Device Manager 2011.</w:t>
      </w:r>
    </w:p>
    <w:p w:rsidR="00ED12C0" w:rsidRPr="00C83DF5" w:rsidRDefault="00ED12C0" w:rsidP="00376D4B">
      <w:pPr>
        <w:ind w:left="720"/>
        <w:rPr>
          <w:lang w:val="de-DE"/>
        </w:rPr>
      </w:pPr>
    </w:p>
    <w:p w:rsidR="00ED12C0" w:rsidRPr="00C83DF5" w:rsidRDefault="00ED12C0" w:rsidP="00376D4B">
      <w:pPr>
        <w:ind w:left="720"/>
        <w:rPr>
          <w:lang w:val="de-DE"/>
        </w:rPr>
      </w:pPr>
      <w:r w:rsidRPr="00C83DF5">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E71F46" w:rsidRPr="00C83DF5">
        <w:rPr>
          <w:rFonts w:cs="Tahoma"/>
          <w:color w:val="000000"/>
          <w:szCs w:val="24"/>
          <w:lang w:val="de-DE"/>
        </w:rPr>
        <w:t xml:space="preserve"> </w:t>
      </w:r>
      <w:r w:rsidRPr="00C83DF5">
        <w:rPr>
          <w:rFonts w:cs="Tahoma"/>
          <w:color w:val="000000"/>
          <w:szCs w:val="24"/>
          <w:lang w:val="de-DE"/>
        </w:rPr>
        <w:t xml:space="preserve">Diese Rechte werden erst nach Ausübung der </w:t>
      </w:r>
      <w:r w:rsidR="00913296">
        <w:rPr>
          <w:rFonts w:cs="Tahoma"/>
          <w:color w:val="000000"/>
          <w:szCs w:val="24"/>
          <w:lang w:val="de-DE"/>
        </w:rPr>
        <w:br/>
      </w:r>
      <w:r w:rsidRPr="00C83DF5">
        <w:rPr>
          <w:rFonts w:cs="Tahoma"/>
          <w:color w:val="000000"/>
          <w:szCs w:val="24"/>
          <w:lang w:val="de-DE"/>
        </w:rPr>
        <w:t>Buy-Out-Option zeitlich unbeschränkt und unterliegen weiterhin allen Bestimmungen des Lizenzvertrages des Kunden.</w:t>
      </w:r>
    </w:p>
    <w:p w:rsidR="00A40838" w:rsidRPr="00C83DF5" w:rsidRDefault="00A40838" w:rsidP="00913296">
      <w:pPr>
        <w:ind w:left="1166"/>
        <w:rPr>
          <w:lang w:val="de-DE"/>
        </w:rPr>
      </w:pPr>
    </w:p>
    <w:p w:rsidR="005D5C95" w:rsidRPr="00C83DF5" w:rsidRDefault="005D5C95" w:rsidP="00913296">
      <w:pPr>
        <w:ind w:left="1166"/>
        <w:rPr>
          <w:lang w:val="de-DE"/>
        </w:rPr>
      </w:pPr>
    </w:p>
    <w:p w:rsidR="005D5C95" w:rsidRPr="00C83DF5" w:rsidRDefault="00A560B6" w:rsidP="00076947">
      <w:pPr>
        <w:pStyle w:val="Heading2"/>
        <w:keepNext/>
        <w:ind w:left="0"/>
      </w:pPr>
      <w:bookmarkStart w:id="1568" w:name="_96_Windows_Embedded"/>
      <w:bookmarkStart w:id="1569" w:name="_99_Windows_Embedded"/>
      <w:bookmarkStart w:id="1570" w:name="_102_Windows_Embedded"/>
      <w:bookmarkStart w:id="1571" w:name="Srv_108EBS2008StandardPrem"/>
      <w:bookmarkStart w:id="1572" w:name="_Toc370983469"/>
      <w:bookmarkEnd w:id="1568"/>
      <w:bookmarkEnd w:id="1569"/>
      <w:bookmarkEnd w:id="1570"/>
      <w:r w:rsidRPr="00C83DF5">
        <w:rPr>
          <w:rFonts w:ascii="Tahoma" w:hAnsi="Tahoma" w:cs="Tahoma"/>
          <w:caps/>
          <w:color w:val="FF6600"/>
          <w:sz w:val="22"/>
          <w:vertAlign w:val="superscript"/>
        </w:rPr>
        <w:t>101</w:t>
      </w:r>
      <w:r w:rsidRPr="00F24992">
        <w:rPr>
          <w:rFonts w:ascii="Tahoma" w:hAnsi="Tahoma" w:cs="Tahoma"/>
          <w:color w:val="FF6600"/>
          <w:sz w:val="22"/>
          <w:szCs w:val="22"/>
        </w:rPr>
        <w:t xml:space="preserve"> </w:t>
      </w:r>
      <w:r w:rsidRPr="00C83DF5">
        <w:rPr>
          <w:rFonts w:ascii="Tahoma" w:hAnsi="Tahoma" w:cs="Tahoma"/>
          <w:color w:val="FF6600"/>
          <w:sz w:val="22"/>
        </w:rPr>
        <w:t>Windows Embedded Device Manager 2011 – Client-Management-Lizenz</w:t>
      </w:r>
      <w:bookmarkEnd w:id="1572"/>
    </w:p>
    <w:p w:rsidR="005D5C95" w:rsidRPr="00C83DF5" w:rsidRDefault="005D5C95" w:rsidP="00076947">
      <w:pPr>
        <w:keepNext/>
      </w:pPr>
    </w:p>
    <w:p w:rsidR="005D5C95" w:rsidRPr="00C83DF5" w:rsidRDefault="005D5C95" w:rsidP="00076947">
      <w:pPr>
        <w:pStyle w:val="EndnoteText"/>
        <w:keepNext/>
        <w:ind w:left="720"/>
        <w:rPr>
          <w:lang w:val="de-DE"/>
        </w:rPr>
      </w:pPr>
      <w:r w:rsidRPr="00C83DF5">
        <w:rPr>
          <w:rFonts w:ascii="Tahoma" w:hAnsi="Tahoma" w:cs="Tahoma"/>
          <w:color w:val="000000"/>
          <w:sz w:val="18"/>
          <w:lang w:val="de-DE"/>
        </w:rPr>
        <w:t>Dieses Produkt hat den Status End-Of-Life (EOL) und wird nicht mehr angeboten.</w:t>
      </w:r>
    </w:p>
    <w:p w:rsidR="005D5C95" w:rsidRPr="00C83DF5" w:rsidRDefault="005D5C95" w:rsidP="00913296">
      <w:pPr>
        <w:ind w:left="1166"/>
        <w:rPr>
          <w:lang w:val="de-DE"/>
        </w:rPr>
      </w:pPr>
    </w:p>
    <w:p w:rsidR="005D5C95" w:rsidRPr="00C83DF5" w:rsidRDefault="005D5C95" w:rsidP="007A34E3">
      <w:pPr>
        <w:pStyle w:val="EndnoteText"/>
        <w:spacing w:after="60"/>
        <w:ind w:left="720"/>
        <w:rPr>
          <w:lang w:val="de-DE"/>
        </w:rPr>
      </w:pPr>
      <w:r w:rsidRPr="00C83DF5">
        <w:rPr>
          <w:rFonts w:ascii="Tahoma" w:hAnsi="Tahoma" w:cs="Tahoma"/>
          <w:b/>
          <w:color w:val="000000"/>
          <w:sz w:val="18"/>
          <w:lang w:val="de-DE"/>
        </w:rPr>
        <w:t>Einmalige Lizenzgewährung an Lizenzinhaber einer Client-Management-Lizenz für Windows Embedded Device Manager 2011 mit aktiver Software Assurance</w:t>
      </w:r>
    </w:p>
    <w:p w:rsidR="005D5C95" w:rsidRPr="00C83DF5" w:rsidRDefault="005D5C95" w:rsidP="005D5C95">
      <w:pPr>
        <w:pStyle w:val="EndnoteText"/>
        <w:ind w:left="720"/>
        <w:rPr>
          <w:lang w:val="de-DE"/>
        </w:rPr>
      </w:pPr>
      <w:r w:rsidRPr="00C83DF5">
        <w:rPr>
          <w:rFonts w:ascii="Tahoma" w:hAnsi="Tahoma" w:cs="Tahoma"/>
          <w:color w:val="000000"/>
          <w:sz w:val="18"/>
          <w:lang w:val="de-DE"/>
        </w:rPr>
        <w:t>Als einmalige Ausnahme in Verbindung mit der Einstellung von Client Management-Lizenzen (pro Betriebssystemumgebung/Nutzer) für Windows Embedded Device Manager 2011 erhalten Software Assurance-Kunden, die am 1. Januar 2013 über Software Assurance verfügten, dieselbe Anzahl von Client Management-Lizenzen (pro Betriebssystemumgebung/Nutzer) für System Center 2012 Configuration Manager.</w:t>
      </w:r>
    </w:p>
    <w:p w:rsidR="005D5C95" w:rsidRPr="00C83DF5" w:rsidRDefault="005D5C95" w:rsidP="00913296">
      <w:pPr>
        <w:ind w:left="1166"/>
        <w:rPr>
          <w:lang w:val="de-DE"/>
        </w:rPr>
      </w:pPr>
    </w:p>
    <w:p w:rsidR="005D5C95" w:rsidRPr="00C83DF5" w:rsidRDefault="005D5C95" w:rsidP="005D5C95">
      <w:pPr>
        <w:pStyle w:val="EndnoteText"/>
        <w:ind w:left="720"/>
        <w:rPr>
          <w:lang w:val="de-DE"/>
        </w:rPr>
      </w:pPr>
      <w:r w:rsidRPr="00C83DF5">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5D5C95" w:rsidRPr="00C83DF5" w:rsidRDefault="005D5C95" w:rsidP="00913296">
      <w:pPr>
        <w:ind w:left="1166"/>
        <w:rPr>
          <w:lang w:val="de-DE"/>
        </w:rPr>
      </w:pPr>
    </w:p>
    <w:p w:rsidR="005D5C95" w:rsidRPr="00C83DF5" w:rsidRDefault="005D5C95" w:rsidP="005D5C95">
      <w:pPr>
        <w:pStyle w:val="EndnoteText"/>
        <w:ind w:left="720"/>
        <w:rPr>
          <w:lang w:val="de-DE"/>
        </w:rPr>
      </w:pPr>
      <w:r w:rsidRPr="00C83DF5">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 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rsidR="005D5C95" w:rsidRPr="00C83DF5" w:rsidRDefault="005D5C95" w:rsidP="00913296">
      <w:pPr>
        <w:ind w:left="1166"/>
        <w:rPr>
          <w:lang w:val="de-DE"/>
        </w:rPr>
      </w:pPr>
    </w:p>
    <w:p w:rsidR="005D5C95" w:rsidRPr="00C83DF5" w:rsidRDefault="005D5C95" w:rsidP="005D5C95">
      <w:pPr>
        <w:ind w:left="720"/>
        <w:rPr>
          <w:lang w:val="de-DE"/>
        </w:rPr>
      </w:pPr>
      <w:r w:rsidRPr="00C83DF5">
        <w:rPr>
          <w:rFonts w:cs="Tahoma"/>
          <w:color w:val="000000"/>
          <w:szCs w:val="24"/>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rsidR="005D5C95" w:rsidRDefault="005D5C95" w:rsidP="00913296">
      <w:pPr>
        <w:ind w:left="1166"/>
        <w:rPr>
          <w:lang w:val="de-DE"/>
        </w:rPr>
      </w:pPr>
    </w:p>
    <w:p w:rsidR="00913296" w:rsidRDefault="00913296" w:rsidP="00913296">
      <w:pPr>
        <w:ind w:left="1166"/>
        <w:rPr>
          <w:lang w:val="de-DE"/>
        </w:rPr>
      </w:pPr>
    </w:p>
    <w:p w:rsidR="00913296" w:rsidRDefault="00913296" w:rsidP="00913296">
      <w:pPr>
        <w:ind w:left="1166"/>
        <w:rPr>
          <w:lang w:val="de-DE"/>
        </w:rPr>
      </w:pPr>
    </w:p>
    <w:p w:rsidR="00913296" w:rsidRPr="00C83DF5" w:rsidRDefault="00913296" w:rsidP="00913296">
      <w:pPr>
        <w:ind w:left="1166"/>
        <w:rPr>
          <w:lang w:val="de-DE"/>
        </w:rPr>
      </w:pPr>
    </w:p>
    <w:p w:rsidR="005D5C95" w:rsidRPr="00C83DF5" w:rsidRDefault="005D5C95" w:rsidP="005D5C95">
      <w:pPr>
        <w:ind w:left="720"/>
        <w:rPr>
          <w:lang w:val="de-DE"/>
        </w:rPr>
      </w:pPr>
      <w:r w:rsidRPr="00C83DF5">
        <w:rPr>
          <w:rFonts w:cs="Tahoma"/>
          <w:color w:val="000000"/>
          <w:szCs w:val="24"/>
          <w:lang w:val="de-DE"/>
        </w:rPr>
        <w:lastRenderedPageBreak/>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E71F46" w:rsidRPr="00C83DF5">
        <w:rPr>
          <w:rFonts w:cs="Tahoma"/>
          <w:color w:val="000000"/>
          <w:szCs w:val="24"/>
          <w:lang w:val="de-DE"/>
        </w:rPr>
        <w:t xml:space="preserve"> </w:t>
      </w:r>
      <w:r w:rsidRPr="00C83DF5">
        <w:rPr>
          <w:rFonts w:cs="Tahoma"/>
          <w:color w:val="000000"/>
          <w:szCs w:val="24"/>
          <w:lang w:val="de-DE"/>
        </w:rPr>
        <w:t xml:space="preserve">Diese Rechte werden erst nach Ausübung der </w:t>
      </w:r>
      <w:r w:rsidR="00913296">
        <w:rPr>
          <w:rFonts w:cs="Tahoma"/>
          <w:color w:val="000000"/>
          <w:szCs w:val="24"/>
          <w:lang w:val="de-DE"/>
        </w:rPr>
        <w:br/>
      </w:r>
      <w:r w:rsidRPr="00C83DF5">
        <w:rPr>
          <w:rFonts w:cs="Tahoma"/>
          <w:color w:val="000000"/>
          <w:szCs w:val="24"/>
          <w:lang w:val="de-DE"/>
        </w:rPr>
        <w:t>Buy-Out-Option zeitlich unbeschränkt und unterliegen weiterhin allen Bestimmungen des Lizenzvertrages des Kunden.</w:t>
      </w:r>
    </w:p>
    <w:p w:rsidR="005D5C95" w:rsidRPr="00C83DF5" w:rsidRDefault="005D5C95" w:rsidP="005D5C95">
      <w:pPr>
        <w:ind w:left="720"/>
        <w:rPr>
          <w:lang w:val="de-DE"/>
        </w:rPr>
      </w:pPr>
    </w:p>
    <w:p w:rsidR="005D5C95" w:rsidRPr="00C83DF5" w:rsidRDefault="005D5C95" w:rsidP="005D5C95">
      <w:pPr>
        <w:ind w:left="720"/>
        <w:rPr>
          <w:lang w:val="de-DE"/>
        </w:rPr>
      </w:pPr>
      <w:r w:rsidRPr="00C83DF5">
        <w:rPr>
          <w:rFonts w:cs="Tahoma"/>
          <w:color w:val="000000"/>
          <w:szCs w:val="24"/>
          <w:lang w:val="de-DE"/>
        </w:rPr>
        <w:t>Versions-Downgraderechte gelten für alle gewährten Client-Management-Lizenzen für System Center 2012 Configuration Manager.</w:t>
      </w:r>
    </w:p>
    <w:p w:rsidR="00ED12C0" w:rsidRPr="00C83DF5" w:rsidRDefault="00ED12C0" w:rsidP="00ED12C0">
      <w:pPr>
        <w:ind w:left="900"/>
        <w:rPr>
          <w:lang w:val="de-DE"/>
        </w:rPr>
      </w:pPr>
    </w:p>
    <w:p w:rsidR="007B35CE" w:rsidRPr="00C83DF5" w:rsidRDefault="007B35CE" w:rsidP="00ED12C0">
      <w:pPr>
        <w:ind w:left="900"/>
        <w:rPr>
          <w:lang w:val="de-DE"/>
        </w:rPr>
      </w:pPr>
    </w:p>
    <w:p w:rsidR="00A6493D" w:rsidRPr="00C83DF5" w:rsidRDefault="00A560B6" w:rsidP="00A6493D">
      <w:pPr>
        <w:pStyle w:val="Heading3"/>
        <w:rPr>
          <w:lang w:val="de-DE"/>
        </w:rPr>
      </w:pPr>
      <w:bookmarkStart w:id="1573" w:name="_100_Windows_EBS"/>
      <w:bookmarkStart w:id="1574" w:name="_103_Windows_EBS"/>
      <w:bookmarkStart w:id="1575" w:name="_102_Windows_EBS"/>
      <w:bookmarkStart w:id="1576" w:name="_Toc336338364"/>
      <w:bookmarkStart w:id="1577" w:name="Srv_101WindowsEssBusSvrStdPrem"/>
      <w:bookmarkStart w:id="1578" w:name="_Toc370983470"/>
      <w:bookmarkEnd w:id="1573"/>
      <w:bookmarkEnd w:id="1574"/>
      <w:bookmarkEnd w:id="1575"/>
      <w:r w:rsidRPr="00C83DF5">
        <w:rPr>
          <w:rFonts w:ascii="Tahoma" w:hAnsi="Tahoma" w:cs="Tahoma"/>
          <w:caps/>
          <w:color w:val="FF6600"/>
          <w:sz w:val="22"/>
          <w:szCs w:val="24"/>
          <w:vertAlign w:val="superscript"/>
          <w:lang w:val="de-DE"/>
        </w:rPr>
        <w:t>102</w:t>
      </w:r>
      <w:r w:rsidRPr="00F24992">
        <w:rPr>
          <w:rFonts w:ascii="Tahoma" w:hAnsi="Tahoma"/>
          <w:caps/>
          <w:color w:val="F66400"/>
          <w:sz w:val="22"/>
          <w:szCs w:val="22"/>
          <w:lang w:val="de-DE"/>
        </w:rPr>
        <w:t xml:space="preserve"> </w:t>
      </w:r>
      <w:r w:rsidRPr="00C83DF5">
        <w:rPr>
          <w:rFonts w:ascii="Tahoma" w:hAnsi="Tahoma"/>
          <w:color w:val="F66400"/>
          <w:sz w:val="22"/>
          <w:szCs w:val="22"/>
          <w:lang w:val="de-DE"/>
        </w:rPr>
        <w:t>Windows EBS 2008 Standard und EBS 2008 Premium</w:t>
      </w:r>
      <w:bookmarkEnd w:id="1571"/>
      <w:bookmarkEnd w:id="1576"/>
      <w:bookmarkEnd w:id="1578"/>
    </w:p>
    <w:bookmarkEnd w:id="1566"/>
    <w:bookmarkEnd w:id="1577"/>
    <w:p w:rsidR="00113634" w:rsidRPr="00C83DF5" w:rsidRDefault="00113634" w:rsidP="00113634">
      <w:pPr>
        <w:rPr>
          <w:lang w:val="de-DE"/>
        </w:rPr>
      </w:pPr>
    </w:p>
    <w:p w:rsidR="00113634" w:rsidRPr="00B42600" w:rsidRDefault="00113634" w:rsidP="00376D4B">
      <w:pPr>
        <w:pStyle w:val="EndnoteText"/>
        <w:ind w:left="720"/>
        <w:rPr>
          <w:sz w:val="18"/>
          <w:szCs w:val="18"/>
          <w:lang w:val="de-DE"/>
        </w:rPr>
      </w:pPr>
      <w:r w:rsidRPr="00B42600">
        <w:rPr>
          <w:rFonts w:ascii="Tahoma" w:hAnsi="Tahoma" w:cs="Tahoma"/>
          <w:sz w:val="18"/>
          <w:szCs w:val="18"/>
          <w:lang w:val="de-DE"/>
        </w:rPr>
        <w:t>Diese Produkte haben den Status End-Of-Life (EOL) und werden nicht mehr angeboten.</w:t>
      </w:r>
    </w:p>
    <w:p w:rsidR="00113634" w:rsidRPr="00B42600" w:rsidRDefault="00113634" w:rsidP="00B42600">
      <w:pPr>
        <w:ind w:left="1166"/>
        <w:rPr>
          <w:szCs w:val="18"/>
          <w:lang w:val="de-DE"/>
        </w:rPr>
      </w:pPr>
    </w:p>
    <w:p w:rsidR="00113634" w:rsidRPr="00B42600" w:rsidRDefault="00113634" w:rsidP="00B76943">
      <w:pPr>
        <w:pStyle w:val="EndnoteText"/>
        <w:spacing w:after="60"/>
        <w:ind w:left="720"/>
        <w:rPr>
          <w:sz w:val="18"/>
          <w:szCs w:val="18"/>
          <w:lang w:val="de-DE"/>
        </w:rPr>
      </w:pPr>
      <w:r w:rsidRPr="00B42600">
        <w:rPr>
          <w:rFonts w:ascii="Tahoma" w:hAnsi="Tahoma" w:cs="Tahoma"/>
          <w:b/>
          <w:sz w:val="18"/>
          <w:szCs w:val="18"/>
          <w:lang w:val="de-DE"/>
        </w:rPr>
        <w:t>Einmalige Lizenzgewährung an Lizenzinhaber von EBS 2008 Standard und EBS 2008 Premium</w:t>
      </w:r>
    </w:p>
    <w:p w:rsidR="00113634" w:rsidRPr="00B42600" w:rsidRDefault="00113634" w:rsidP="00B76943">
      <w:pPr>
        <w:pStyle w:val="ListParagraph"/>
        <w:contextualSpacing w:val="0"/>
        <w:rPr>
          <w:sz w:val="18"/>
          <w:szCs w:val="18"/>
          <w:lang w:val="de-DE"/>
        </w:rPr>
      </w:pPr>
      <w:r w:rsidRPr="00B42600">
        <w:rPr>
          <w:rFonts w:ascii="Tahoma" w:hAnsi="Tahoma" w:cs="Tahoma"/>
          <w:sz w:val="18"/>
          <w:szCs w:val="18"/>
          <w:u w:val="single"/>
          <w:lang w:val="de-DE"/>
        </w:rPr>
        <w:t>Alle Kunden mit Volumenlizenz für Windows Essential Business Server 2008 (EBS) Standard und Premium</w:t>
      </w:r>
      <w:r w:rsidRPr="00B42600">
        <w:rPr>
          <w:rFonts w:ascii="Tahoma" w:hAnsi="Tahoma" w:cs="Tahoma"/>
          <w:bCs/>
          <w:sz w:val="18"/>
          <w:szCs w:val="18"/>
          <w:lang w:val="de-DE"/>
        </w:rPr>
        <w:t xml:space="preserve"> </w:t>
      </w:r>
      <w:r w:rsidRPr="00B42600">
        <w:rPr>
          <w:rFonts w:ascii="Tahoma" w:hAnsi="Tahoma" w:cs="Tahoma"/>
          <w:sz w:val="18"/>
          <w:szCs w:val="18"/>
          <w:lang w:val="de-DE"/>
        </w:rPr>
        <w:t>haben ab dem 1. Juli 2010 Anspruch auf die folgenden zusätzlichen Lizenzen für jede EBS 2008 Standard- oder Premium-Lizenz:</w:t>
      </w:r>
    </w:p>
    <w:p w:rsidR="00A6493D" w:rsidRPr="00B42600" w:rsidRDefault="00A6493D" w:rsidP="00B42600">
      <w:pPr>
        <w:ind w:left="1166"/>
        <w:rPr>
          <w:szCs w:val="18"/>
          <w:lang w:val="de-DE"/>
        </w:rPr>
      </w:pPr>
    </w:p>
    <w:p w:rsidR="00113634" w:rsidRPr="00B42600" w:rsidRDefault="00113634" w:rsidP="00346F4B">
      <w:pPr>
        <w:pStyle w:val="ListParagraph"/>
        <w:numPr>
          <w:ilvl w:val="0"/>
          <w:numId w:val="24"/>
        </w:numPr>
        <w:spacing w:after="60"/>
        <w:ind w:left="1440"/>
        <w:contextualSpacing w:val="0"/>
        <w:rPr>
          <w:sz w:val="18"/>
          <w:szCs w:val="18"/>
        </w:rPr>
      </w:pPr>
      <w:r w:rsidRPr="00B42600">
        <w:rPr>
          <w:rFonts w:ascii="Tahoma" w:hAnsi="Tahoma" w:cs="Tahoma"/>
          <w:sz w:val="18"/>
          <w:szCs w:val="18"/>
        </w:rPr>
        <w:t>3 Softwarelizenzen für Windows Server 2008 Standard</w:t>
      </w:r>
    </w:p>
    <w:p w:rsidR="00113634" w:rsidRPr="00B42600" w:rsidRDefault="00113634" w:rsidP="00346F4B">
      <w:pPr>
        <w:pStyle w:val="ListParagraph"/>
        <w:numPr>
          <w:ilvl w:val="0"/>
          <w:numId w:val="24"/>
        </w:numPr>
        <w:spacing w:after="60"/>
        <w:ind w:left="1440"/>
        <w:contextualSpacing w:val="0"/>
        <w:rPr>
          <w:sz w:val="18"/>
          <w:szCs w:val="18"/>
        </w:rPr>
      </w:pPr>
      <w:r w:rsidRPr="00B42600">
        <w:rPr>
          <w:rFonts w:ascii="Tahoma" w:hAnsi="Tahoma" w:cs="Tahoma"/>
          <w:sz w:val="18"/>
          <w:szCs w:val="18"/>
        </w:rPr>
        <w:t>2 Softwarelizenzen für Exchange Server 2007 Standard</w:t>
      </w:r>
    </w:p>
    <w:p w:rsidR="00113634" w:rsidRPr="00B42600" w:rsidRDefault="00113634" w:rsidP="00B42600">
      <w:pPr>
        <w:pStyle w:val="ListParagraph"/>
        <w:numPr>
          <w:ilvl w:val="0"/>
          <w:numId w:val="24"/>
        </w:numPr>
        <w:spacing w:after="60"/>
        <w:ind w:left="1440"/>
        <w:contextualSpacing w:val="0"/>
        <w:rPr>
          <w:sz w:val="18"/>
          <w:szCs w:val="18"/>
          <w:lang w:val="de-DE"/>
        </w:rPr>
      </w:pPr>
      <w:r w:rsidRPr="00B42600">
        <w:rPr>
          <w:rFonts w:ascii="Tahoma" w:hAnsi="Tahoma" w:cs="Tahoma"/>
          <w:sz w:val="18"/>
          <w:szCs w:val="18"/>
          <w:lang w:val="de-DE"/>
        </w:rPr>
        <w:t>1 Softwarelizenz für System Center Essentials 2007 und 10 Server-Management-Lizenzen und 50</w:t>
      </w:r>
      <w:r w:rsidR="00B42600" w:rsidRPr="00B42600">
        <w:rPr>
          <w:rFonts w:ascii="Tahoma" w:hAnsi="Tahoma" w:cs="Tahoma"/>
          <w:sz w:val="18"/>
          <w:szCs w:val="18"/>
          <w:lang w:val="de-DE"/>
        </w:rPr>
        <w:t> </w:t>
      </w:r>
      <w:r w:rsidRPr="00B42600">
        <w:rPr>
          <w:rFonts w:ascii="Tahoma" w:hAnsi="Tahoma" w:cs="Tahoma"/>
          <w:sz w:val="18"/>
          <w:szCs w:val="18"/>
          <w:lang w:val="de-DE"/>
        </w:rPr>
        <w:t>Client-Management-Lizenzen</w:t>
      </w:r>
    </w:p>
    <w:p w:rsidR="00113634" w:rsidRPr="00B42600" w:rsidRDefault="00113634" w:rsidP="00E63984">
      <w:pPr>
        <w:ind w:left="1260"/>
        <w:rPr>
          <w:szCs w:val="18"/>
          <w:lang w:val="de-DE"/>
        </w:rPr>
      </w:pPr>
    </w:p>
    <w:p w:rsidR="00113634" w:rsidRPr="00B42600" w:rsidRDefault="00113634" w:rsidP="00B42600">
      <w:pPr>
        <w:ind w:left="720"/>
        <w:rPr>
          <w:szCs w:val="18"/>
          <w:lang w:val="de-DE"/>
        </w:rPr>
      </w:pPr>
      <w:r w:rsidRPr="00B42600">
        <w:rPr>
          <w:rFonts w:cs="Tahoma"/>
          <w:szCs w:val="18"/>
          <w:lang w:val="de-DE"/>
        </w:rPr>
        <w:t>Durch den Volumenlizenzvertrag des Kunden und diesen Hinweis auf die Produktbedingungen werden die zusätzlichen Lizenzen belegt.</w:t>
      </w:r>
      <w:r w:rsidR="00E71F46" w:rsidRPr="00B42600">
        <w:rPr>
          <w:rFonts w:cs="Tahoma"/>
          <w:szCs w:val="18"/>
          <w:lang w:val="de-DE"/>
        </w:rPr>
        <w:t xml:space="preserve"> </w:t>
      </w:r>
      <w:r w:rsidRPr="00B42600">
        <w:rPr>
          <w:rFonts w:cs="Tahoma"/>
          <w:szCs w:val="18"/>
          <w:lang w:val="de-DE"/>
        </w:rPr>
        <w:t>Die Nutzung der Software im Rahmen der zusätzlichen Lizenzen unterliegt den</w:t>
      </w:r>
      <w:r w:rsidR="00B42600" w:rsidRPr="00B42600">
        <w:rPr>
          <w:rFonts w:cs="Tahoma"/>
          <w:szCs w:val="18"/>
          <w:lang w:val="de-DE"/>
        </w:rPr>
        <w:t> </w:t>
      </w:r>
      <w:r w:rsidRPr="00B42600">
        <w:rPr>
          <w:rFonts w:cs="Tahoma"/>
          <w:szCs w:val="18"/>
          <w:lang w:val="de-DE"/>
        </w:rPr>
        <w:t>Bestimmungen des Volumenlizenzvertrages des Kunden und den Produktbenutzungsrechten für die jeweiligen Produkte.</w:t>
      </w:r>
      <w:r w:rsidR="00E71F46" w:rsidRPr="00B42600">
        <w:rPr>
          <w:rFonts w:cs="Tahoma"/>
          <w:szCs w:val="18"/>
          <w:lang w:val="de-DE"/>
        </w:rPr>
        <w:t xml:space="preserve"> </w:t>
      </w:r>
      <w:r w:rsidRPr="00B42600">
        <w:rPr>
          <w:rFonts w:cs="Tahoma"/>
          <w:szCs w:val="18"/>
          <w:lang w:val="de-DE"/>
        </w:rPr>
        <w:t>Das Recht zur Nutzung der Software im Rahmen der zusätzlichen Lizenzen gilt bis zum</w:t>
      </w:r>
      <w:r w:rsidR="00B42600" w:rsidRPr="00B42600">
        <w:rPr>
          <w:rFonts w:cs="Tahoma"/>
          <w:szCs w:val="18"/>
          <w:lang w:val="de-DE"/>
        </w:rPr>
        <w:t> </w:t>
      </w:r>
      <w:r w:rsidRPr="00B42600">
        <w:rPr>
          <w:rFonts w:cs="Tahoma"/>
          <w:szCs w:val="18"/>
          <w:lang w:val="de-DE"/>
        </w:rPr>
        <w:t>Ablauf des Rechts zur Nutzung der Software gemäß den zugehörigen qualifizierenden Lizenzen.</w:t>
      </w:r>
      <w:r w:rsidR="00E71F46" w:rsidRPr="00B42600">
        <w:rPr>
          <w:rFonts w:cs="Tahoma"/>
          <w:szCs w:val="18"/>
          <w:lang w:val="de-DE"/>
        </w:rPr>
        <w:t xml:space="preserve"> </w:t>
      </w:r>
      <w:r w:rsidRPr="00B42600">
        <w:rPr>
          <w:rFonts w:cs="Tahoma"/>
          <w:szCs w:val="18"/>
          <w:lang w:val="de-DE"/>
        </w:rPr>
        <w:t>Die</w:t>
      </w:r>
      <w:r w:rsidR="00B42600" w:rsidRPr="00B42600">
        <w:rPr>
          <w:rFonts w:cs="Tahoma"/>
          <w:szCs w:val="18"/>
          <w:lang w:val="de-DE"/>
        </w:rPr>
        <w:t> </w:t>
      </w:r>
      <w:r w:rsidRPr="00B42600">
        <w:rPr>
          <w:rFonts w:cs="Tahoma"/>
          <w:szCs w:val="18"/>
          <w:lang w:val="de-DE"/>
        </w:rPr>
        <w:t>zusätzlichen Lizenzen können nicht separat von den qualifizierenden Lizenzen übertragen werden.</w:t>
      </w:r>
    </w:p>
    <w:p w:rsidR="00113634" w:rsidRPr="00B42600" w:rsidRDefault="00113634" w:rsidP="00957DE8">
      <w:pPr>
        <w:ind w:left="720"/>
        <w:rPr>
          <w:szCs w:val="18"/>
          <w:lang w:val="de-DE"/>
        </w:rPr>
      </w:pPr>
    </w:p>
    <w:p w:rsidR="00113634" w:rsidRPr="00B42600" w:rsidRDefault="00113634" w:rsidP="00957DE8">
      <w:pPr>
        <w:pStyle w:val="ListParagraph"/>
        <w:contextualSpacing w:val="0"/>
        <w:rPr>
          <w:sz w:val="18"/>
          <w:szCs w:val="18"/>
          <w:lang w:val="de-DE"/>
        </w:rPr>
      </w:pPr>
      <w:r w:rsidRPr="00B42600">
        <w:rPr>
          <w:rFonts w:ascii="Tahoma" w:hAnsi="Tahoma" w:cs="Tahoma"/>
          <w:sz w:val="18"/>
          <w:szCs w:val="18"/>
          <w:u w:val="single"/>
          <w:lang w:val="de-DE"/>
        </w:rPr>
        <w:t>Alle Kunden mit Volumenlizenz für Windows Essential Business Server (EBS) 2008 Standard</w:t>
      </w:r>
      <w:r w:rsidRPr="00B42600">
        <w:rPr>
          <w:rFonts w:ascii="Tahoma" w:hAnsi="Tahoma" w:cs="Tahoma"/>
          <w:b/>
          <w:sz w:val="18"/>
          <w:szCs w:val="18"/>
          <w:lang w:val="de-DE"/>
        </w:rPr>
        <w:t xml:space="preserve"> </w:t>
      </w:r>
      <w:r w:rsidRPr="00B42600">
        <w:rPr>
          <w:rFonts w:ascii="Tahoma" w:hAnsi="Tahoma" w:cs="Tahoma"/>
          <w:sz w:val="18"/>
          <w:szCs w:val="18"/>
          <w:lang w:val="de-DE"/>
        </w:rPr>
        <w:t>haben ab dem 1. Juli 2010 einen zusätzlichen Anspruch auf die folgenden zusätzlichen Lizenzen für jede EBS 2008 Standard-Lizenz mit aktiver Software Assurance:</w:t>
      </w:r>
    </w:p>
    <w:p w:rsidR="00A6493D" w:rsidRPr="00B42600" w:rsidRDefault="00A6493D" w:rsidP="00B42600">
      <w:pPr>
        <w:ind w:left="1166"/>
        <w:rPr>
          <w:szCs w:val="18"/>
          <w:lang w:val="de-DE"/>
        </w:rPr>
      </w:pPr>
    </w:p>
    <w:p w:rsidR="00113634" w:rsidRPr="00B42600" w:rsidRDefault="00113634" w:rsidP="00346F4B">
      <w:pPr>
        <w:pStyle w:val="ListParagraph"/>
        <w:numPr>
          <w:ilvl w:val="0"/>
          <w:numId w:val="25"/>
        </w:numPr>
        <w:spacing w:after="60"/>
        <w:ind w:left="1440"/>
        <w:contextualSpacing w:val="0"/>
        <w:rPr>
          <w:sz w:val="18"/>
          <w:szCs w:val="18"/>
          <w:lang w:val="de-DE"/>
        </w:rPr>
      </w:pPr>
      <w:r w:rsidRPr="00B42600">
        <w:rPr>
          <w:rFonts w:ascii="Tahoma" w:hAnsi="Tahoma" w:cs="Tahoma"/>
          <w:sz w:val="18"/>
          <w:szCs w:val="18"/>
          <w:lang w:val="de-DE"/>
        </w:rPr>
        <w:t>3 Softwarelizenzen für Windows Server 2008 R2 Standard</w:t>
      </w:r>
    </w:p>
    <w:p w:rsidR="00113634" w:rsidRPr="00B42600" w:rsidRDefault="00113634" w:rsidP="00346F4B">
      <w:pPr>
        <w:pStyle w:val="ListParagraph"/>
        <w:numPr>
          <w:ilvl w:val="0"/>
          <w:numId w:val="25"/>
        </w:numPr>
        <w:spacing w:after="60"/>
        <w:ind w:left="1440"/>
        <w:contextualSpacing w:val="0"/>
        <w:rPr>
          <w:sz w:val="18"/>
          <w:szCs w:val="18"/>
        </w:rPr>
      </w:pPr>
      <w:r w:rsidRPr="00B42600">
        <w:rPr>
          <w:rFonts w:ascii="Tahoma" w:hAnsi="Tahoma" w:cs="Tahoma"/>
          <w:sz w:val="18"/>
          <w:szCs w:val="18"/>
        </w:rPr>
        <w:t>1 Softwarelizenz für Exchange Server 2010 Standard</w:t>
      </w:r>
    </w:p>
    <w:p w:rsidR="00113634" w:rsidRPr="00B42600" w:rsidRDefault="00113634" w:rsidP="00B42600">
      <w:pPr>
        <w:pStyle w:val="ListParagraph"/>
        <w:numPr>
          <w:ilvl w:val="0"/>
          <w:numId w:val="25"/>
        </w:numPr>
        <w:spacing w:after="60"/>
        <w:ind w:left="1440"/>
        <w:contextualSpacing w:val="0"/>
        <w:rPr>
          <w:sz w:val="18"/>
          <w:szCs w:val="18"/>
          <w:lang w:val="de-DE"/>
        </w:rPr>
      </w:pPr>
      <w:r w:rsidRPr="00B42600">
        <w:rPr>
          <w:rFonts w:ascii="Tahoma" w:hAnsi="Tahoma" w:cs="Tahoma"/>
          <w:sz w:val="18"/>
          <w:szCs w:val="18"/>
          <w:lang w:val="de-DE"/>
        </w:rPr>
        <w:t>1 Softwarelizenz für System Center Essentials 2010 und 10 Server-Management-Lizenzen und 50</w:t>
      </w:r>
      <w:r w:rsidR="00B42600">
        <w:rPr>
          <w:rFonts w:ascii="Tahoma" w:hAnsi="Tahoma" w:cs="Tahoma"/>
          <w:sz w:val="18"/>
          <w:szCs w:val="18"/>
          <w:lang w:val="de-DE"/>
        </w:rPr>
        <w:t> </w:t>
      </w:r>
      <w:r w:rsidRPr="00B42600">
        <w:rPr>
          <w:rFonts w:ascii="Tahoma" w:hAnsi="Tahoma" w:cs="Tahoma"/>
          <w:sz w:val="18"/>
          <w:szCs w:val="18"/>
          <w:lang w:val="de-DE"/>
        </w:rPr>
        <w:t>Client-Management-Lizenzen</w:t>
      </w:r>
    </w:p>
    <w:p w:rsidR="00113634" w:rsidRPr="00B42600" w:rsidRDefault="00113634" w:rsidP="00346F4B">
      <w:pPr>
        <w:pStyle w:val="ListParagraph"/>
        <w:numPr>
          <w:ilvl w:val="0"/>
          <w:numId w:val="25"/>
        </w:numPr>
        <w:spacing w:after="60"/>
        <w:ind w:left="1440"/>
        <w:contextualSpacing w:val="0"/>
        <w:rPr>
          <w:sz w:val="18"/>
          <w:szCs w:val="18"/>
        </w:rPr>
      </w:pPr>
      <w:r w:rsidRPr="00B42600">
        <w:rPr>
          <w:rFonts w:ascii="Tahoma" w:hAnsi="Tahoma" w:cs="Tahoma"/>
          <w:sz w:val="18"/>
          <w:szCs w:val="18"/>
        </w:rPr>
        <w:t>1 Softwarelizenz für Forefront Threat Management Gateway, Medium Business Edition 2010</w:t>
      </w:r>
    </w:p>
    <w:p w:rsidR="00113634" w:rsidRPr="00DF3F89" w:rsidRDefault="00113634" w:rsidP="00B42600">
      <w:pPr>
        <w:ind w:left="1166"/>
        <w:rPr>
          <w:szCs w:val="18"/>
        </w:rPr>
      </w:pPr>
    </w:p>
    <w:p w:rsidR="00113634" w:rsidRPr="00B42600" w:rsidRDefault="00113634" w:rsidP="00957DE8">
      <w:pPr>
        <w:pStyle w:val="ListParagraph"/>
        <w:rPr>
          <w:sz w:val="18"/>
          <w:szCs w:val="18"/>
          <w:lang w:val="de-DE"/>
        </w:rPr>
      </w:pPr>
      <w:r w:rsidRPr="00B42600">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r w:rsidR="000E4170">
        <w:rPr>
          <w:rFonts w:ascii="Tahoma" w:hAnsi="Tahoma" w:cs="Tahoma"/>
          <w:sz w:val="18"/>
          <w:szCs w:val="18"/>
          <w:lang w:val="de-DE"/>
        </w:rPr>
        <w:t>)</w:t>
      </w:r>
      <w:r w:rsidRPr="00B42600">
        <w:rPr>
          <w:rFonts w:ascii="Tahoma" w:hAnsi="Tahoma" w:cs="Tahoma"/>
          <w:sz w:val="18"/>
          <w:szCs w:val="18"/>
          <w:lang w:val="de-DE"/>
        </w:rPr>
        <w:t>.</w:t>
      </w:r>
    </w:p>
    <w:p w:rsidR="00113634" w:rsidRPr="00C83DF5" w:rsidRDefault="00113634" w:rsidP="00B42600">
      <w:pPr>
        <w:ind w:left="1166"/>
        <w:rPr>
          <w:lang w:val="de-DE"/>
        </w:rPr>
      </w:pPr>
    </w:p>
    <w:p w:rsidR="00113634" w:rsidRPr="00C83DF5" w:rsidRDefault="00113634" w:rsidP="00B42600">
      <w:pPr>
        <w:ind w:left="720"/>
        <w:rPr>
          <w:lang w:val="de-DE"/>
        </w:rPr>
      </w:pPr>
      <w:r w:rsidRPr="00C83DF5">
        <w:rPr>
          <w:rFonts w:cs="Tahoma"/>
          <w:szCs w:val="18"/>
          <w:lang w:val="de-DE"/>
        </w:rPr>
        <w:t>Durch den Volumenlizenzvertrag des Kunden und diesen Hinweis auf die Produktbedingungen werden die zusätzlichen Lizenzen belegt.</w:t>
      </w:r>
      <w:r w:rsidR="00E71F46" w:rsidRPr="00C83DF5">
        <w:rPr>
          <w:rFonts w:cs="Tahoma"/>
          <w:szCs w:val="18"/>
          <w:lang w:val="de-DE"/>
        </w:rPr>
        <w:t xml:space="preserve"> </w:t>
      </w:r>
      <w:r w:rsidRPr="00C83DF5">
        <w:rPr>
          <w:rFonts w:cs="Tahoma"/>
          <w:szCs w:val="18"/>
          <w:lang w:val="de-DE"/>
        </w:rPr>
        <w:t>Die Nutzung der Software im Rahmen der zusätzlichen Lizenzen unterliegt den</w:t>
      </w:r>
      <w:r w:rsidR="00B42600">
        <w:rPr>
          <w:rFonts w:cs="Tahoma"/>
          <w:szCs w:val="18"/>
          <w:lang w:val="de-DE"/>
        </w:rPr>
        <w:t> </w:t>
      </w:r>
      <w:r w:rsidRPr="00C83DF5">
        <w:rPr>
          <w:rFonts w:cs="Tahoma"/>
          <w:szCs w:val="18"/>
          <w:lang w:val="de-DE"/>
        </w:rPr>
        <w:t>Bestimmungen des Volumenlizenzvertrages des Kunden und den Produktbenutzungsrechten für die jeweiligen Produkte.</w:t>
      </w:r>
      <w:r w:rsidR="00E71F46" w:rsidRPr="00C83DF5">
        <w:rPr>
          <w:rFonts w:cs="Tahoma"/>
          <w:szCs w:val="18"/>
          <w:lang w:val="de-DE"/>
        </w:rPr>
        <w:t xml:space="preserve"> </w:t>
      </w:r>
      <w:r w:rsidRPr="00C83DF5">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E71F46" w:rsidRPr="00C83DF5">
        <w:rPr>
          <w:rFonts w:cs="Tahoma"/>
          <w:szCs w:val="18"/>
          <w:lang w:val="de-DE"/>
        </w:rPr>
        <w:t xml:space="preserve"> </w:t>
      </w:r>
      <w:r w:rsidRPr="00C83DF5">
        <w:rPr>
          <w:rFonts w:cs="Tahoma"/>
          <w:szCs w:val="18"/>
          <w:lang w:val="de-DE"/>
        </w:rPr>
        <w:t>Das Recht zur Nutzung von Forefront Protection 2010 für Exchange Server gilt bis zum Ablauf von Software Assurance für die zugehörigen qualifizierenden Lizenzen.</w:t>
      </w:r>
      <w:r w:rsidR="00E71F46" w:rsidRPr="00C83DF5">
        <w:rPr>
          <w:rFonts w:cs="Tahoma"/>
          <w:szCs w:val="18"/>
          <w:lang w:val="de-DE"/>
        </w:rPr>
        <w:t xml:space="preserve"> </w:t>
      </w:r>
      <w:r w:rsidRPr="00C83DF5">
        <w:rPr>
          <w:rFonts w:cs="Tahoma"/>
          <w:szCs w:val="18"/>
          <w:lang w:val="de-DE"/>
        </w:rPr>
        <w:t>In sämtlichen Fällen können die zusätzlichen Lizenzen nicht separat von den qualifizierenden Lizenzen übertragen werden.</w:t>
      </w:r>
    </w:p>
    <w:p w:rsidR="00113634" w:rsidRPr="00C83DF5" w:rsidRDefault="00113634" w:rsidP="00957DE8">
      <w:pPr>
        <w:tabs>
          <w:tab w:val="left" w:pos="1260"/>
        </w:tabs>
        <w:ind w:left="720"/>
        <w:rPr>
          <w:lang w:val="de-DE"/>
        </w:rPr>
      </w:pPr>
      <w:r w:rsidRPr="00C83DF5">
        <w:rPr>
          <w:rFonts w:cs="Tahoma"/>
          <w:szCs w:val="18"/>
          <w:u w:val="single"/>
          <w:lang w:val="de-DE"/>
        </w:rPr>
        <w:lastRenderedPageBreak/>
        <w:t>Alle Kunden mit Volumenlizenz für Windows Essential Business Server (EBS) 2008 Premium</w:t>
      </w:r>
      <w:r w:rsidRPr="00B42600">
        <w:rPr>
          <w:rFonts w:cs="Tahoma"/>
          <w:szCs w:val="18"/>
          <w:lang w:val="de-DE"/>
        </w:rPr>
        <w:t xml:space="preserve"> </w:t>
      </w:r>
      <w:r w:rsidRPr="00C83DF5">
        <w:rPr>
          <w:rFonts w:cs="Tahoma"/>
          <w:szCs w:val="18"/>
          <w:lang w:val="de-DE"/>
        </w:rPr>
        <w:t>haben ab dem 1. Juli 2010 einen zusätzlichen Anspruch auf die folgenden zusätzlichen Lizenzen für jede EBS 2008 Premium-Lizenz mit aktiver Software Assurance:</w:t>
      </w:r>
    </w:p>
    <w:p w:rsidR="00A6493D" w:rsidRPr="00DF3F89" w:rsidRDefault="00A6493D" w:rsidP="00B42600">
      <w:pPr>
        <w:pStyle w:val="ListParagraph"/>
        <w:ind w:left="1260"/>
        <w:contextualSpacing w:val="0"/>
        <w:rPr>
          <w:rFonts w:ascii="Tahoma" w:hAnsi="Tahoma" w:cs="Tahoma"/>
          <w:sz w:val="18"/>
          <w:szCs w:val="18"/>
          <w:lang w:val="de-DE"/>
        </w:rPr>
      </w:pPr>
    </w:p>
    <w:p w:rsidR="00113634" w:rsidRPr="00DF3F89" w:rsidRDefault="00113634" w:rsidP="00B42600">
      <w:pPr>
        <w:pStyle w:val="ListParagraph"/>
        <w:numPr>
          <w:ilvl w:val="0"/>
          <w:numId w:val="26"/>
        </w:numPr>
        <w:spacing w:after="60"/>
        <w:ind w:left="1440"/>
        <w:contextualSpacing w:val="0"/>
        <w:rPr>
          <w:rFonts w:ascii="Tahoma" w:hAnsi="Tahoma" w:cs="Tahoma"/>
          <w:sz w:val="18"/>
          <w:szCs w:val="18"/>
          <w:lang w:val="de-DE"/>
        </w:rPr>
      </w:pPr>
      <w:r w:rsidRPr="00DF3F89">
        <w:rPr>
          <w:rFonts w:ascii="Tahoma" w:hAnsi="Tahoma" w:cs="Tahoma"/>
          <w:sz w:val="18"/>
          <w:szCs w:val="18"/>
          <w:lang w:val="de-DE"/>
        </w:rPr>
        <w:t>4 Softwarelizenzen für Windows Server 2008 R2 Standard</w:t>
      </w:r>
    </w:p>
    <w:p w:rsidR="00113634" w:rsidRPr="00DF3F89" w:rsidRDefault="00113634" w:rsidP="00B42600">
      <w:pPr>
        <w:pStyle w:val="ListParagraph"/>
        <w:numPr>
          <w:ilvl w:val="0"/>
          <w:numId w:val="26"/>
        </w:numPr>
        <w:spacing w:after="60"/>
        <w:ind w:left="1440"/>
        <w:contextualSpacing w:val="0"/>
        <w:rPr>
          <w:rFonts w:ascii="Tahoma" w:hAnsi="Tahoma" w:cs="Tahoma"/>
          <w:sz w:val="18"/>
          <w:szCs w:val="18"/>
          <w:lang w:val="de-DE"/>
        </w:rPr>
      </w:pPr>
      <w:r w:rsidRPr="00DF3F89">
        <w:rPr>
          <w:rFonts w:ascii="Tahoma" w:hAnsi="Tahoma" w:cs="Tahoma"/>
          <w:sz w:val="18"/>
          <w:szCs w:val="18"/>
          <w:lang w:val="de-DE"/>
        </w:rPr>
        <w:t>1 Softwarelizenz für SQL Server 2008 R2 Standard</w:t>
      </w:r>
    </w:p>
    <w:p w:rsidR="00113634" w:rsidRPr="00B42600" w:rsidRDefault="00113634" w:rsidP="00B42600">
      <w:pPr>
        <w:pStyle w:val="ListParagraph"/>
        <w:numPr>
          <w:ilvl w:val="0"/>
          <w:numId w:val="26"/>
        </w:numPr>
        <w:spacing w:after="60"/>
        <w:ind w:left="1440"/>
        <w:contextualSpacing w:val="0"/>
        <w:rPr>
          <w:rFonts w:ascii="Tahoma" w:hAnsi="Tahoma" w:cs="Tahoma"/>
          <w:sz w:val="18"/>
          <w:szCs w:val="18"/>
        </w:rPr>
      </w:pPr>
      <w:r w:rsidRPr="00C83DF5">
        <w:rPr>
          <w:rFonts w:ascii="Tahoma" w:hAnsi="Tahoma" w:cs="Tahoma"/>
          <w:sz w:val="18"/>
          <w:szCs w:val="18"/>
        </w:rPr>
        <w:t>2 Softwarelizenzen für Exchange Server 2010 Standard</w:t>
      </w:r>
    </w:p>
    <w:p w:rsidR="00113634" w:rsidRPr="00DF3F89" w:rsidRDefault="00113634" w:rsidP="00B42600">
      <w:pPr>
        <w:pStyle w:val="ListParagraph"/>
        <w:numPr>
          <w:ilvl w:val="0"/>
          <w:numId w:val="26"/>
        </w:numPr>
        <w:spacing w:after="60"/>
        <w:ind w:left="1440"/>
        <w:contextualSpacing w:val="0"/>
        <w:rPr>
          <w:rFonts w:ascii="Tahoma" w:hAnsi="Tahoma" w:cs="Tahoma"/>
          <w:sz w:val="18"/>
          <w:szCs w:val="18"/>
          <w:lang w:val="de-DE"/>
        </w:rPr>
      </w:pPr>
      <w:r w:rsidRPr="00DF3F89">
        <w:rPr>
          <w:rFonts w:ascii="Tahoma" w:hAnsi="Tahoma" w:cs="Tahoma"/>
          <w:sz w:val="18"/>
          <w:szCs w:val="18"/>
          <w:lang w:val="de-DE"/>
        </w:rPr>
        <w:t>1 Softwarelizenz für System Center Essentials 2010 und 10 Server-Management-Lizenzen und 50 Client-Management-Lizenzen</w:t>
      </w:r>
    </w:p>
    <w:p w:rsidR="00113634" w:rsidRPr="00B42600" w:rsidRDefault="00113634" w:rsidP="00B42600">
      <w:pPr>
        <w:pStyle w:val="ListParagraph"/>
        <w:numPr>
          <w:ilvl w:val="0"/>
          <w:numId w:val="26"/>
        </w:numPr>
        <w:spacing w:after="60"/>
        <w:ind w:left="1440"/>
        <w:contextualSpacing w:val="0"/>
        <w:rPr>
          <w:rFonts w:ascii="Tahoma" w:hAnsi="Tahoma" w:cs="Tahoma"/>
          <w:sz w:val="18"/>
          <w:szCs w:val="18"/>
        </w:rPr>
      </w:pPr>
      <w:r w:rsidRPr="00C83DF5">
        <w:rPr>
          <w:rFonts w:ascii="Tahoma" w:hAnsi="Tahoma" w:cs="Tahoma"/>
          <w:sz w:val="18"/>
          <w:szCs w:val="18"/>
        </w:rPr>
        <w:t>1 Softwarelizenz für Forefront Threat Management Gateway, Medium Business 2010</w:t>
      </w:r>
    </w:p>
    <w:p w:rsidR="00113634" w:rsidRPr="00B42600" w:rsidRDefault="00113634" w:rsidP="00B42600">
      <w:pPr>
        <w:pStyle w:val="ListParagraph"/>
        <w:ind w:left="1260"/>
        <w:contextualSpacing w:val="0"/>
        <w:rPr>
          <w:rFonts w:ascii="Tahoma" w:hAnsi="Tahoma" w:cs="Tahoma"/>
          <w:sz w:val="18"/>
          <w:szCs w:val="18"/>
        </w:rPr>
      </w:pPr>
    </w:p>
    <w:p w:rsidR="00113634" w:rsidRPr="00B42600" w:rsidRDefault="00113634" w:rsidP="00957DE8">
      <w:pPr>
        <w:pStyle w:val="ListParagraph"/>
        <w:rPr>
          <w:rFonts w:ascii="Tahoma" w:hAnsi="Tahoma" w:cs="Tahoma"/>
          <w:sz w:val="18"/>
          <w:szCs w:val="18"/>
          <w:lang w:val="de-DE"/>
        </w:rPr>
      </w:pPr>
      <w:r w:rsidRPr="00B42600">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rsidR="00113634" w:rsidRPr="00DF3F89" w:rsidRDefault="00113634" w:rsidP="00EF2279">
      <w:pPr>
        <w:pStyle w:val="ListParagraph"/>
        <w:ind w:left="1260"/>
        <w:contextualSpacing w:val="0"/>
        <w:rPr>
          <w:rFonts w:ascii="Tahoma" w:hAnsi="Tahoma" w:cs="Tahoma"/>
          <w:sz w:val="18"/>
          <w:szCs w:val="18"/>
          <w:lang w:val="de-DE"/>
        </w:rPr>
      </w:pPr>
    </w:p>
    <w:p w:rsidR="00113634" w:rsidRPr="00B42600" w:rsidRDefault="00113634" w:rsidP="005318DF">
      <w:pPr>
        <w:ind w:left="720"/>
        <w:rPr>
          <w:rFonts w:cs="Tahoma"/>
          <w:szCs w:val="18"/>
          <w:lang w:val="de-DE"/>
        </w:rPr>
      </w:pPr>
      <w:r w:rsidRPr="00B42600">
        <w:rPr>
          <w:rFonts w:cs="Tahoma"/>
          <w:szCs w:val="18"/>
          <w:lang w:val="de-DE"/>
        </w:rPr>
        <w:t>Durch den Volumenlizenzvertrag des Kunden und diesen Hinweis auf die Produktbedingungen werden die zusätzlichen Lizenzen belegt.</w:t>
      </w:r>
      <w:r w:rsidR="00E71F46" w:rsidRPr="00B42600">
        <w:rPr>
          <w:rFonts w:cs="Tahoma"/>
          <w:szCs w:val="18"/>
          <w:lang w:val="de-DE"/>
        </w:rPr>
        <w:t xml:space="preserve"> </w:t>
      </w:r>
      <w:r w:rsidRPr="00B42600">
        <w:rPr>
          <w:rFonts w:cs="Tahoma"/>
          <w:szCs w:val="18"/>
          <w:lang w:val="de-DE"/>
        </w:rPr>
        <w:t>Die Nutzung der Software im Rahmen der zusätzlichen Lizenzen unterliegt den</w:t>
      </w:r>
      <w:r w:rsidR="005318DF">
        <w:rPr>
          <w:rFonts w:cs="Tahoma"/>
          <w:szCs w:val="18"/>
          <w:lang w:val="de-DE"/>
        </w:rPr>
        <w:t> </w:t>
      </w:r>
      <w:r w:rsidRPr="00B42600">
        <w:rPr>
          <w:rFonts w:cs="Tahoma"/>
          <w:szCs w:val="18"/>
          <w:lang w:val="de-DE"/>
        </w:rPr>
        <w:t>Bestimmungen des Volumenlizenzvertrages des Kunden und den Produktbenutzungsrechten für die jeweiligen Produkte.</w:t>
      </w:r>
      <w:r w:rsidR="00E71F46" w:rsidRPr="00B42600">
        <w:rPr>
          <w:rFonts w:cs="Tahoma"/>
          <w:szCs w:val="18"/>
          <w:lang w:val="de-DE"/>
        </w:rPr>
        <w:t xml:space="preserve"> </w:t>
      </w:r>
      <w:r w:rsidRPr="00B42600">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E71F46" w:rsidRPr="00B42600">
        <w:rPr>
          <w:rFonts w:cs="Tahoma"/>
          <w:szCs w:val="18"/>
          <w:lang w:val="de-DE"/>
        </w:rPr>
        <w:t xml:space="preserve"> </w:t>
      </w:r>
      <w:r w:rsidRPr="00B42600">
        <w:rPr>
          <w:rFonts w:cs="Tahoma"/>
          <w:szCs w:val="18"/>
          <w:lang w:val="de-DE"/>
        </w:rPr>
        <w:t>Das Recht zur Nutzung von Forefront Protection 2010 für Exchange Server gilt bis zum Ablauf von Software Assurance für die zugehörigen qualifizierenden Lizenzen.</w:t>
      </w:r>
      <w:r w:rsidR="00E71F46" w:rsidRPr="00B42600">
        <w:rPr>
          <w:rFonts w:cs="Tahoma"/>
          <w:szCs w:val="18"/>
          <w:lang w:val="de-DE"/>
        </w:rPr>
        <w:t xml:space="preserve"> </w:t>
      </w:r>
      <w:r w:rsidRPr="00B42600">
        <w:rPr>
          <w:rFonts w:cs="Tahoma"/>
          <w:szCs w:val="18"/>
          <w:lang w:val="de-DE"/>
        </w:rPr>
        <w:t>In sämtlichen Fällen können die zusätzlichen Lizenzen nicht separat von den qualifizierenden Lizenzen übertragen werden.</w:t>
      </w:r>
    </w:p>
    <w:p w:rsidR="00C41189" w:rsidRPr="00B42600" w:rsidRDefault="00C41189">
      <w:pPr>
        <w:rPr>
          <w:rFonts w:cs="Tahoma"/>
          <w:szCs w:val="18"/>
          <w:lang w:val="de-DE"/>
        </w:rPr>
      </w:pPr>
    </w:p>
    <w:p w:rsidR="00113634" w:rsidRPr="00B42600" w:rsidRDefault="00113634" w:rsidP="00957DE8">
      <w:pPr>
        <w:pStyle w:val="ListParagraph"/>
        <w:spacing w:after="60"/>
        <w:contextualSpacing w:val="0"/>
        <w:rPr>
          <w:rFonts w:ascii="Tahoma" w:hAnsi="Tahoma" w:cs="Tahoma"/>
          <w:sz w:val="18"/>
          <w:szCs w:val="18"/>
          <w:lang w:val="de-DE"/>
        </w:rPr>
      </w:pPr>
      <w:r w:rsidRPr="00B42600">
        <w:rPr>
          <w:rFonts w:ascii="Tahoma" w:hAnsi="Tahoma" w:cs="Tahoma"/>
          <w:b/>
          <w:sz w:val="18"/>
          <w:szCs w:val="18"/>
          <w:lang w:val="de-DE"/>
        </w:rPr>
        <w:t>Zusätzliche Nutzungsrechte für CALs für Windows Essential Business Server (EBS) 2008</w:t>
      </w:r>
    </w:p>
    <w:p w:rsidR="00113634" w:rsidRPr="00B42600" w:rsidRDefault="00113634" w:rsidP="00957DE8">
      <w:pPr>
        <w:ind w:left="720"/>
        <w:rPr>
          <w:rFonts w:cs="Tahoma"/>
          <w:szCs w:val="18"/>
          <w:lang w:val="de-DE"/>
        </w:rPr>
      </w:pPr>
      <w:r w:rsidRPr="00B42600">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rsidR="00113634" w:rsidRPr="00B42600" w:rsidRDefault="00113634" w:rsidP="00EF2279">
      <w:pPr>
        <w:tabs>
          <w:tab w:val="left" w:pos="1260"/>
        </w:tabs>
        <w:ind w:left="1260"/>
        <w:rPr>
          <w:rFonts w:cs="Tahoma"/>
          <w:szCs w:val="18"/>
          <w:lang w:val="de-DE"/>
        </w:rPr>
      </w:pPr>
    </w:p>
    <w:p w:rsidR="00113634" w:rsidRPr="00B42600" w:rsidRDefault="00113634" w:rsidP="00957DE8">
      <w:pPr>
        <w:tabs>
          <w:tab w:val="left" w:pos="1260"/>
        </w:tabs>
        <w:ind w:left="720"/>
        <w:rPr>
          <w:rFonts w:cs="Tahoma"/>
          <w:szCs w:val="18"/>
        </w:rPr>
      </w:pPr>
      <w:r w:rsidRPr="00B42600">
        <w:rPr>
          <w:rFonts w:cs="Tahoma"/>
          <w:szCs w:val="18"/>
          <w:lang w:val="de-DE"/>
        </w:rPr>
        <w:t xml:space="preserve">Für Kunden mit CALs für Windows Essential Business Server (EBS) 2008 mit aktiver Software Assurance ab dem 1. </w:t>
      </w:r>
      <w:r w:rsidRPr="00B42600">
        <w:rPr>
          <w:rFonts w:cs="Tahoma"/>
          <w:szCs w:val="18"/>
        </w:rPr>
        <w:t>Juli 2010:</w:t>
      </w:r>
    </w:p>
    <w:p w:rsidR="00A6493D" w:rsidRPr="00B42600" w:rsidRDefault="00A6493D" w:rsidP="00EF2279">
      <w:pPr>
        <w:pStyle w:val="ListParagraph"/>
        <w:tabs>
          <w:tab w:val="left" w:pos="1260"/>
        </w:tabs>
        <w:ind w:left="1260"/>
        <w:contextualSpacing w:val="0"/>
        <w:rPr>
          <w:rFonts w:ascii="Tahoma" w:hAnsi="Tahoma" w:cs="Tahoma"/>
          <w:sz w:val="18"/>
          <w:szCs w:val="18"/>
        </w:rPr>
      </w:pPr>
    </w:p>
    <w:p w:rsidR="00113634" w:rsidRPr="00B42600" w:rsidRDefault="00113634" w:rsidP="00346F4B">
      <w:pPr>
        <w:pStyle w:val="ListParagraph"/>
        <w:numPr>
          <w:ilvl w:val="0"/>
          <w:numId w:val="120"/>
        </w:numPr>
        <w:tabs>
          <w:tab w:val="left" w:pos="1440"/>
        </w:tabs>
        <w:spacing w:after="60"/>
        <w:contextualSpacing w:val="0"/>
        <w:rPr>
          <w:rFonts w:ascii="Tahoma" w:hAnsi="Tahoma" w:cs="Tahoma"/>
          <w:sz w:val="18"/>
          <w:szCs w:val="18"/>
          <w:lang w:val="de-DE"/>
        </w:rPr>
      </w:pPr>
      <w:r w:rsidRPr="00B42600">
        <w:rPr>
          <w:rFonts w:ascii="Tahoma" w:hAnsi="Tahoma" w:cs="Tahoma"/>
          <w:sz w:val="18"/>
          <w:szCs w:val="18"/>
          <w:lang w:val="de-DE"/>
        </w:rPr>
        <w:t>Für jede CAL-Suite des Kunden für EBS 2008 mit aktiver Software Assurance ab dem 1. Juli 2010 hat der Kunde Anspruch auf die folgenden zusätzlichen Lizenzen:</w:t>
      </w:r>
    </w:p>
    <w:p w:rsidR="00113634" w:rsidRPr="00B4260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B42600">
        <w:rPr>
          <w:rFonts w:ascii="Tahoma" w:hAnsi="Tahoma" w:cs="Tahoma"/>
          <w:sz w:val="18"/>
          <w:szCs w:val="18"/>
        </w:rPr>
        <w:t>1 CAL für Windows Server 2008</w:t>
      </w:r>
    </w:p>
    <w:p w:rsidR="00113634" w:rsidRPr="00B4260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B42600">
        <w:rPr>
          <w:rFonts w:ascii="Tahoma" w:hAnsi="Tahoma" w:cs="Tahoma"/>
          <w:sz w:val="18"/>
          <w:szCs w:val="18"/>
        </w:rPr>
        <w:t>1 Standard-CAL für Exchange Server 2010</w:t>
      </w:r>
    </w:p>
    <w:p w:rsidR="00113634" w:rsidRPr="00B42600"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de-DE"/>
        </w:rPr>
      </w:pPr>
      <w:r w:rsidRPr="00B42600">
        <w:rPr>
          <w:rFonts w:ascii="Tahoma" w:hAnsi="Tahoma" w:cs="Tahoma"/>
          <w:sz w:val="18"/>
          <w:szCs w:val="18"/>
          <w:lang w:val="de-DE"/>
        </w:rPr>
        <w:t>1 Geräte- oder Nutzer-Abonnementlizenz für Forefront Protection 2010 für Exchange Server</w:t>
      </w:r>
    </w:p>
    <w:p w:rsidR="00A6493D" w:rsidRPr="00B42600" w:rsidRDefault="00A6493D" w:rsidP="00A434A4">
      <w:pPr>
        <w:pStyle w:val="ListParagraph"/>
        <w:tabs>
          <w:tab w:val="num" w:pos="1800"/>
        </w:tabs>
        <w:spacing w:after="60"/>
        <w:ind w:left="1800"/>
        <w:contextualSpacing w:val="0"/>
        <w:rPr>
          <w:rFonts w:ascii="Tahoma" w:hAnsi="Tahoma" w:cs="Tahoma"/>
          <w:sz w:val="18"/>
          <w:szCs w:val="18"/>
          <w:lang w:val="de-DE"/>
        </w:rPr>
      </w:pPr>
    </w:p>
    <w:p w:rsidR="00113634" w:rsidRPr="00B42600"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B42600">
        <w:rPr>
          <w:rFonts w:ascii="Tahoma" w:hAnsi="Tahoma" w:cs="Tahoma"/>
          <w:sz w:val="18"/>
          <w:szCs w:val="18"/>
          <w:lang w:val="de-DE"/>
        </w:rPr>
        <w:t xml:space="preserve">Für jede CAL-Suite für EBS 2008 für Premium-Nutzer und -Geräte des Kunden mit aktiver Software Assurance ab dem 1. </w:t>
      </w:r>
      <w:r w:rsidRPr="00B42600">
        <w:rPr>
          <w:rFonts w:ascii="Tahoma" w:hAnsi="Tahoma" w:cs="Tahoma"/>
          <w:sz w:val="18"/>
          <w:szCs w:val="18"/>
        </w:rPr>
        <w:t>Juli 2010 hat dieser Anspruch auf die folgenden zusätzlichen Lizenzen:</w:t>
      </w:r>
    </w:p>
    <w:p w:rsidR="00113634" w:rsidRPr="00B4260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B42600">
        <w:rPr>
          <w:rFonts w:ascii="Tahoma" w:hAnsi="Tahoma" w:cs="Tahoma"/>
          <w:sz w:val="18"/>
          <w:szCs w:val="18"/>
        </w:rPr>
        <w:t>CAL für Windows Server 2008</w:t>
      </w:r>
    </w:p>
    <w:p w:rsidR="00113634" w:rsidRPr="00B4260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B42600">
        <w:rPr>
          <w:rFonts w:ascii="Tahoma" w:hAnsi="Tahoma" w:cs="Tahoma"/>
          <w:sz w:val="18"/>
          <w:szCs w:val="18"/>
        </w:rPr>
        <w:t>Standard-CAL für Exchange Server 2010</w:t>
      </w:r>
    </w:p>
    <w:p w:rsidR="002512D3" w:rsidRPr="00B42600"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B42600">
        <w:rPr>
          <w:rFonts w:ascii="Tahoma" w:hAnsi="Tahoma" w:cs="Tahoma"/>
          <w:sz w:val="18"/>
          <w:szCs w:val="18"/>
        </w:rPr>
        <w:t>CAL für SQL Server 2008 R2</w:t>
      </w:r>
    </w:p>
    <w:p w:rsidR="00113634" w:rsidRPr="00B42600"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de-DE"/>
        </w:rPr>
      </w:pPr>
      <w:r w:rsidRPr="00B42600">
        <w:rPr>
          <w:rFonts w:ascii="Tahoma" w:hAnsi="Tahoma" w:cs="Tahoma"/>
          <w:sz w:val="18"/>
          <w:szCs w:val="18"/>
          <w:lang w:val="de-DE"/>
        </w:rPr>
        <w:t>1 Geräte- oder Nutzer-Abonnementlizenz für Forefront Protection 2010 für Exchange Server</w:t>
      </w:r>
    </w:p>
    <w:p w:rsidR="00113634" w:rsidRPr="00B42600" w:rsidRDefault="00113634" w:rsidP="00A434A4">
      <w:pPr>
        <w:pStyle w:val="ListParagraph"/>
        <w:spacing w:after="60"/>
        <w:ind w:left="1980"/>
        <w:contextualSpacing w:val="0"/>
        <w:rPr>
          <w:rFonts w:ascii="Tahoma" w:hAnsi="Tahoma" w:cs="Tahoma"/>
          <w:sz w:val="18"/>
          <w:szCs w:val="18"/>
          <w:lang w:val="de-DE"/>
        </w:rPr>
      </w:pPr>
      <w:r w:rsidRPr="00B42600">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rsidR="001E3F07" w:rsidRPr="00C83DF5" w:rsidRDefault="00113634" w:rsidP="00A434A4">
      <w:pPr>
        <w:ind w:left="720"/>
        <w:rPr>
          <w:lang w:val="de-DE"/>
        </w:rPr>
      </w:pPr>
      <w:r w:rsidRPr="00C83DF5">
        <w:rPr>
          <w:rFonts w:cs="Tahoma"/>
          <w:szCs w:val="18"/>
          <w:lang w:val="de-DE"/>
        </w:rPr>
        <w:lastRenderedPageBreak/>
        <w:t>Durch den Volumenlizenzvertrag des Kunden und diesen Hinweis auf die Produktbedingungen werden die zusätzlichen CALs belegt.</w:t>
      </w:r>
      <w:r w:rsidR="00E71F46" w:rsidRPr="00C83DF5">
        <w:rPr>
          <w:rFonts w:cs="Tahoma"/>
          <w:szCs w:val="18"/>
          <w:lang w:val="de-DE"/>
        </w:rPr>
        <w:t xml:space="preserve"> </w:t>
      </w:r>
      <w:r w:rsidRPr="00C83DF5">
        <w:rPr>
          <w:rFonts w:cs="Tahoma"/>
          <w:szCs w:val="18"/>
          <w:lang w:val="de-DE"/>
        </w:rPr>
        <w:t>Die Nutzung der Software im Rahmen der zusätzlichen CALs unterliegt den Bestimmungen des Volumenlizenzvertrages des Kunden und den Produktbenutzungsrechten für die jeweiligen Produkte.</w:t>
      </w:r>
      <w:r w:rsidR="00E71F46" w:rsidRPr="00C83DF5">
        <w:rPr>
          <w:rFonts w:cs="Tahoma"/>
          <w:szCs w:val="18"/>
          <w:lang w:val="de-DE"/>
        </w:rPr>
        <w:t xml:space="preserve"> </w:t>
      </w:r>
      <w:r w:rsidRPr="00C83DF5">
        <w:rPr>
          <w:rFonts w:cs="Tahoma"/>
          <w:szCs w:val="18"/>
          <w:lang w:val="de-DE"/>
        </w:rPr>
        <w:t>Das Recht zur Nutzung der Software im Rahmen der zusätzlichen CALs gilt bis zum Ablauf des Rechts zur Nutzung der Software im Rahmen der qualifizierenden CALs.</w:t>
      </w:r>
      <w:r w:rsidR="00E71F46" w:rsidRPr="00C83DF5">
        <w:rPr>
          <w:rFonts w:cs="Tahoma"/>
          <w:szCs w:val="18"/>
          <w:lang w:val="de-DE"/>
        </w:rPr>
        <w:t xml:space="preserve"> </w:t>
      </w:r>
      <w:r w:rsidRPr="00C83DF5">
        <w:rPr>
          <w:rFonts w:cs="Tahoma"/>
          <w:szCs w:val="18"/>
          <w:lang w:val="de-DE"/>
        </w:rPr>
        <w:t>In sämtlichen Fällen können die zusätzlichen CALs nicht separat von den qualifizierenden CALs übertragen werden.</w:t>
      </w:r>
      <w:bookmarkStart w:id="1579" w:name="_107_Windows_Azure"/>
      <w:bookmarkEnd w:id="1579"/>
    </w:p>
    <w:p w:rsidR="00113634" w:rsidRPr="00C83DF5" w:rsidRDefault="00113634" w:rsidP="00113634">
      <w:pPr>
        <w:rPr>
          <w:lang w:val="de-DE"/>
        </w:rPr>
      </w:pPr>
    </w:p>
    <w:p w:rsidR="00DE0D10" w:rsidRPr="00C83DF5" w:rsidRDefault="00DE0D10" w:rsidP="00957DE8">
      <w:pPr>
        <w:rPr>
          <w:lang w:val="de-DE"/>
        </w:rPr>
      </w:pPr>
    </w:p>
    <w:p w:rsidR="00023FE7" w:rsidRPr="00C83DF5" w:rsidRDefault="00A560B6" w:rsidP="00EF2279">
      <w:pPr>
        <w:pStyle w:val="Heading3"/>
        <w:rPr>
          <w:lang w:val="de-DE"/>
        </w:rPr>
      </w:pPr>
      <w:bookmarkStart w:id="1580" w:name="_104_Windows_HPC"/>
      <w:bookmarkStart w:id="1581" w:name="_103_Windows_HPC"/>
      <w:bookmarkStart w:id="1582" w:name="Srv_109HPCServer2008_R2Suite"/>
      <w:bookmarkStart w:id="1583" w:name="_Toc336338365"/>
      <w:bookmarkStart w:id="1584" w:name="Srv_96WindowsHighPerfCompSvr08"/>
      <w:bookmarkStart w:id="1585" w:name="Srv_94HPCServer2008_R2Suite"/>
      <w:bookmarkStart w:id="1586" w:name="Srv_106HPCServer2008_R2Suite"/>
      <w:bookmarkStart w:id="1587" w:name="_Toc370983471"/>
      <w:bookmarkEnd w:id="1580"/>
      <w:bookmarkEnd w:id="1581"/>
      <w:r w:rsidRPr="00C83DF5">
        <w:rPr>
          <w:rFonts w:ascii="Tahoma" w:hAnsi="Tahoma"/>
          <w:caps/>
          <w:color w:val="F66400"/>
          <w:sz w:val="22"/>
          <w:vertAlign w:val="superscript"/>
          <w:lang w:val="de-DE"/>
        </w:rPr>
        <w:t>103</w:t>
      </w:r>
      <w:r w:rsidRPr="009B03E3">
        <w:rPr>
          <w:rFonts w:ascii="Tahoma" w:hAnsi="Tahoma"/>
          <w:caps/>
          <w:color w:val="F66400"/>
          <w:sz w:val="22"/>
          <w:lang w:val="de-DE"/>
        </w:rPr>
        <w:t xml:space="preserve"> </w:t>
      </w:r>
      <w:r w:rsidRPr="00C83DF5">
        <w:rPr>
          <w:rFonts w:ascii="Tahoma" w:hAnsi="Tahoma"/>
          <w:color w:val="F66400"/>
          <w:sz w:val="22"/>
          <w:lang w:val="de-DE"/>
        </w:rPr>
        <w:t>Windows HPC Server 2008 R2 Suite</w:t>
      </w:r>
      <w:bookmarkEnd w:id="1582"/>
      <w:bookmarkEnd w:id="1583"/>
      <w:bookmarkEnd w:id="1587"/>
    </w:p>
    <w:bookmarkEnd w:id="1584"/>
    <w:bookmarkEnd w:id="1585"/>
    <w:bookmarkEnd w:id="1586"/>
    <w:p w:rsidR="00023FE7" w:rsidRPr="00DF3F89" w:rsidRDefault="00023FE7" w:rsidP="00A434A4">
      <w:pPr>
        <w:pStyle w:val="EndnoteText"/>
        <w:rPr>
          <w:lang w:val="de-DE"/>
        </w:rPr>
      </w:pPr>
    </w:p>
    <w:p w:rsidR="00A434A4" w:rsidRPr="00C83DF5" w:rsidRDefault="001978C7" w:rsidP="00A434A4">
      <w:pPr>
        <w:spacing w:after="60"/>
        <w:ind w:left="720"/>
        <w:rPr>
          <w:lang w:val="de-DE"/>
        </w:rPr>
      </w:pPr>
      <w:r w:rsidRPr="00C83DF5">
        <w:rPr>
          <w:b/>
          <w:color w:val="000000"/>
          <w:lang w:val="de-DE"/>
        </w:rPr>
        <w:t>Lizenzgewährungen im Zusammenhang mit dem Ende der Lebensdauer von HPC Server Suite</w:t>
      </w:r>
    </w:p>
    <w:p w:rsidR="001978C7" w:rsidRPr="00C83DF5" w:rsidRDefault="001978C7" w:rsidP="00A434A4">
      <w:pPr>
        <w:ind w:left="720"/>
        <w:rPr>
          <w:lang w:val="de-DE"/>
        </w:rPr>
      </w:pPr>
      <w:r w:rsidRPr="00C83DF5">
        <w:rPr>
          <w:color w:val="000000"/>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C83DF5">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rsidR="00A434A4" w:rsidRPr="00C83DF5" w:rsidRDefault="00A434A4" w:rsidP="00A434A4">
      <w:pPr>
        <w:ind w:left="720"/>
        <w:rPr>
          <w:lang w:val="de-DE"/>
        </w:rPr>
      </w:pPr>
    </w:p>
    <w:p w:rsidR="001978C7" w:rsidRPr="00C83DF5" w:rsidRDefault="001978C7" w:rsidP="00346F4B">
      <w:pPr>
        <w:numPr>
          <w:ilvl w:val="0"/>
          <w:numId w:val="52"/>
        </w:numPr>
        <w:tabs>
          <w:tab w:val="left" w:pos="1440"/>
        </w:tabs>
        <w:spacing w:after="60"/>
        <w:ind w:left="1440"/>
        <w:rPr>
          <w:lang w:val="de-DE"/>
        </w:rPr>
      </w:pPr>
      <w:r w:rsidRPr="00C83DF5">
        <w:rPr>
          <w:rFonts w:eastAsia="Calibri" w:cs="Tahoma"/>
          <w:szCs w:val="18"/>
          <w:lang w:val="de-DE"/>
        </w:rPr>
        <w:t>Lizenzen, die im Rahmen dieser Gewährung erworben werden, umfassen Software Assurance.</w:t>
      </w:r>
      <w:r w:rsidR="00E71F46" w:rsidRPr="00C83DF5">
        <w:rPr>
          <w:rFonts w:eastAsia="Calibri" w:cs="Tahoma"/>
          <w:szCs w:val="18"/>
          <w:lang w:val="de-DE"/>
        </w:rPr>
        <w:t xml:space="preserve"> </w:t>
      </w:r>
      <w:r w:rsidRPr="00C83DF5">
        <w:rPr>
          <w:rFonts w:eastAsia="Calibri" w:cs="Tahoma"/>
          <w:szCs w:val="18"/>
          <w:lang w:val="de-DE"/>
        </w:rPr>
        <w:t>Diese Software Assurance gilt bis zum Ablauf der Software Assurance für die Qualifizierenden Lizenzen.</w:t>
      </w:r>
    </w:p>
    <w:p w:rsidR="001978C7" w:rsidRPr="00C83DF5" w:rsidRDefault="001978C7" w:rsidP="009B03E3">
      <w:pPr>
        <w:numPr>
          <w:ilvl w:val="0"/>
          <w:numId w:val="52"/>
        </w:numPr>
        <w:tabs>
          <w:tab w:val="left" w:pos="1440"/>
        </w:tabs>
        <w:spacing w:after="60"/>
        <w:ind w:left="1440"/>
        <w:rPr>
          <w:lang w:val="de-DE"/>
        </w:rPr>
      </w:pPr>
      <w:r w:rsidRPr="00C83DF5">
        <w:rPr>
          <w:rFonts w:eastAsia="Calibri" w:cs="Tahoma"/>
          <w:szCs w:val="18"/>
          <w:lang w:val="de-DE"/>
        </w:rPr>
        <w:t>Wenn Kunden zeitlich unbeschränkte Rechte zur Verwendung von Software unter Qualifizierenden Lizenzen erworben haben, sind die unter dieser Gewährung erworbenen Lizenzen ebenfalls zeitlich</w:t>
      </w:r>
      <w:r w:rsidR="009B03E3">
        <w:rPr>
          <w:rFonts w:eastAsia="Calibri" w:cs="Tahoma"/>
          <w:szCs w:val="18"/>
          <w:lang w:val="de-DE"/>
        </w:rPr>
        <w:t> </w:t>
      </w:r>
      <w:r w:rsidRPr="00C83DF5">
        <w:rPr>
          <w:rFonts w:eastAsia="Calibri" w:cs="Tahoma"/>
          <w:szCs w:val="18"/>
          <w:lang w:val="de-DE"/>
        </w:rPr>
        <w:t>unbeschränkt; ansonsten laufen unter dieser Gewährung erworbene Lizenzen ab, wenn</w:t>
      </w:r>
      <w:r w:rsidR="009B03E3">
        <w:rPr>
          <w:rFonts w:eastAsia="Calibri" w:cs="Tahoma"/>
          <w:szCs w:val="18"/>
          <w:lang w:val="de-DE"/>
        </w:rPr>
        <w:t> </w:t>
      </w:r>
      <w:r w:rsidRPr="00C83DF5">
        <w:rPr>
          <w:rFonts w:eastAsia="Calibri" w:cs="Tahoma"/>
          <w:szCs w:val="18"/>
          <w:lang w:val="de-DE"/>
        </w:rPr>
        <w:t>die</w:t>
      </w:r>
      <w:r w:rsidR="009B03E3">
        <w:rPr>
          <w:rFonts w:eastAsia="Calibri" w:cs="Tahoma"/>
          <w:szCs w:val="18"/>
          <w:lang w:val="de-DE"/>
        </w:rPr>
        <w:t> </w:t>
      </w:r>
      <w:r w:rsidRPr="00C83DF5">
        <w:rPr>
          <w:rFonts w:eastAsia="Calibri" w:cs="Tahoma"/>
          <w:szCs w:val="18"/>
          <w:lang w:val="de-DE"/>
        </w:rPr>
        <w:t>zugrunde liegenden Qualifizierenden Lizenzen abgelaufen wären.</w:t>
      </w:r>
    </w:p>
    <w:p w:rsidR="001978C7" w:rsidRPr="00C83DF5" w:rsidRDefault="001978C7" w:rsidP="00346F4B">
      <w:pPr>
        <w:numPr>
          <w:ilvl w:val="0"/>
          <w:numId w:val="52"/>
        </w:numPr>
        <w:tabs>
          <w:tab w:val="left" w:pos="1440"/>
        </w:tabs>
        <w:spacing w:after="60"/>
        <w:ind w:left="1440"/>
        <w:rPr>
          <w:lang w:val="de-DE"/>
        </w:rPr>
      </w:pPr>
      <w:r w:rsidRPr="00C83DF5">
        <w:rPr>
          <w:rFonts w:eastAsia="Calibri" w:cs="Tahoma"/>
          <w:szCs w:val="18"/>
          <w:lang w:val="de-DE"/>
        </w:rPr>
        <w:t>Bei Upgrade auf Windows Server 2012 Standard unter dieser Gewährung sind die bestehenden Qualifizierenden Lizenzen für HPC Server Suite des Kunden nicht mehr gültig.</w:t>
      </w:r>
    </w:p>
    <w:p w:rsidR="001978C7" w:rsidRPr="00C83DF5" w:rsidRDefault="001978C7" w:rsidP="00346F4B">
      <w:pPr>
        <w:numPr>
          <w:ilvl w:val="0"/>
          <w:numId w:val="56"/>
        </w:numPr>
        <w:tabs>
          <w:tab w:val="left" w:pos="1440"/>
        </w:tabs>
        <w:spacing w:after="60"/>
        <w:ind w:left="1440"/>
        <w:rPr>
          <w:lang w:val="de-DE"/>
        </w:rPr>
      </w:pPr>
      <w:r w:rsidRPr="00C83DF5">
        <w:rPr>
          <w:color w:val="000000"/>
          <w:lang w:val="de-DE"/>
        </w:rPr>
        <w:t>Lizenzen für HPC Server Suite</w:t>
      </w:r>
      <w:r w:rsidRPr="00C83DF5">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rsidR="001978C7" w:rsidRPr="00C83DF5" w:rsidRDefault="001978C7" w:rsidP="00346F4B">
      <w:pPr>
        <w:numPr>
          <w:ilvl w:val="0"/>
          <w:numId w:val="56"/>
        </w:numPr>
        <w:tabs>
          <w:tab w:val="left" w:pos="1440"/>
        </w:tabs>
        <w:spacing w:after="60"/>
        <w:ind w:left="1440"/>
        <w:rPr>
          <w:lang w:val="de-DE"/>
        </w:rPr>
      </w:pPr>
      <w:r w:rsidRPr="00C83DF5">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DE4110" w:rsidRPr="00C83DF5" w:rsidRDefault="001978C7" w:rsidP="009B03E3">
      <w:pPr>
        <w:numPr>
          <w:ilvl w:val="0"/>
          <w:numId w:val="56"/>
        </w:numPr>
        <w:tabs>
          <w:tab w:val="left" w:pos="1440"/>
        </w:tabs>
        <w:spacing w:after="60"/>
        <w:ind w:left="1440"/>
        <w:rPr>
          <w:lang w:val="de-DE"/>
        </w:rPr>
      </w:pPr>
      <w:r w:rsidRPr="00C83DF5">
        <w:rPr>
          <w:rFonts w:cs="Tahoma"/>
          <w:bCs/>
          <w:color w:val="000000"/>
          <w:szCs w:val="18"/>
          <w:lang w:val="de-DE"/>
        </w:rPr>
        <w:t>Informieren Sie sich außerdem in den Hinweisen in der Produktliste für Windows Server 2008 R2</w:t>
      </w:r>
      <w:r w:rsidR="009B03E3">
        <w:rPr>
          <w:rFonts w:cs="Tahoma"/>
          <w:bCs/>
          <w:color w:val="000000"/>
          <w:szCs w:val="18"/>
          <w:lang w:val="de-DE"/>
        </w:rPr>
        <w:t> </w:t>
      </w:r>
      <w:r w:rsidRPr="00C83DF5">
        <w:rPr>
          <w:rFonts w:cs="Tahoma"/>
          <w:bCs/>
          <w:color w:val="000000"/>
          <w:szCs w:val="18"/>
          <w:lang w:val="de-DE"/>
        </w:rPr>
        <w:t>HPC Edition &amp; HPC Pack 2008 R2 Enterprise.</w:t>
      </w:r>
      <w:bookmarkStart w:id="1588" w:name="_109_Windows®_Intune"/>
      <w:bookmarkEnd w:id="1588"/>
    </w:p>
    <w:p w:rsidR="00A434A4" w:rsidRPr="00A27A73" w:rsidRDefault="00A434A4" w:rsidP="00A27A73">
      <w:pPr>
        <w:tabs>
          <w:tab w:val="left" w:pos="1440"/>
        </w:tabs>
        <w:ind w:left="1080"/>
        <w:contextualSpacing/>
        <w:rPr>
          <w:szCs w:val="18"/>
          <w:lang w:val="de-DE"/>
        </w:rPr>
      </w:pPr>
    </w:p>
    <w:p w:rsidR="00A434A4" w:rsidRPr="00A27A73" w:rsidRDefault="00A434A4" w:rsidP="00A27A73">
      <w:pPr>
        <w:ind w:left="720"/>
        <w:rPr>
          <w:szCs w:val="18"/>
          <w:lang w:val="de-DE"/>
        </w:rPr>
      </w:pPr>
    </w:p>
    <w:p w:rsidR="008779BC" w:rsidRPr="00C83DF5" w:rsidRDefault="00A560B6" w:rsidP="00A434A4">
      <w:pPr>
        <w:pStyle w:val="Heading2"/>
        <w:ind w:left="0"/>
        <w:rPr>
          <w:lang w:val="de-DE"/>
        </w:rPr>
      </w:pPr>
      <w:bookmarkStart w:id="1589" w:name="_105_Windows_Multipoint"/>
      <w:bookmarkStart w:id="1590" w:name="_104_Windows_Multipoint"/>
      <w:bookmarkStart w:id="1591" w:name="_Toc336338367"/>
      <w:bookmarkStart w:id="1592" w:name="_Toc370983472"/>
      <w:bookmarkEnd w:id="1589"/>
      <w:bookmarkEnd w:id="1590"/>
      <w:r w:rsidRPr="00C83DF5">
        <w:rPr>
          <w:rFonts w:ascii="Tahoma" w:hAnsi="Tahoma" w:cs="Tahoma"/>
          <w:caps/>
          <w:color w:val="FA6500"/>
          <w:sz w:val="22"/>
          <w:vertAlign w:val="superscript"/>
          <w:lang w:val="de-DE"/>
        </w:rPr>
        <w:t>104</w:t>
      </w:r>
      <w:r w:rsidRPr="00A27A73">
        <w:rPr>
          <w:rFonts w:ascii="Tahoma" w:hAnsi="Tahoma" w:cs="Tahoma"/>
          <w:caps/>
          <w:color w:val="FA6500"/>
          <w:sz w:val="22"/>
          <w:lang w:val="de-DE"/>
        </w:rPr>
        <w:t xml:space="preserve"> </w:t>
      </w:r>
      <w:r w:rsidRPr="00C83DF5">
        <w:rPr>
          <w:rFonts w:ascii="Tahoma" w:hAnsi="Tahoma" w:cs="Tahoma"/>
          <w:color w:val="FA6500"/>
          <w:sz w:val="22"/>
          <w:lang w:val="de-DE"/>
        </w:rPr>
        <w:t xml:space="preserve">Windows Multipoint Server </w:t>
      </w:r>
      <w:bookmarkEnd w:id="1591"/>
      <w:r w:rsidRPr="00C83DF5">
        <w:rPr>
          <w:rFonts w:ascii="Tahoma" w:hAnsi="Tahoma" w:cs="Tahoma"/>
          <w:color w:val="FA6500"/>
          <w:sz w:val="22"/>
          <w:lang w:val="de-DE"/>
        </w:rPr>
        <w:t>2012 Standard</w:t>
      </w:r>
      <w:bookmarkEnd w:id="1592"/>
      <w:r w:rsidRPr="00C83DF5">
        <w:rPr>
          <w:rFonts w:ascii="Tahoma" w:hAnsi="Tahoma" w:cs="Tahoma"/>
          <w:color w:val="FA6500"/>
          <w:sz w:val="22"/>
          <w:lang w:val="de-DE"/>
        </w:rPr>
        <w:t xml:space="preserve"> </w:t>
      </w:r>
    </w:p>
    <w:p w:rsidR="00A434A4" w:rsidRPr="00C83DF5" w:rsidRDefault="00A434A4" w:rsidP="00A434A4">
      <w:pPr>
        <w:rPr>
          <w:lang w:val="de-DE"/>
        </w:rPr>
      </w:pPr>
    </w:p>
    <w:p w:rsidR="00F745E1" w:rsidRPr="00C83DF5" w:rsidRDefault="008779BC" w:rsidP="00A434A4">
      <w:pPr>
        <w:ind w:left="720"/>
        <w:rPr>
          <w:lang w:val="de-DE"/>
        </w:rPr>
      </w:pPr>
      <w:r w:rsidRPr="00C83DF5">
        <w:rPr>
          <w:rFonts w:eastAsia="Calibri" w:cs="Tahoma"/>
          <w:color w:val="000000"/>
          <w:szCs w:val="18"/>
          <w:lang w:val="de-DE"/>
        </w:rPr>
        <w:t>Windows Multipoint Server 2012 Standard ist die nächste Version von Windows Multipoint Server 2011 Standard.</w:t>
      </w:r>
    </w:p>
    <w:p w:rsidR="00A434A4" w:rsidRPr="00C83DF5" w:rsidRDefault="00A434A4" w:rsidP="00A434A4">
      <w:pPr>
        <w:rPr>
          <w:lang w:val="de-DE"/>
        </w:rPr>
      </w:pPr>
    </w:p>
    <w:p w:rsidR="00A434A4" w:rsidRPr="00C83DF5" w:rsidRDefault="00A434A4" w:rsidP="00A434A4">
      <w:pPr>
        <w:rPr>
          <w:lang w:val="de-DE"/>
        </w:rPr>
      </w:pPr>
    </w:p>
    <w:p w:rsidR="00092F30" w:rsidRPr="00C83DF5" w:rsidRDefault="00A560B6" w:rsidP="00A434A4">
      <w:pPr>
        <w:pStyle w:val="Heading2"/>
        <w:ind w:left="0"/>
        <w:rPr>
          <w:lang w:val="de-DE"/>
        </w:rPr>
      </w:pPr>
      <w:bookmarkStart w:id="1593" w:name="_106_Windows_Multipoint"/>
      <w:bookmarkStart w:id="1594" w:name="_Toc336338368"/>
      <w:bookmarkStart w:id="1595" w:name="Srv_103WinMultipointSvr2011Premium"/>
      <w:bookmarkStart w:id="1596" w:name="Srv_107WinMultipointSvr2011Premium"/>
      <w:bookmarkStart w:id="1597" w:name="Srv_111WinMultipointSvr2011Premium"/>
      <w:bookmarkStart w:id="1598" w:name="_Toc370983473"/>
      <w:bookmarkEnd w:id="1593"/>
      <w:r w:rsidRPr="00C83DF5">
        <w:rPr>
          <w:rFonts w:ascii="Tahoma" w:hAnsi="Tahoma" w:cs="Tahoma"/>
          <w:caps/>
          <w:color w:val="FA6500"/>
          <w:sz w:val="22"/>
          <w:szCs w:val="22"/>
          <w:vertAlign w:val="superscript"/>
          <w:lang w:val="de-DE"/>
        </w:rPr>
        <w:t>105</w:t>
      </w:r>
      <w:r w:rsidRPr="00A27A73">
        <w:rPr>
          <w:rFonts w:ascii="Tahoma" w:hAnsi="Tahoma" w:cs="Tahoma"/>
          <w:caps/>
          <w:color w:val="FA6500"/>
          <w:sz w:val="22"/>
          <w:lang w:val="de-DE"/>
        </w:rPr>
        <w:t xml:space="preserve"> </w:t>
      </w:r>
      <w:r w:rsidRPr="00C83DF5">
        <w:rPr>
          <w:rFonts w:ascii="Tahoma" w:hAnsi="Tahoma" w:cs="Tahoma"/>
          <w:color w:val="FA6500"/>
          <w:sz w:val="22"/>
          <w:lang w:val="de-DE"/>
        </w:rPr>
        <w:t xml:space="preserve">Windows Multipoint Server </w:t>
      </w:r>
      <w:bookmarkEnd w:id="1594"/>
      <w:r w:rsidRPr="00C83DF5">
        <w:rPr>
          <w:rFonts w:ascii="Tahoma" w:hAnsi="Tahoma" w:cs="Tahoma"/>
          <w:color w:val="FA6500"/>
          <w:sz w:val="22"/>
          <w:lang w:val="de-DE"/>
        </w:rPr>
        <w:t>2012 Premium</w:t>
      </w:r>
      <w:bookmarkEnd w:id="1598"/>
      <w:r w:rsidRPr="00C83DF5">
        <w:rPr>
          <w:rFonts w:ascii="Tahoma" w:hAnsi="Tahoma" w:cs="Tahoma"/>
          <w:color w:val="FA6500"/>
          <w:sz w:val="22"/>
          <w:lang w:val="de-DE"/>
        </w:rPr>
        <w:t xml:space="preserve"> </w:t>
      </w:r>
      <w:bookmarkEnd w:id="1595"/>
      <w:bookmarkEnd w:id="1596"/>
      <w:bookmarkEnd w:id="1597"/>
    </w:p>
    <w:p w:rsidR="00A434A4" w:rsidRPr="00C83DF5" w:rsidRDefault="00A434A4" w:rsidP="00A434A4">
      <w:pPr>
        <w:rPr>
          <w:lang w:val="de-DE"/>
        </w:rPr>
      </w:pPr>
    </w:p>
    <w:p w:rsidR="00F745E1" w:rsidRPr="00C83DF5" w:rsidRDefault="00092F30" w:rsidP="00A434A4">
      <w:pPr>
        <w:ind w:left="720"/>
        <w:rPr>
          <w:lang w:val="de-DE"/>
        </w:rPr>
      </w:pPr>
      <w:r w:rsidRPr="00C83DF5">
        <w:rPr>
          <w:rFonts w:eastAsia="Calibri" w:cs="Tahoma"/>
          <w:color w:val="000000"/>
          <w:szCs w:val="18"/>
          <w:lang w:val="de-DE"/>
        </w:rPr>
        <w:t>Windows Multipoint Server 2012 Premium ist die nächste Version von Windows Multipoint Server 2011 Premium.</w:t>
      </w:r>
      <w:bookmarkStart w:id="1599" w:name="_Toc280612355"/>
    </w:p>
    <w:p w:rsidR="00A434A4" w:rsidRPr="00C83DF5" w:rsidRDefault="00A434A4" w:rsidP="00A434A4">
      <w:pPr>
        <w:rPr>
          <w:lang w:val="de-DE"/>
        </w:rPr>
      </w:pPr>
    </w:p>
    <w:p w:rsidR="00A434A4" w:rsidRPr="00C83DF5" w:rsidRDefault="00A434A4" w:rsidP="00A434A4">
      <w:pPr>
        <w:rPr>
          <w:lang w:val="de-DE"/>
        </w:rPr>
      </w:pPr>
    </w:p>
    <w:p w:rsidR="00092F30" w:rsidRPr="00C83DF5" w:rsidRDefault="00A560B6" w:rsidP="00092F30">
      <w:pPr>
        <w:pStyle w:val="Heading2"/>
        <w:ind w:left="0"/>
      </w:pPr>
      <w:bookmarkStart w:id="1600" w:name="_106_CAL_für"/>
      <w:bookmarkStart w:id="1601" w:name="Srv_104WinMultipointSvr2011CAL"/>
      <w:bookmarkStart w:id="1602" w:name="Srv_108WinMultipointSvr2011CAL"/>
      <w:bookmarkStart w:id="1603" w:name="Srv_112WinMultipointSvr2011CAL"/>
      <w:bookmarkStart w:id="1604" w:name="_Toc370983474"/>
      <w:bookmarkEnd w:id="1600"/>
      <w:r w:rsidRPr="00C83DF5">
        <w:rPr>
          <w:rFonts w:ascii="Tahoma" w:hAnsi="Tahoma" w:cs="Tahoma"/>
          <w:caps/>
          <w:color w:val="FA6500"/>
          <w:sz w:val="22"/>
          <w:szCs w:val="22"/>
          <w:vertAlign w:val="superscript"/>
        </w:rPr>
        <w:t>106</w:t>
      </w:r>
      <w:r w:rsidRPr="00C83DF5">
        <w:rPr>
          <w:rFonts w:ascii="Tahoma" w:hAnsi="Tahoma" w:cs="Tahoma"/>
          <w:color w:val="FA6500"/>
          <w:sz w:val="22"/>
          <w:szCs w:val="22"/>
        </w:rPr>
        <w:t xml:space="preserve"> CAL für Windows </w:t>
      </w:r>
      <w:bookmarkEnd w:id="1599"/>
      <w:r w:rsidRPr="00C83DF5">
        <w:rPr>
          <w:rFonts w:ascii="Tahoma" w:hAnsi="Tahoma" w:cs="Tahoma"/>
          <w:color w:val="FA6500"/>
          <w:sz w:val="22"/>
          <w:szCs w:val="22"/>
        </w:rPr>
        <w:t>Multipoint Server 2012</w:t>
      </w:r>
      <w:bookmarkEnd w:id="1604"/>
    </w:p>
    <w:bookmarkEnd w:id="1601"/>
    <w:bookmarkEnd w:id="1602"/>
    <w:bookmarkEnd w:id="1603"/>
    <w:p w:rsidR="00092F30" w:rsidRPr="00C83DF5" w:rsidRDefault="00092F30" w:rsidP="00092F30">
      <w:pPr>
        <w:ind w:firstLine="360"/>
      </w:pPr>
    </w:p>
    <w:p w:rsidR="0008452D" w:rsidRPr="00C83DF5" w:rsidRDefault="00092F30" w:rsidP="009A5D91">
      <w:pPr>
        <w:ind w:left="720"/>
        <w:rPr>
          <w:lang w:val="de-DE"/>
        </w:rPr>
      </w:pPr>
      <w:r w:rsidRPr="00C83DF5">
        <w:rPr>
          <w:rFonts w:eastAsia="Calibri" w:cs="Tahoma"/>
          <w:color w:val="000000"/>
          <w:szCs w:val="18"/>
          <w:lang w:val="de-DE"/>
        </w:rPr>
        <w:t>CAL für Windows Multipoint Server 2012 ist die nächste Version von CAL für Windows Multipoint Server</w:t>
      </w:r>
      <w:r w:rsidR="009A5D91">
        <w:rPr>
          <w:rFonts w:eastAsia="Calibri" w:cs="Tahoma"/>
          <w:color w:val="000000"/>
          <w:szCs w:val="18"/>
          <w:lang w:val="de-DE"/>
        </w:rPr>
        <w:t> </w:t>
      </w:r>
      <w:r w:rsidRPr="00C83DF5">
        <w:rPr>
          <w:rFonts w:eastAsia="Calibri" w:cs="Tahoma"/>
          <w:color w:val="000000"/>
          <w:szCs w:val="18"/>
          <w:lang w:val="de-DE"/>
        </w:rPr>
        <w:t>2011.</w:t>
      </w:r>
    </w:p>
    <w:p w:rsidR="00023FE7" w:rsidRPr="00C83DF5" w:rsidRDefault="00A560B6" w:rsidP="00EF2279">
      <w:pPr>
        <w:pStyle w:val="Heading3"/>
        <w:ind w:left="360" w:hanging="360"/>
        <w:rPr>
          <w:lang w:val="de-DE"/>
        </w:rPr>
      </w:pPr>
      <w:bookmarkStart w:id="1605" w:name="_108_Windows_Server"/>
      <w:bookmarkStart w:id="1606" w:name="_107_Windows_Server"/>
      <w:bookmarkStart w:id="1607" w:name="_Toc336338369"/>
      <w:bookmarkStart w:id="1608" w:name="Srv_97WinSvr08HighPerfCompandHyperV"/>
      <w:bookmarkStart w:id="1609" w:name="Srv_98WinSvr08HighPerfCompandHyperV"/>
      <w:bookmarkStart w:id="1610" w:name="Srv_110WinSvr08R2HPC"/>
      <w:bookmarkStart w:id="1611" w:name="Srv_114WinSvr08R2HPC"/>
      <w:bookmarkStart w:id="1612" w:name="_Toc370983475"/>
      <w:bookmarkEnd w:id="1605"/>
      <w:bookmarkEnd w:id="1606"/>
      <w:r w:rsidRPr="00C83DF5">
        <w:rPr>
          <w:rFonts w:ascii="Tahoma" w:hAnsi="Tahoma"/>
          <w:caps/>
          <w:color w:val="F66400"/>
          <w:sz w:val="22"/>
          <w:vertAlign w:val="superscript"/>
          <w:lang w:val="de-DE"/>
        </w:rPr>
        <w:lastRenderedPageBreak/>
        <w:t>107</w:t>
      </w:r>
      <w:r w:rsidRPr="00C83DF5">
        <w:rPr>
          <w:rFonts w:ascii="Tahoma" w:hAnsi="Tahoma"/>
          <w:color w:val="F66400"/>
          <w:sz w:val="22"/>
          <w:lang w:val="de-DE"/>
        </w:rPr>
        <w:t xml:space="preserve"> Windows Server 2008 R2 HPC</w:t>
      </w:r>
      <w:r w:rsidRPr="00C83DF5">
        <w:rPr>
          <w:rStyle w:val="Heading3Char"/>
          <w:rFonts w:ascii="Tahoma" w:hAnsi="Tahoma"/>
          <w:b/>
          <w:color w:val="F66400"/>
          <w:sz w:val="22"/>
          <w:lang w:val="de-DE"/>
        </w:rPr>
        <w:t xml:space="preserve"> Edition</w:t>
      </w:r>
      <w:bookmarkEnd w:id="1607"/>
      <w:bookmarkEnd w:id="1612"/>
      <w:r w:rsidRPr="00C83DF5">
        <w:rPr>
          <w:rStyle w:val="Heading3Char"/>
          <w:rFonts w:ascii="Tahoma" w:hAnsi="Tahoma"/>
          <w:b/>
          <w:color w:val="F66400"/>
          <w:sz w:val="22"/>
          <w:lang w:val="de-DE"/>
        </w:rPr>
        <w:t xml:space="preserve"> </w:t>
      </w:r>
    </w:p>
    <w:bookmarkEnd w:id="1608"/>
    <w:bookmarkEnd w:id="1609"/>
    <w:bookmarkEnd w:id="1610"/>
    <w:bookmarkEnd w:id="1611"/>
    <w:p w:rsidR="00023FE7" w:rsidRPr="00DF3F89" w:rsidRDefault="00023FE7" w:rsidP="00A434A4">
      <w:pPr>
        <w:rPr>
          <w:rFonts w:cs="Tahoma"/>
          <w:bCs/>
          <w:color w:val="000000"/>
          <w:szCs w:val="18"/>
          <w:u w:val="single"/>
          <w:lang w:val="de-DE"/>
        </w:rPr>
      </w:pPr>
    </w:p>
    <w:p w:rsidR="00A434A4" w:rsidRPr="00C83DF5" w:rsidRDefault="001978C7" w:rsidP="00A434A4">
      <w:pPr>
        <w:spacing w:after="60"/>
        <w:ind w:left="720"/>
        <w:rPr>
          <w:lang w:val="de-DE"/>
        </w:rPr>
      </w:pPr>
      <w:r w:rsidRPr="00C83DF5">
        <w:rPr>
          <w:b/>
          <w:color w:val="000000"/>
          <w:lang w:val="de-DE"/>
        </w:rPr>
        <w:t>Lizenzgewährungen im Zusammenhang mit dem Ende der Lebensdauer von Windows Server HPC Edition</w:t>
      </w:r>
    </w:p>
    <w:p w:rsidR="001978C7" w:rsidRPr="00C83DF5" w:rsidRDefault="001978C7" w:rsidP="009A5D91">
      <w:pPr>
        <w:ind w:left="720"/>
        <w:rPr>
          <w:lang w:val="de-DE"/>
        </w:rPr>
      </w:pPr>
      <w:r w:rsidRPr="00C83DF5">
        <w:rPr>
          <w:color w:val="000000"/>
          <w:lang w:val="de-DE"/>
        </w:rPr>
        <w:t>Windows Server 2008 R2 ist die letzte Version von Windows Server HPC Edition. Volumenlizenzkunden, die</w:t>
      </w:r>
      <w:r w:rsidR="009A5D91">
        <w:rPr>
          <w:color w:val="000000"/>
          <w:lang w:val="de-DE"/>
        </w:rPr>
        <w:t> </w:t>
      </w:r>
      <w:r w:rsidRPr="00C83DF5">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C83DF5">
        <w:rPr>
          <w:rFonts w:eastAsia="Calibri" w:cs="Tahoma"/>
          <w:szCs w:val="18"/>
          <w:lang w:val="de-DE"/>
        </w:rPr>
        <w:t>die Software Windows Server 2012 Standard zu verwenden. Um diese Verwendung zu erleichtern, wird angenommen, dass dem Kunden bei Verfügbarkeit von Windows Server</w:t>
      </w:r>
      <w:r w:rsidR="009A5D91">
        <w:rPr>
          <w:rFonts w:eastAsia="Calibri" w:cs="Tahoma"/>
          <w:szCs w:val="18"/>
          <w:lang w:val="de-DE"/>
        </w:rPr>
        <w:t> </w:t>
      </w:r>
      <w:r w:rsidRPr="00C83DF5">
        <w:rPr>
          <w:rFonts w:eastAsia="Calibri" w:cs="Tahoma"/>
          <w:szCs w:val="18"/>
          <w:lang w:val="de-DE"/>
        </w:rPr>
        <w:t xml:space="preserve">2012 für jeweils zwei Qualifizierende Lizenzen, die der Kunde besitzt, eine Windows Server 2012 Standard-Prozessorlizenz gewährt wird. </w:t>
      </w:r>
    </w:p>
    <w:p w:rsidR="00A434A4" w:rsidRPr="00C83DF5" w:rsidRDefault="00A434A4" w:rsidP="00A434A4">
      <w:pPr>
        <w:ind w:left="720"/>
        <w:rPr>
          <w:lang w:val="de-DE"/>
        </w:rPr>
      </w:pPr>
    </w:p>
    <w:p w:rsidR="001978C7" w:rsidRPr="00C83DF5" w:rsidRDefault="001978C7" w:rsidP="00346F4B">
      <w:pPr>
        <w:numPr>
          <w:ilvl w:val="0"/>
          <w:numId w:val="56"/>
        </w:numPr>
        <w:tabs>
          <w:tab w:val="clear" w:pos="360"/>
          <w:tab w:val="num" w:pos="1440"/>
        </w:tabs>
        <w:spacing w:after="60"/>
        <w:ind w:left="1440"/>
        <w:rPr>
          <w:lang w:val="de-DE"/>
        </w:rPr>
      </w:pPr>
      <w:r w:rsidRPr="00C83DF5">
        <w:rPr>
          <w:color w:val="000000"/>
          <w:lang w:val="de-DE"/>
        </w:rPr>
        <w:t>Wenn ein Kunde über eine ungerade Anzahl von Windows Server HPC Edition-Lizenzen verfügt, muss der Kunde auf die nächste gerade Zahl aufrunden, um festzustellen, wie viele Lizenzen ihm gewährt werden.</w:t>
      </w:r>
      <w:r w:rsidR="00E71F46" w:rsidRPr="00C83DF5">
        <w:rPr>
          <w:color w:val="000000"/>
          <w:lang w:val="de-DE"/>
        </w:rPr>
        <w:t xml:space="preserve"> </w:t>
      </w:r>
      <w:r w:rsidRPr="00C83DF5">
        <w:rPr>
          <w:color w:val="000000"/>
          <w:lang w:val="de-DE"/>
        </w:rPr>
        <w:t>Beispiel: Einem Kunden, der über drei Windows Server HPC Edition-Lizenzen verfügt, werden insgesamt zwei Windows Server 2012 Standard-Lizenzen gewährt.</w:t>
      </w:r>
    </w:p>
    <w:p w:rsidR="001978C7" w:rsidRPr="00C83DF5" w:rsidRDefault="001978C7" w:rsidP="00346F4B">
      <w:pPr>
        <w:pStyle w:val="ListParagraph"/>
        <w:numPr>
          <w:ilvl w:val="0"/>
          <w:numId w:val="56"/>
        </w:numPr>
        <w:tabs>
          <w:tab w:val="clear" w:pos="360"/>
          <w:tab w:val="num" w:pos="1440"/>
        </w:tabs>
        <w:spacing w:after="60"/>
        <w:ind w:left="1440"/>
        <w:contextualSpacing w:val="0"/>
        <w:rPr>
          <w:lang w:val="de-DE"/>
        </w:rPr>
      </w:pPr>
      <w:r w:rsidRPr="00C83DF5">
        <w:rPr>
          <w:rFonts w:ascii="Tahoma" w:eastAsia="Calibri" w:hAnsi="Tahoma" w:cs="Tahoma"/>
          <w:sz w:val="18"/>
          <w:szCs w:val="18"/>
          <w:lang w:val="de-DE"/>
        </w:rPr>
        <w:t>Lizenzen, die im Rahmen dieser Gewährung erworben werden, umfassen Software Assurance.</w:t>
      </w:r>
      <w:r w:rsidR="00E71F46" w:rsidRPr="00C83DF5">
        <w:rPr>
          <w:rFonts w:ascii="Tahoma" w:eastAsia="Calibri" w:hAnsi="Tahoma" w:cs="Tahoma"/>
          <w:sz w:val="18"/>
          <w:szCs w:val="18"/>
          <w:lang w:val="de-DE"/>
        </w:rPr>
        <w:t xml:space="preserve"> </w:t>
      </w:r>
      <w:r w:rsidRPr="00C83DF5">
        <w:rPr>
          <w:rFonts w:ascii="Tahoma" w:eastAsia="Calibri" w:hAnsi="Tahoma" w:cs="Tahoma"/>
          <w:sz w:val="18"/>
          <w:szCs w:val="18"/>
          <w:lang w:val="de-DE"/>
        </w:rPr>
        <w:t>Diese Software Assurance gilt bis zum Ablauf der Software Assurance für die Qualifizierenden Lizenzen.</w:t>
      </w:r>
    </w:p>
    <w:p w:rsidR="001978C7" w:rsidRPr="00C83DF5" w:rsidRDefault="001978C7" w:rsidP="00346F4B">
      <w:pPr>
        <w:pStyle w:val="ListParagraph"/>
        <w:numPr>
          <w:ilvl w:val="0"/>
          <w:numId w:val="56"/>
        </w:numPr>
        <w:tabs>
          <w:tab w:val="clear" w:pos="360"/>
          <w:tab w:val="num" w:pos="1440"/>
        </w:tabs>
        <w:spacing w:after="60"/>
        <w:ind w:left="1440"/>
        <w:contextualSpacing w:val="0"/>
        <w:rPr>
          <w:lang w:val="de-DE"/>
        </w:rPr>
      </w:pPr>
      <w:r w:rsidRPr="00C83DF5">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1978C7" w:rsidRPr="00C83DF5" w:rsidRDefault="001978C7" w:rsidP="00346F4B">
      <w:pPr>
        <w:numPr>
          <w:ilvl w:val="0"/>
          <w:numId w:val="56"/>
        </w:numPr>
        <w:tabs>
          <w:tab w:val="clear" w:pos="360"/>
          <w:tab w:val="num" w:pos="1440"/>
          <w:tab w:val="left" w:pos="2160"/>
        </w:tabs>
        <w:spacing w:after="60"/>
        <w:ind w:left="1440"/>
        <w:rPr>
          <w:lang w:val="de-DE"/>
        </w:rPr>
      </w:pPr>
      <w:r w:rsidRPr="00C83DF5">
        <w:rPr>
          <w:rFonts w:eastAsia="Calibri" w:cs="Tahoma"/>
          <w:szCs w:val="18"/>
          <w:lang w:val="de-DE"/>
        </w:rPr>
        <w:t xml:space="preserve">Bei Upgrade auf Windows Server 2012 Standard unter dieser Gewährung bleiben die bestehenden </w:t>
      </w:r>
      <w:r w:rsidRPr="00C83DF5">
        <w:rPr>
          <w:color w:val="000000"/>
          <w:lang w:val="de-DE"/>
        </w:rPr>
        <w:t>Windows Server 2008 R2 HPC Edition</w:t>
      </w:r>
      <w:r w:rsidRPr="00C83DF5">
        <w:rPr>
          <w:rFonts w:eastAsia="Calibri" w:cs="Tahoma"/>
          <w:szCs w:val="18"/>
          <w:lang w:val="de-DE"/>
        </w:rPr>
        <w:t>-Lizenzen des Kunden gültig.</w:t>
      </w:r>
    </w:p>
    <w:p w:rsidR="001978C7" w:rsidRPr="00C83DF5" w:rsidRDefault="001978C7" w:rsidP="00346F4B">
      <w:pPr>
        <w:numPr>
          <w:ilvl w:val="0"/>
          <w:numId w:val="56"/>
        </w:numPr>
        <w:tabs>
          <w:tab w:val="clear" w:pos="360"/>
          <w:tab w:val="num" w:pos="1440"/>
        </w:tabs>
        <w:spacing w:after="60"/>
        <w:ind w:left="1440"/>
        <w:rPr>
          <w:lang w:val="de-DE"/>
        </w:rPr>
      </w:pPr>
      <w:r w:rsidRPr="00C83DF5">
        <w:rPr>
          <w:color w:val="000000"/>
          <w:lang w:val="de-DE"/>
        </w:rPr>
        <w:t>Lizenzen für Windows Server 2008 R2 HPC Edition</w:t>
      </w:r>
      <w:r w:rsidRPr="00C83DF5">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rsidR="001978C7" w:rsidRPr="00C83DF5" w:rsidRDefault="001978C7" w:rsidP="00346F4B">
      <w:pPr>
        <w:numPr>
          <w:ilvl w:val="0"/>
          <w:numId w:val="56"/>
        </w:numPr>
        <w:tabs>
          <w:tab w:val="clear" w:pos="360"/>
          <w:tab w:val="num" w:pos="1440"/>
        </w:tabs>
        <w:spacing w:after="60"/>
        <w:ind w:left="1440"/>
        <w:rPr>
          <w:lang w:val="de-DE"/>
        </w:rPr>
      </w:pPr>
      <w:r w:rsidRPr="00C83DF5">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A434A4" w:rsidRPr="00DF3F89" w:rsidRDefault="00A434A4" w:rsidP="00A434A4">
      <w:pPr>
        <w:contextualSpacing/>
        <w:rPr>
          <w:rFonts w:eastAsia="Calibri" w:cs="Tahoma"/>
          <w:szCs w:val="18"/>
          <w:lang w:val="de-DE"/>
        </w:rPr>
      </w:pPr>
    </w:p>
    <w:p w:rsidR="008C2FF8" w:rsidRPr="00C83DF5" w:rsidRDefault="001978C7" w:rsidP="008C2FF8">
      <w:pPr>
        <w:spacing w:after="60"/>
        <w:ind w:left="720"/>
        <w:rPr>
          <w:lang w:val="de-DE"/>
        </w:rPr>
      </w:pPr>
      <w:r w:rsidRPr="00C83DF5">
        <w:rPr>
          <w:rFonts w:eastAsia="Calibri" w:cs="Tahoma"/>
          <w:b/>
          <w:szCs w:val="18"/>
          <w:lang w:val="de-DE"/>
        </w:rPr>
        <w:t>Zusätzliche Informationen zur Verwendung von Windows Server 2012 für High Performance Computing (HPC)</w:t>
      </w:r>
    </w:p>
    <w:p w:rsidR="002F7203" w:rsidRPr="00C83DF5" w:rsidRDefault="001978C7" w:rsidP="00B126C0">
      <w:pPr>
        <w:ind w:left="720"/>
        <w:contextualSpacing/>
        <w:rPr>
          <w:lang w:val="de-DE"/>
        </w:rPr>
      </w:pPr>
      <w:r w:rsidRPr="00C83DF5">
        <w:rPr>
          <w:rFonts w:eastAsia="Calibri" w:cs="Tahoma"/>
          <w:szCs w:val="18"/>
          <w:lang w:val="de-DE"/>
        </w:rPr>
        <w:t>Wenn Windows Server 2012 Standard oder Datacenter für High Performance Computing verwendet wird, benötigen Sie keine CALs für den Zugriff auf die Software. Eine „</w:t>
      </w:r>
      <w:r w:rsidRPr="00C83DF5">
        <w:rPr>
          <w:lang w:val="de-DE"/>
        </w:rPr>
        <w:t>High Performance Computing („HPC“) Workload“</w:t>
      </w:r>
      <w:r w:rsidRPr="00C83DF5">
        <w:rPr>
          <w:b/>
          <w:bCs/>
          <w:lang w:val="de-DE"/>
        </w:rPr>
        <w:t xml:space="preserve"> </w:t>
      </w:r>
      <w:r w:rsidRPr="00C83DF5">
        <w:rPr>
          <w:lang w:val="de-DE"/>
        </w:rPr>
        <w:t>ist eine Workload, bei der die Serversoftware zur Ausführung eines Clusterknotens verwendet wird und in Verbindung mit anderer Software</w:t>
      </w:r>
      <w:r w:rsidRPr="00C83DF5">
        <w:rPr>
          <w:u w:val="single"/>
          <w:lang w:val="de-DE"/>
        </w:rPr>
        <w:t>genutzt wird</w:t>
      </w:r>
      <w:r w:rsidRPr="00775A86">
        <w:rPr>
          <w:lang w:val="de-DE"/>
        </w:rPr>
        <w:t xml:space="preserve">, </w:t>
      </w:r>
      <w:r w:rsidRPr="00C83DF5">
        <w:rPr>
          <w:lang w:val="de-DE"/>
        </w:rPr>
        <w:t>sofern dies notwendig ist, um die Sicherheits-, Speicher-, Leistungsverbesserungs- und Systemverwaltung auf einem Clusterknoten zur Unterstützung der</w:t>
      </w:r>
      <w:r w:rsidR="00B126C0" w:rsidRPr="00B126C0">
        <w:rPr>
          <w:rFonts w:eastAsia="Calibri" w:cs="Tahoma"/>
          <w:szCs w:val="18"/>
          <w:lang w:val="de-DE"/>
        </w:rPr>
        <w:t> </w:t>
      </w:r>
      <w:r w:rsidRPr="00C83DF5">
        <w:rPr>
          <w:lang w:val="de-DE"/>
        </w:rPr>
        <w:t>geclusterten HPC-Anwendungen zu ermöglichen.</w:t>
      </w:r>
      <w:r w:rsidRPr="00C83DF5">
        <w:rPr>
          <w:rFonts w:eastAsia="Calibri" w:cs="Tahoma"/>
          <w:szCs w:val="18"/>
          <w:lang w:val="de-DE"/>
        </w:rPr>
        <w:t xml:space="preserve"> Zusätzliche Informationen finden Sie in den Produktbenutzungsrechten.</w:t>
      </w:r>
      <w:bookmarkStart w:id="1613" w:name="Srv_1120WinSvr08R2Enterprise"/>
    </w:p>
    <w:p w:rsidR="008C2FF8" w:rsidRPr="00C83DF5" w:rsidRDefault="008C2FF8" w:rsidP="008C2FF8">
      <w:pPr>
        <w:contextualSpacing/>
        <w:rPr>
          <w:lang w:val="de-DE"/>
        </w:rPr>
      </w:pPr>
    </w:p>
    <w:p w:rsidR="002512D3" w:rsidRDefault="002512D3">
      <w:pPr>
        <w:rPr>
          <w:lang w:val="de-DE"/>
        </w:rPr>
      </w:pPr>
      <w:bookmarkStart w:id="1614" w:name="_97_Windows_Server"/>
      <w:bookmarkStart w:id="1615" w:name="_98_Windows_Server"/>
      <w:bookmarkStart w:id="1616" w:name="_Toc336338370"/>
      <w:bookmarkStart w:id="1617" w:name="Srv_116WinSvr08R2Enterprise"/>
      <w:bookmarkStart w:id="1618" w:name="Srv_100WinSvr08R2Enterprise"/>
      <w:bookmarkEnd w:id="1614"/>
      <w:bookmarkEnd w:id="1615"/>
    </w:p>
    <w:p w:rsidR="00B126C0" w:rsidRDefault="00B126C0">
      <w:pPr>
        <w:rPr>
          <w:lang w:val="de-DE"/>
        </w:rPr>
      </w:pPr>
    </w:p>
    <w:p w:rsidR="00B126C0" w:rsidRDefault="00B126C0">
      <w:pPr>
        <w:rPr>
          <w:lang w:val="de-DE"/>
        </w:rPr>
      </w:pPr>
    </w:p>
    <w:p w:rsidR="00B126C0" w:rsidRDefault="00B126C0">
      <w:pPr>
        <w:rPr>
          <w:lang w:val="de-DE"/>
        </w:rPr>
      </w:pPr>
    </w:p>
    <w:p w:rsidR="00B126C0" w:rsidRDefault="00B126C0">
      <w:pPr>
        <w:rPr>
          <w:lang w:val="de-DE"/>
        </w:rPr>
      </w:pPr>
    </w:p>
    <w:p w:rsidR="00B126C0" w:rsidRDefault="00B126C0">
      <w:pPr>
        <w:rPr>
          <w:lang w:val="de-DE"/>
        </w:rPr>
      </w:pPr>
    </w:p>
    <w:p w:rsidR="00B126C0" w:rsidRDefault="00B126C0">
      <w:pPr>
        <w:rPr>
          <w:lang w:val="de-DE"/>
        </w:rPr>
      </w:pPr>
    </w:p>
    <w:p w:rsidR="00B126C0" w:rsidRDefault="00B126C0">
      <w:pPr>
        <w:rPr>
          <w:lang w:val="de-DE"/>
        </w:rPr>
      </w:pPr>
    </w:p>
    <w:p w:rsidR="00B126C0" w:rsidRDefault="00B126C0">
      <w:pPr>
        <w:rPr>
          <w:lang w:val="de-DE"/>
        </w:rPr>
      </w:pPr>
    </w:p>
    <w:p w:rsidR="00B126C0" w:rsidRDefault="00B126C0">
      <w:pPr>
        <w:rPr>
          <w:lang w:val="de-DE"/>
        </w:rPr>
      </w:pPr>
    </w:p>
    <w:p w:rsidR="00B126C0" w:rsidRDefault="00B126C0">
      <w:pPr>
        <w:rPr>
          <w:lang w:val="de-DE"/>
        </w:rPr>
      </w:pPr>
    </w:p>
    <w:p w:rsidR="00B126C0" w:rsidRPr="00C83DF5" w:rsidRDefault="00B126C0">
      <w:pPr>
        <w:rPr>
          <w:lang w:val="de-DE"/>
        </w:rPr>
      </w:pPr>
    </w:p>
    <w:p w:rsidR="006D0B36" w:rsidRPr="00C83DF5" w:rsidRDefault="00A560B6" w:rsidP="007B35CE">
      <w:pPr>
        <w:pStyle w:val="Heading3"/>
        <w:keepNext/>
        <w:ind w:left="360" w:hanging="360"/>
        <w:rPr>
          <w:lang w:val="de-DE"/>
        </w:rPr>
      </w:pPr>
      <w:bookmarkStart w:id="1619" w:name="_109_Windows_Server"/>
      <w:bookmarkStart w:id="1620" w:name="_Toc370983476"/>
      <w:bookmarkEnd w:id="1619"/>
      <w:r w:rsidRPr="00C83DF5">
        <w:rPr>
          <w:rFonts w:ascii="Tahoma" w:hAnsi="Tahoma"/>
          <w:caps/>
          <w:color w:val="F66400"/>
          <w:sz w:val="22"/>
          <w:vertAlign w:val="superscript"/>
          <w:lang w:val="de-DE"/>
        </w:rPr>
        <w:lastRenderedPageBreak/>
        <w:t>108</w:t>
      </w:r>
      <w:r w:rsidRPr="00C83DF5">
        <w:rPr>
          <w:rFonts w:ascii="Tahoma" w:hAnsi="Tahoma"/>
          <w:color w:val="F66400"/>
          <w:sz w:val="22"/>
          <w:lang w:val="de-DE"/>
        </w:rPr>
        <w:t xml:space="preserve"> Windows Server 2008 R2 Enterprise</w:t>
      </w:r>
      <w:bookmarkEnd w:id="1616"/>
      <w:bookmarkEnd w:id="1620"/>
      <w:r w:rsidRPr="00C83DF5">
        <w:rPr>
          <w:rFonts w:ascii="Tahoma" w:hAnsi="Tahoma"/>
          <w:color w:val="F66400"/>
          <w:sz w:val="22"/>
          <w:lang w:val="de-DE"/>
        </w:rPr>
        <w:t xml:space="preserve"> </w:t>
      </w:r>
      <w:bookmarkEnd w:id="1617"/>
    </w:p>
    <w:bookmarkEnd w:id="1613"/>
    <w:bookmarkEnd w:id="1618"/>
    <w:p w:rsidR="00156AE7" w:rsidRPr="00C83DF5" w:rsidRDefault="00156AE7" w:rsidP="008C2FF8">
      <w:pPr>
        <w:ind w:left="900"/>
        <w:rPr>
          <w:lang w:val="de-DE"/>
        </w:rPr>
      </w:pPr>
    </w:p>
    <w:p w:rsidR="00171927" w:rsidRPr="00C83DF5" w:rsidRDefault="00156AE7" w:rsidP="00171927">
      <w:pPr>
        <w:spacing w:after="60"/>
        <w:ind w:left="720"/>
        <w:rPr>
          <w:lang w:val="de-DE"/>
        </w:rPr>
      </w:pPr>
      <w:r w:rsidRPr="00C83DF5">
        <w:rPr>
          <w:b/>
          <w:color w:val="000000"/>
          <w:lang w:val="de-DE"/>
        </w:rPr>
        <w:t>Lizenzgewährungen im Zusammenhang mit dem Ende der Lebensdauer von Windows Server Enterprise</w:t>
      </w:r>
    </w:p>
    <w:p w:rsidR="00156AE7" w:rsidRPr="00C83DF5" w:rsidRDefault="00156AE7" w:rsidP="008C2FF8">
      <w:pPr>
        <w:ind w:left="720"/>
        <w:rPr>
          <w:lang w:val="de-DE"/>
        </w:rPr>
      </w:pPr>
      <w:r w:rsidRPr="00C83DF5">
        <w:rPr>
          <w:color w:val="000000"/>
          <w:lang w:val="de-DE"/>
        </w:rPr>
        <w:t>Windows Server 2008 R2 ist die letzte Version von Windows Server Enterprise.</w:t>
      </w:r>
      <w:r w:rsidR="00E71F46" w:rsidRPr="00C83DF5">
        <w:rPr>
          <w:color w:val="000000"/>
          <w:lang w:val="de-DE"/>
        </w:rPr>
        <w:t xml:space="preserve"> </w:t>
      </w:r>
      <w:r w:rsidRPr="00C83DF5">
        <w:rPr>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C83DF5">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rsidR="00171927" w:rsidRPr="00C83DF5" w:rsidRDefault="00171927" w:rsidP="00171927">
      <w:pPr>
        <w:spacing w:after="60"/>
        <w:ind w:left="720"/>
        <w:rPr>
          <w:lang w:val="de-DE"/>
        </w:rPr>
      </w:pPr>
    </w:p>
    <w:p w:rsidR="00156AE7" w:rsidRPr="00C83DF5" w:rsidRDefault="00156AE7" w:rsidP="00346F4B">
      <w:pPr>
        <w:numPr>
          <w:ilvl w:val="0"/>
          <w:numId w:val="52"/>
        </w:numPr>
        <w:spacing w:after="60"/>
        <w:ind w:left="1440"/>
        <w:rPr>
          <w:lang w:val="de-DE"/>
        </w:rPr>
      </w:pPr>
      <w:r w:rsidRPr="00C83DF5">
        <w:rPr>
          <w:rFonts w:eastAsia="Calibri" w:cs="Tahoma"/>
          <w:szCs w:val="18"/>
          <w:lang w:val="de-DE"/>
        </w:rPr>
        <w:t>Zwei Windows Server 2012 Standard-Lizenzen ODER</w:t>
      </w:r>
    </w:p>
    <w:p w:rsidR="00156AE7" w:rsidRPr="00C83DF5" w:rsidRDefault="00156AE7" w:rsidP="00346F4B">
      <w:pPr>
        <w:numPr>
          <w:ilvl w:val="0"/>
          <w:numId w:val="52"/>
        </w:numPr>
        <w:spacing w:after="60"/>
        <w:ind w:left="1440"/>
      </w:pPr>
      <w:r w:rsidRPr="00C83DF5">
        <w:rPr>
          <w:rFonts w:eastAsia="Calibri" w:cs="Tahoma"/>
          <w:szCs w:val="18"/>
          <w:lang w:val="de-DE"/>
        </w:rPr>
        <w:t>Drei bei Qualifizierenden Lizenzen, die mit SA erworben oder zwischen dem 1. </w:t>
      </w:r>
      <w:r w:rsidRPr="00C83DF5">
        <w:rPr>
          <w:rFonts w:eastAsia="Calibri" w:cs="Tahoma"/>
          <w:szCs w:val="18"/>
        </w:rPr>
        <w:t>April 2012 und dem 31. August 2012 verlängert wurden, ODER</w:t>
      </w:r>
    </w:p>
    <w:p w:rsidR="00156AE7" w:rsidRPr="00C83DF5" w:rsidRDefault="00156AE7" w:rsidP="00B126C0">
      <w:pPr>
        <w:numPr>
          <w:ilvl w:val="0"/>
          <w:numId w:val="52"/>
        </w:numPr>
        <w:spacing w:after="60"/>
        <w:ind w:left="1440"/>
        <w:rPr>
          <w:lang w:val="de-DE"/>
        </w:rPr>
      </w:pPr>
      <w:r w:rsidRPr="00C83DF5">
        <w:rPr>
          <w:rFonts w:eastAsia="Calibri" w:cs="Tahoma"/>
          <w:szCs w:val="18"/>
          <w:lang w:val="de-DE"/>
        </w:rPr>
        <w:t>Vier Windows Server 20123 Standard-Lizenzen, wenn die tatsächliche Anzahl physischer Prozessoren auf dem Server, dem die Qualifizierende Lizenz zugewiesen ist, vier übersteigt. (In</w:t>
      </w:r>
      <w:r w:rsidR="00B126C0">
        <w:rPr>
          <w:rFonts w:eastAsia="Calibri" w:cs="Tahoma"/>
          <w:szCs w:val="18"/>
          <w:lang w:val="de-DE"/>
        </w:rPr>
        <w:t> </w:t>
      </w:r>
      <w:r w:rsidRPr="00C83DF5">
        <w:rPr>
          <w:rFonts w:eastAsia="Calibri" w:cs="Tahoma"/>
          <w:szCs w:val="18"/>
          <w:lang w:val="de-DE"/>
        </w:rPr>
        <w:t>diesen Fällen müssen Kunden die Konfiguration der physischen Hardware dokumentieren, die</w:t>
      </w:r>
      <w:r w:rsidR="00B126C0">
        <w:rPr>
          <w:rFonts w:eastAsia="Calibri" w:cs="Tahoma"/>
          <w:szCs w:val="18"/>
          <w:lang w:val="de-DE"/>
        </w:rPr>
        <w:t> </w:t>
      </w:r>
      <w:r w:rsidRPr="00C83DF5">
        <w:rPr>
          <w:rFonts w:eastAsia="Calibri" w:cs="Tahoma"/>
          <w:szCs w:val="18"/>
          <w:lang w:val="de-DE"/>
        </w:rPr>
        <w:t>diese Software vor Ablauf von Software Assurance für die Qualifizierenden Lizenzen unter dem</w:t>
      </w:r>
      <w:r w:rsidR="00B126C0">
        <w:rPr>
          <w:rFonts w:eastAsia="Calibri" w:cs="Tahoma"/>
          <w:szCs w:val="18"/>
          <w:lang w:val="de-DE"/>
        </w:rPr>
        <w:t> </w:t>
      </w:r>
      <w:r w:rsidRPr="00C83DF5">
        <w:rPr>
          <w:rFonts w:eastAsia="Calibri" w:cs="Tahoma"/>
          <w:szCs w:val="18"/>
          <w:lang w:val="de-DE"/>
        </w:rPr>
        <w:t>aktuellen Vertrag unterstützt, entweder mit dem Microsoft MAP-Tool oder einer gleichwertigen Software. Diese Gewährung ist nur für eine Qualifizierende Lizenz pro Server verfügbar.)</w:t>
      </w:r>
    </w:p>
    <w:p w:rsidR="00156AE7" w:rsidRPr="00C83DF5" w:rsidRDefault="00156AE7" w:rsidP="00346F4B">
      <w:pPr>
        <w:numPr>
          <w:ilvl w:val="0"/>
          <w:numId w:val="52"/>
        </w:numPr>
        <w:spacing w:after="60"/>
        <w:ind w:left="1440"/>
        <w:rPr>
          <w:lang w:val="de-DE"/>
        </w:rPr>
      </w:pPr>
      <w:r w:rsidRPr="00C83DF5">
        <w:rPr>
          <w:rFonts w:eastAsia="Calibri" w:cs="Tahoma"/>
          <w:szCs w:val="18"/>
          <w:lang w:val="de-DE"/>
        </w:rPr>
        <w:t>Lizenzen, die im Rahmen dieser Gewährung erworben werden, umfassen Software Assurance.</w:t>
      </w:r>
      <w:r w:rsidR="00E71F46" w:rsidRPr="00C83DF5">
        <w:rPr>
          <w:rFonts w:eastAsia="Calibri" w:cs="Tahoma"/>
          <w:szCs w:val="18"/>
          <w:lang w:val="de-DE"/>
        </w:rPr>
        <w:t xml:space="preserve"> </w:t>
      </w:r>
      <w:r w:rsidRPr="00C83DF5">
        <w:rPr>
          <w:rFonts w:eastAsia="Calibri" w:cs="Tahoma"/>
          <w:szCs w:val="18"/>
          <w:lang w:val="de-DE"/>
        </w:rPr>
        <w:t>Diese Software Assurance gilt bis zum Ablauf der Software Assurance für die Qualifizierenden Lizenzen.</w:t>
      </w:r>
    </w:p>
    <w:p w:rsidR="00156AE7" w:rsidRPr="00C83DF5" w:rsidRDefault="00156AE7" w:rsidP="00346F4B">
      <w:pPr>
        <w:numPr>
          <w:ilvl w:val="0"/>
          <w:numId w:val="52"/>
        </w:numPr>
        <w:spacing w:after="60"/>
        <w:ind w:left="1440"/>
        <w:rPr>
          <w:lang w:val="de-DE"/>
        </w:rPr>
      </w:pPr>
      <w:r w:rsidRPr="00C83DF5">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E71F46" w:rsidRPr="00C83DF5">
        <w:rPr>
          <w:rFonts w:eastAsia="Calibri" w:cs="Tahoma"/>
          <w:szCs w:val="18"/>
          <w:lang w:val="de-DE"/>
        </w:rPr>
        <w:t xml:space="preserve"> </w:t>
      </w:r>
    </w:p>
    <w:p w:rsidR="00156AE7" w:rsidRPr="00C83DF5" w:rsidRDefault="00156AE7" w:rsidP="00346F4B">
      <w:pPr>
        <w:numPr>
          <w:ilvl w:val="0"/>
          <w:numId w:val="52"/>
        </w:numPr>
        <w:spacing w:after="60"/>
        <w:ind w:left="1440"/>
        <w:rPr>
          <w:lang w:val="de-DE"/>
        </w:rPr>
      </w:pPr>
      <w:r w:rsidRPr="00C83DF5">
        <w:rPr>
          <w:rFonts w:eastAsia="Calibri" w:cs="Tahoma"/>
          <w:szCs w:val="18"/>
          <w:lang w:val="de-DE"/>
        </w:rPr>
        <w:t>Bei Upgrade auf Windows Server 2012 Standard unter dieser Gewährung sind die bestehenden Qualifizierenden Lizenzen für Windows Server Enterprise des Kunden nicht mehr gültig.</w:t>
      </w:r>
    </w:p>
    <w:p w:rsidR="00156AE7" w:rsidRPr="00C83DF5" w:rsidRDefault="00156AE7" w:rsidP="00346F4B">
      <w:pPr>
        <w:numPr>
          <w:ilvl w:val="0"/>
          <w:numId w:val="52"/>
        </w:numPr>
        <w:spacing w:after="60"/>
        <w:ind w:left="1440"/>
        <w:rPr>
          <w:lang w:val="de-DE"/>
        </w:rPr>
      </w:pPr>
      <w:r w:rsidRPr="00C83DF5">
        <w:rPr>
          <w:rFonts w:eastAsia="Calibri" w:cs="Tahoma"/>
          <w:szCs w:val="18"/>
          <w:lang w:val="de-DE"/>
        </w:rPr>
        <w:t>Lizenzen für Windows Server 2008 R2 Enterprise,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Lizenzgewährung.</w:t>
      </w:r>
      <w:r w:rsidR="00E71F46" w:rsidRPr="00C83DF5">
        <w:rPr>
          <w:rFonts w:eastAsia="Calibri" w:cs="Tahoma"/>
          <w:szCs w:val="18"/>
          <w:lang w:val="de-DE"/>
        </w:rPr>
        <w:t xml:space="preserve"> </w:t>
      </w:r>
    </w:p>
    <w:p w:rsidR="00156AE7" w:rsidRPr="00C83DF5" w:rsidRDefault="00156AE7" w:rsidP="00346F4B">
      <w:pPr>
        <w:numPr>
          <w:ilvl w:val="0"/>
          <w:numId w:val="52"/>
        </w:numPr>
        <w:spacing w:after="60"/>
        <w:ind w:left="1440"/>
        <w:rPr>
          <w:lang w:val="de-DE"/>
        </w:rPr>
      </w:pPr>
      <w:r w:rsidRPr="00C83DF5">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047339" w:rsidRPr="00C83DF5" w:rsidRDefault="00047339" w:rsidP="00171927">
      <w:pPr>
        <w:pStyle w:val="EndnoteText"/>
        <w:ind w:left="0"/>
        <w:rPr>
          <w:lang w:val="de-DE"/>
        </w:rPr>
      </w:pPr>
    </w:p>
    <w:p w:rsidR="00171927" w:rsidRPr="00C83DF5" w:rsidRDefault="00171927" w:rsidP="00171927">
      <w:pPr>
        <w:pStyle w:val="EndnoteText"/>
        <w:ind w:left="0"/>
        <w:rPr>
          <w:lang w:val="de-DE"/>
        </w:rPr>
      </w:pPr>
    </w:p>
    <w:p w:rsidR="00EF1978" w:rsidRPr="00C83DF5" w:rsidRDefault="00A560B6" w:rsidP="00A9151E">
      <w:pPr>
        <w:pStyle w:val="Heading3"/>
        <w:keepNext/>
        <w:ind w:left="360" w:hanging="360"/>
        <w:rPr>
          <w:lang w:val="de-DE"/>
        </w:rPr>
      </w:pPr>
      <w:bookmarkStart w:id="1621" w:name="_110_Windows_Server_1"/>
      <w:bookmarkStart w:id="1622" w:name="Srv_1102WinSvr08R2Itanium"/>
      <w:bookmarkStart w:id="1623" w:name="_Toc336338371"/>
      <w:bookmarkStart w:id="1624" w:name="Srv_1132WinSvr08R2Itanium"/>
      <w:bookmarkStart w:id="1625" w:name="Srv_117WinSvr08R2Itanium"/>
      <w:bookmarkStart w:id="1626" w:name="Srv_98WinSvr08StdandHyperV"/>
      <w:bookmarkStart w:id="1627" w:name="Srv_99WinSvr08StdandHyperV"/>
      <w:bookmarkStart w:id="1628" w:name="_Toc370983477"/>
      <w:bookmarkEnd w:id="1621"/>
      <w:r w:rsidRPr="00C83DF5">
        <w:rPr>
          <w:rFonts w:ascii="Tahoma" w:hAnsi="Tahoma"/>
          <w:caps/>
          <w:color w:val="F66400"/>
          <w:sz w:val="22"/>
          <w:vertAlign w:val="superscript"/>
          <w:lang w:val="de-DE"/>
        </w:rPr>
        <w:t>109</w:t>
      </w:r>
      <w:r w:rsidRPr="00B126C0">
        <w:rPr>
          <w:rFonts w:ascii="Tahoma" w:hAnsi="Tahoma"/>
          <w:color w:val="F66400"/>
          <w:sz w:val="22"/>
          <w:lang w:val="de-DE"/>
        </w:rPr>
        <w:t xml:space="preserve"> </w:t>
      </w:r>
      <w:r w:rsidRPr="00C83DF5">
        <w:rPr>
          <w:rFonts w:ascii="Tahoma" w:hAnsi="Tahoma"/>
          <w:color w:val="F66400"/>
          <w:sz w:val="22"/>
          <w:lang w:val="de-DE"/>
        </w:rPr>
        <w:t>Windows Server 2008 R2 für Itanium-basierte Systeme</w:t>
      </w:r>
      <w:bookmarkEnd w:id="1622"/>
      <w:bookmarkEnd w:id="1623"/>
      <w:bookmarkEnd w:id="1628"/>
    </w:p>
    <w:bookmarkEnd w:id="1624"/>
    <w:bookmarkEnd w:id="1625"/>
    <w:p w:rsidR="00376D4B" w:rsidRPr="00C83DF5" w:rsidRDefault="00376D4B" w:rsidP="007E3162">
      <w:pPr>
        <w:ind w:left="360"/>
        <w:rPr>
          <w:lang w:val="de-DE"/>
        </w:rPr>
      </w:pPr>
    </w:p>
    <w:p w:rsidR="007E3162" w:rsidRPr="00C83DF5" w:rsidRDefault="006533DF" w:rsidP="007E3162">
      <w:pPr>
        <w:spacing w:after="60"/>
        <w:ind w:left="720"/>
        <w:rPr>
          <w:lang w:val="de-DE"/>
        </w:rPr>
      </w:pPr>
      <w:r w:rsidRPr="00C83DF5">
        <w:rPr>
          <w:b/>
          <w:color w:val="000000"/>
          <w:lang w:val="de-DE"/>
        </w:rPr>
        <w:t>Lizenzgewährungen im Zusammenhang mit dem Ende der Lebensdauer von Windows Server für Itanium-basierte Systeme</w:t>
      </w:r>
    </w:p>
    <w:p w:rsidR="006533DF" w:rsidRPr="00C83DF5" w:rsidRDefault="006533DF" w:rsidP="00B126C0">
      <w:pPr>
        <w:ind w:left="720"/>
        <w:rPr>
          <w:lang w:val="de-DE"/>
        </w:rPr>
      </w:pPr>
      <w:r w:rsidRPr="00C83DF5">
        <w:rPr>
          <w:color w:val="000000"/>
          <w:lang w:val="de-DE"/>
        </w:rPr>
        <w:t>Windows Server 2008 R2 ist die letzte Version von Windows Server für Itanium-basierte Systeme.</w:t>
      </w:r>
      <w:r w:rsidR="00E71F46" w:rsidRPr="00C83DF5">
        <w:rPr>
          <w:color w:val="000000"/>
          <w:lang w:val="de-DE"/>
        </w:rPr>
        <w:t xml:space="preserve"> </w:t>
      </w:r>
      <w:r w:rsidRPr="00C83DF5">
        <w:rPr>
          <w:color w:val="000000"/>
          <w:lang w:val="de-DE"/>
        </w:rPr>
        <w:t>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C83DF5">
        <w:rPr>
          <w:rFonts w:eastAsia="Calibri" w:cs="Tahoma"/>
          <w:szCs w:val="18"/>
          <w:lang w:val="de-DE"/>
        </w:rPr>
        <w:t xml:space="preserve"> auf die Software Windows Server 2012 Datacenter upzugraden und sie anstelle von Windows Server 2008 R2 für Itanium-basierte Systeme zu verwenden. Um</w:t>
      </w:r>
      <w:r w:rsidR="00B126C0">
        <w:rPr>
          <w:rFonts w:eastAsia="Calibri" w:cs="Tahoma"/>
          <w:szCs w:val="18"/>
          <w:lang w:val="de-DE"/>
        </w:rPr>
        <w:t> </w:t>
      </w:r>
      <w:r w:rsidRPr="00C83DF5">
        <w:rPr>
          <w:rFonts w:eastAsia="Calibri" w:cs="Tahoma"/>
          <w:szCs w:val="18"/>
          <w:lang w:val="de-DE"/>
        </w:rPr>
        <w:t xml:space="preserve">dieses Upgrade zu erleichtern, wird angenommen, dass dem Kunden bei Verfügbarkeit von Windows Server 2012 für jeweils zwei Qualifizierende Lizenzen, die der Kunde besitzt, eine Windows Server 2012 Datacenter-Prozessorlizenz gewährt wird. </w:t>
      </w:r>
    </w:p>
    <w:p w:rsidR="007E3162" w:rsidRPr="00C83DF5" w:rsidRDefault="007E3162" w:rsidP="007E3162">
      <w:pPr>
        <w:ind w:left="720"/>
        <w:rPr>
          <w:lang w:val="de-DE"/>
        </w:rPr>
      </w:pPr>
    </w:p>
    <w:p w:rsidR="006533DF" w:rsidRPr="00C83DF5" w:rsidRDefault="006533DF" w:rsidP="00346F4B">
      <w:pPr>
        <w:numPr>
          <w:ilvl w:val="0"/>
          <w:numId w:val="56"/>
        </w:numPr>
        <w:tabs>
          <w:tab w:val="clear" w:pos="360"/>
          <w:tab w:val="num" w:pos="1440"/>
        </w:tabs>
        <w:spacing w:after="60"/>
        <w:ind w:left="1440"/>
        <w:rPr>
          <w:lang w:val="de-DE"/>
        </w:rPr>
      </w:pPr>
      <w:r w:rsidRPr="00C83DF5">
        <w:rPr>
          <w:color w:val="000000"/>
          <w:lang w:val="de-DE"/>
        </w:rPr>
        <w:lastRenderedPageBreak/>
        <w:t>Wenn ein Kunde über eine ungerade Anzahl von Qualifizierenden Lizenzen verfügt, muss der Kunde auf die nächste gerade Zahl abrunden, um festzustellen, wie viele Lizenzen ihm gewährt werden.</w:t>
      </w:r>
      <w:r w:rsidR="00E71F46" w:rsidRPr="00C83DF5">
        <w:rPr>
          <w:color w:val="000000"/>
          <w:lang w:val="de-DE"/>
        </w:rPr>
        <w:t xml:space="preserve"> </w:t>
      </w:r>
      <w:r w:rsidRPr="00C83DF5">
        <w:rPr>
          <w:color w:val="000000"/>
          <w:lang w:val="de-DE"/>
        </w:rPr>
        <w:t xml:space="preserve">Beispiel: Einem Kunden, der über drei Qualifizierende Lizenzen verfügt, wird insgesamt eine Windows Server 2012 Datacenter-Lizenz gewährt. </w:t>
      </w:r>
    </w:p>
    <w:p w:rsidR="006533DF" w:rsidRPr="00C83DF5" w:rsidRDefault="006533DF" w:rsidP="00346F4B">
      <w:pPr>
        <w:pStyle w:val="ListParagraph"/>
        <w:numPr>
          <w:ilvl w:val="0"/>
          <w:numId w:val="56"/>
        </w:numPr>
        <w:tabs>
          <w:tab w:val="clear" w:pos="360"/>
          <w:tab w:val="num" w:pos="1440"/>
        </w:tabs>
        <w:spacing w:after="60"/>
        <w:ind w:left="1440"/>
        <w:contextualSpacing w:val="0"/>
        <w:rPr>
          <w:lang w:val="de-DE"/>
        </w:rPr>
      </w:pPr>
      <w:r w:rsidRPr="00C83DF5">
        <w:rPr>
          <w:rFonts w:ascii="Tahoma" w:eastAsia="Calibri" w:hAnsi="Tahoma" w:cs="Tahoma"/>
          <w:sz w:val="18"/>
          <w:szCs w:val="18"/>
          <w:lang w:val="de-DE"/>
        </w:rPr>
        <w:t>Lizenzen, die im Rahmen dieser Gewährung erworben werden, umfassen Software Assurance.</w:t>
      </w:r>
      <w:r w:rsidR="00E71F46" w:rsidRPr="00C83DF5">
        <w:rPr>
          <w:rFonts w:ascii="Tahoma" w:eastAsia="Calibri" w:hAnsi="Tahoma" w:cs="Tahoma"/>
          <w:sz w:val="18"/>
          <w:szCs w:val="18"/>
          <w:lang w:val="de-DE"/>
        </w:rPr>
        <w:t xml:space="preserve"> </w:t>
      </w:r>
      <w:r w:rsidRPr="00C83DF5">
        <w:rPr>
          <w:rFonts w:ascii="Tahoma" w:eastAsia="Calibri" w:hAnsi="Tahoma" w:cs="Tahoma"/>
          <w:sz w:val="18"/>
          <w:szCs w:val="18"/>
          <w:lang w:val="de-DE"/>
        </w:rPr>
        <w:t>Diese Software Assurance gilt bis zum Ablauf der Software Assurance für die Qualifizierenden Lizenzen.</w:t>
      </w:r>
    </w:p>
    <w:p w:rsidR="006533DF" w:rsidRPr="00C83DF5" w:rsidRDefault="006533DF" w:rsidP="00346F4B">
      <w:pPr>
        <w:pStyle w:val="ListParagraph"/>
        <w:numPr>
          <w:ilvl w:val="0"/>
          <w:numId w:val="56"/>
        </w:numPr>
        <w:tabs>
          <w:tab w:val="clear" w:pos="360"/>
          <w:tab w:val="num" w:pos="1440"/>
        </w:tabs>
        <w:spacing w:after="60"/>
        <w:ind w:left="1440"/>
        <w:contextualSpacing w:val="0"/>
        <w:rPr>
          <w:lang w:val="de-DE"/>
        </w:rPr>
      </w:pPr>
      <w:r w:rsidRPr="00C83DF5">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6533DF" w:rsidRPr="00C83DF5" w:rsidRDefault="006533DF" w:rsidP="00346F4B">
      <w:pPr>
        <w:numPr>
          <w:ilvl w:val="0"/>
          <w:numId w:val="56"/>
        </w:numPr>
        <w:tabs>
          <w:tab w:val="clear" w:pos="360"/>
          <w:tab w:val="num" w:pos="1440"/>
        </w:tabs>
        <w:spacing w:after="60"/>
        <w:ind w:left="1440"/>
        <w:rPr>
          <w:lang w:val="de-DE"/>
        </w:rPr>
      </w:pPr>
      <w:r w:rsidRPr="00C83DF5">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rsidR="006533DF" w:rsidRPr="00C83DF5" w:rsidRDefault="006533DF" w:rsidP="00346F4B">
      <w:pPr>
        <w:numPr>
          <w:ilvl w:val="0"/>
          <w:numId w:val="56"/>
        </w:numPr>
        <w:tabs>
          <w:tab w:val="clear" w:pos="360"/>
          <w:tab w:val="num" w:pos="1440"/>
        </w:tabs>
        <w:spacing w:after="60"/>
        <w:ind w:left="1440"/>
        <w:rPr>
          <w:lang w:val="de-DE"/>
        </w:rPr>
      </w:pPr>
      <w:r w:rsidRPr="00C83DF5">
        <w:rPr>
          <w:color w:val="000000"/>
          <w:lang w:val="de-DE"/>
        </w:rPr>
        <w:t xml:space="preserve">Lizenzen für Windows Server 2008 R2 für Itanium-basierte Systeme, </w:t>
      </w:r>
      <w:r w:rsidRPr="00C83DF5">
        <w:rPr>
          <w:rFonts w:cs="Tahoma"/>
          <w:bCs/>
          <w:color w:val="000000"/>
          <w:szCs w:val="18"/>
          <w:lang w:val="de-DE"/>
        </w:rPr>
        <w:t>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w:t>
      </w:r>
      <w:r w:rsidR="00E71F46" w:rsidRPr="00C83DF5">
        <w:rPr>
          <w:rFonts w:cs="Tahoma"/>
          <w:bCs/>
          <w:color w:val="000000"/>
          <w:szCs w:val="18"/>
          <w:lang w:val="de-DE"/>
        </w:rPr>
        <w:t xml:space="preserve"> </w:t>
      </w:r>
    </w:p>
    <w:p w:rsidR="006533DF" w:rsidRPr="00C83DF5" w:rsidRDefault="006533DF" w:rsidP="00346F4B">
      <w:pPr>
        <w:numPr>
          <w:ilvl w:val="0"/>
          <w:numId w:val="56"/>
        </w:numPr>
        <w:tabs>
          <w:tab w:val="clear" w:pos="360"/>
          <w:tab w:val="num" w:pos="1440"/>
        </w:tabs>
        <w:spacing w:after="60"/>
        <w:ind w:left="1440"/>
        <w:rPr>
          <w:lang w:val="de-DE"/>
        </w:rPr>
      </w:pPr>
      <w:r w:rsidRPr="00C83DF5">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D63C1B" w:rsidRPr="00C83DF5" w:rsidRDefault="00D63C1B" w:rsidP="007E3162">
      <w:pPr>
        <w:rPr>
          <w:lang w:val="de-DE"/>
        </w:rPr>
      </w:pPr>
      <w:bookmarkStart w:id="1629" w:name="_117_Windows_Server"/>
      <w:bookmarkEnd w:id="1626"/>
      <w:bookmarkEnd w:id="1627"/>
      <w:bookmarkEnd w:id="1629"/>
    </w:p>
    <w:p w:rsidR="00586FCE" w:rsidRPr="00C83DF5" w:rsidRDefault="00586FCE" w:rsidP="00EF2279">
      <w:pPr>
        <w:rPr>
          <w:lang w:val="de-DE"/>
        </w:rPr>
      </w:pPr>
    </w:p>
    <w:p w:rsidR="00FE1A01" w:rsidRPr="00C83DF5" w:rsidRDefault="00A560B6" w:rsidP="00EF2279">
      <w:pPr>
        <w:pStyle w:val="Heading3"/>
        <w:rPr>
          <w:lang w:val="de-DE"/>
        </w:rPr>
      </w:pPr>
      <w:bookmarkStart w:id="1630" w:name="_116_Windows_Server"/>
      <w:bookmarkStart w:id="1631" w:name="_111_Windows_Server"/>
      <w:bookmarkStart w:id="1632" w:name="_110_CAL_für"/>
      <w:bookmarkStart w:id="1633" w:name="_Toc336338372"/>
      <w:bookmarkStart w:id="1634" w:name="Srv_101Win2008RemoteCALandExtConn"/>
      <w:bookmarkStart w:id="1635" w:name="Srv_115Win2008RemoteCALandExtConn"/>
      <w:bookmarkStart w:id="1636" w:name="Srv_119Win2008RemoteCALandExtConn"/>
      <w:bookmarkStart w:id="1637" w:name="Srv_101WindowsSvr2008RemoteDesktop"/>
      <w:bookmarkStart w:id="1638" w:name="_Toc370983478"/>
      <w:bookmarkEnd w:id="1630"/>
      <w:bookmarkEnd w:id="1631"/>
      <w:bookmarkEnd w:id="1632"/>
      <w:r w:rsidRPr="00C83DF5">
        <w:rPr>
          <w:rStyle w:val="Heading3Char"/>
          <w:rFonts w:ascii="Tahoma" w:hAnsi="Tahoma"/>
          <w:b/>
          <w:caps/>
          <w:color w:val="F66400"/>
          <w:sz w:val="22"/>
          <w:vertAlign w:val="superscript"/>
          <w:lang w:val="de-DE"/>
        </w:rPr>
        <w:t>110</w:t>
      </w:r>
      <w:r w:rsidRPr="00B126C0">
        <w:rPr>
          <w:rStyle w:val="Heading3Char"/>
          <w:rFonts w:ascii="Tahoma" w:hAnsi="Tahoma"/>
          <w:b/>
          <w:caps/>
          <w:color w:val="F66400"/>
          <w:sz w:val="22"/>
          <w:lang w:val="de-DE"/>
        </w:rPr>
        <w:t xml:space="preserve"> </w:t>
      </w:r>
      <w:r w:rsidRPr="00C83DF5">
        <w:rPr>
          <w:rFonts w:ascii="Tahoma" w:hAnsi="Tahoma"/>
          <w:color w:val="F66400"/>
          <w:sz w:val="22"/>
          <w:lang w:val="de-DE"/>
        </w:rPr>
        <w:t>CAL für Windows Server 2012</w:t>
      </w:r>
      <w:bookmarkEnd w:id="1633"/>
      <w:bookmarkEnd w:id="1638"/>
    </w:p>
    <w:p w:rsidR="00FE1A01" w:rsidRPr="00C83DF5" w:rsidRDefault="00FE1A01" w:rsidP="002A01C2">
      <w:pPr>
        <w:rPr>
          <w:lang w:val="de-DE"/>
        </w:rPr>
      </w:pPr>
    </w:p>
    <w:p w:rsidR="00FE1A01" w:rsidRPr="00B126C0" w:rsidRDefault="00FE1A01" w:rsidP="002A01C2">
      <w:pPr>
        <w:ind w:left="720"/>
        <w:rPr>
          <w:rFonts w:cs="Tahoma"/>
          <w:szCs w:val="18"/>
          <w:lang w:val="de-DE"/>
        </w:rPr>
      </w:pPr>
      <w:r w:rsidRPr="00B126C0">
        <w:rPr>
          <w:rFonts w:cs="Tahoma"/>
          <w:szCs w:val="18"/>
          <w:lang w:val="de-DE"/>
        </w:rPr>
        <w:t>Die CAL für Windows Server 2012 kann für den Zugriff auf Windows Server 2012 R2 verwendet werden.</w:t>
      </w:r>
    </w:p>
    <w:p w:rsidR="002A01C2" w:rsidRPr="00B126C0" w:rsidRDefault="002A01C2" w:rsidP="002A01C2">
      <w:pPr>
        <w:ind w:left="720"/>
        <w:rPr>
          <w:rFonts w:cs="Tahoma"/>
          <w:szCs w:val="18"/>
          <w:lang w:val="de-DE"/>
        </w:rPr>
      </w:pPr>
    </w:p>
    <w:p w:rsidR="002A01C2" w:rsidRPr="00B126C0" w:rsidRDefault="00FE1A01" w:rsidP="002A01C2">
      <w:pPr>
        <w:spacing w:after="60"/>
        <w:ind w:left="720"/>
        <w:rPr>
          <w:rFonts w:cs="Tahoma"/>
          <w:szCs w:val="18"/>
          <w:lang w:val="de-DE"/>
        </w:rPr>
      </w:pPr>
      <w:r w:rsidRPr="00B126C0">
        <w:rPr>
          <w:rFonts w:eastAsia="Calibri" w:cs="Tahoma"/>
          <w:b/>
          <w:szCs w:val="18"/>
          <w:lang w:val="de-DE"/>
        </w:rPr>
        <w:t>Verwendung von Windows Server 2012 R2 als Webserver</w:t>
      </w:r>
    </w:p>
    <w:p w:rsidR="00FE1A01" w:rsidRPr="00B126C0" w:rsidRDefault="00FE1A01" w:rsidP="00B126C0">
      <w:pPr>
        <w:ind w:left="720"/>
        <w:rPr>
          <w:rFonts w:cs="Tahoma"/>
          <w:szCs w:val="18"/>
          <w:lang w:val="de-DE"/>
        </w:rPr>
      </w:pPr>
      <w:r w:rsidRPr="00B126C0">
        <w:rPr>
          <w:rFonts w:cs="Tahoma"/>
          <w:color w:val="000000"/>
          <w:szCs w:val="18"/>
          <w:lang w:val="de-DE"/>
        </w:rPr>
        <w:t>Wenn Windows Server 2012 R2 Standard oder Datacenter als Webserver verwendet wird, benötigen Sie</w:t>
      </w:r>
      <w:r w:rsidR="00B126C0">
        <w:rPr>
          <w:rFonts w:cs="Tahoma"/>
          <w:color w:val="000000"/>
          <w:szCs w:val="18"/>
          <w:lang w:val="de-DE"/>
        </w:rPr>
        <w:t> </w:t>
      </w:r>
      <w:r w:rsidRPr="00B126C0">
        <w:rPr>
          <w:rFonts w:cs="Tahoma"/>
          <w:color w:val="000000"/>
          <w:szCs w:val="18"/>
          <w:lang w:val="de-DE"/>
        </w:rPr>
        <w:t>keine CALs für den Zugriff auf die Software. Eine „Web Workload“ bedeutet Folgendes:</w:t>
      </w:r>
    </w:p>
    <w:p w:rsidR="002A01C2" w:rsidRPr="00B126C0" w:rsidRDefault="002A01C2" w:rsidP="002A01C2">
      <w:pPr>
        <w:pStyle w:val="PURBody-Indented"/>
        <w:spacing w:after="0"/>
        <w:ind w:left="720"/>
        <w:rPr>
          <w:rFonts w:ascii="Tahoma" w:hAnsi="Tahoma" w:cs="Tahoma"/>
          <w:sz w:val="18"/>
          <w:szCs w:val="18"/>
          <w:lang w:val="de-DE"/>
        </w:rPr>
      </w:pPr>
    </w:p>
    <w:p w:rsidR="002A01C2" w:rsidRPr="00B126C0" w:rsidRDefault="006707A3" w:rsidP="002A01C2">
      <w:pPr>
        <w:pStyle w:val="PURBody-Indented"/>
        <w:spacing w:after="60"/>
        <w:ind w:left="720"/>
        <w:rPr>
          <w:rFonts w:ascii="Tahoma" w:hAnsi="Tahoma" w:cs="Tahoma"/>
          <w:sz w:val="18"/>
          <w:szCs w:val="18"/>
          <w:lang w:val="de-DE"/>
        </w:rPr>
      </w:pPr>
      <w:r w:rsidRPr="00B126C0">
        <w:rPr>
          <w:rFonts w:ascii="Tahoma" w:hAnsi="Tahoma" w:cs="Tahoma"/>
          <w:b/>
          <w:bCs/>
          <w:sz w:val="18"/>
          <w:szCs w:val="18"/>
          <w:lang w:val="de-DE"/>
        </w:rPr>
        <w:t>Web Workload</w:t>
      </w:r>
      <w:r w:rsidRPr="00B126C0">
        <w:rPr>
          <w:rFonts w:ascii="Tahoma" w:hAnsi="Tahoma" w:cs="Tahoma"/>
          <w:b/>
          <w:sz w:val="18"/>
          <w:szCs w:val="18"/>
          <w:lang w:val="de-DE"/>
        </w:rPr>
        <w:t xml:space="preserve"> (Internet-Weblösungen)</w:t>
      </w:r>
    </w:p>
    <w:p w:rsidR="006707A3" w:rsidRPr="00B126C0" w:rsidRDefault="006707A3" w:rsidP="00B126C0">
      <w:pPr>
        <w:pStyle w:val="PURBody-Indented"/>
        <w:spacing w:after="0"/>
        <w:ind w:left="720"/>
        <w:rPr>
          <w:rFonts w:ascii="Tahoma" w:hAnsi="Tahoma" w:cs="Tahoma"/>
          <w:sz w:val="18"/>
          <w:szCs w:val="18"/>
          <w:lang w:val="de-DE"/>
        </w:rPr>
      </w:pPr>
      <w:r w:rsidRPr="00B126C0">
        <w:rPr>
          <w:rFonts w:ascii="Tahoma" w:hAnsi="Tahoma" w:cs="Tahoma"/>
          <w:sz w:val="18"/>
          <w:szCs w:val="18"/>
          <w:lang w:val="de-DE"/>
        </w:rPr>
        <w:t>„Internet-Weblösungen“ sind öffentlich zugänglich und bestehen ausschließlich aus Webseiten, Websites, Webanwendungen, Webdiensten und/oder POP3-Mailservern. Aus Gründen der Deutlichkeit sei gesagt, dass</w:t>
      </w:r>
      <w:r w:rsidR="00B126C0">
        <w:rPr>
          <w:rFonts w:ascii="Tahoma" w:hAnsi="Tahoma" w:cs="Tahoma"/>
          <w:sz w:val="18"/>
          <w:szCs w:val="18"/>
          <w:lang w:val="de-DE"/>
        </w:rPr>
        <w:t> </w:t>
      </w:r>
      <w:r w:rsidRPr="00B126C0">
        <w:rPr>
          <w:rFonts w:ascii="Tahoma" w:hAnsi="Tahoma" w:cs="Tahoma"/>
          <w:sz w:val="18"/>
          <w:szCs w:val="18"/>
          <w:lang w:val="de-DE"/>
        </w:rPr>
        <w:t xml:space="preserve">der Zugriff auf Inhalte, Informationen und Anwendungen, die durch die Software innerhalb einer Internet-Weblösung bereitgestellt werden, nicht auf Ihre Mitarbeiter oder die Mitarbeiter Ihrer verbundenen Unternehmen beschränkt ist. </w:t>
      </w:r>
    </w:p>
    <w:p w:rsidR="002A01C2" w:rsidRPr="00B126C0" w:rsidRDefault="002A01C2" w:rsidP="002A01C2">
      <w:pPr>
        <w:pStyle w:val="PURBody-Indented"/>
        <w:spacing w:after="0"/>
        <w:ind w:firstLine="450"/>
        <w:rPr>
          <w:rFonts w:ascii="Tahoma" w:hAnsi="Tahoma" w:cs="Tahoma"/>
          <w:sz w:val="18"/>
          <w:szCs w:val="18"/>
          <w:lang w:val="de-DE"/>
        </w:rPr>
      </w:pPr>
    </w:p>
    <w:p w:rsidR="006707A3" w:rsidRPr="00B126C0" w:rsidRDefault="006707A3" w:rsidP="002A01C2">
      <w:pPr>
        <w:pStyle w:val="PURBody-Indented"/>
        <w:spacing w:after="0"/>
        <w:ind w:firstLine="450"/>
        <w:rPr>
          <w:rFonts w:ascii="Tahoma" w:hAnsi="Tahoma" w:cs="Tahoma"/>
          <w:sz w:val="18"/>
          <w:szCs w:val="18"/>
          <w:lang w:val="de-DE"/>
        </w:rPr>
      </w:pPr>
      <w:r w:rsidRPr="00B126C0">
        <w:rPr>
          <w:rFonts w:ascii="Tahoma" w:hAnsi="Tahoma" w:cs="Tahoma"/>
          <w:sz w:val="18"/>
          <w:szCs w:val="18"/>
          <w:lang w:val="de-DE"/>
        </w:rPr>
        <w:t>Sie dürfen die Software in „Internet-Weblösungen“ zur Ausführung von Folgendem verwenden:</w:t>
      </w:r>
    </w:p>
    <w:p w:rsidR="002A01C2" w:rsidRPr="00B126C0" w:rsidRDefault="002A01C2" w:rsidP="002A01C2">
      <w:pPr>
        <w:pStyle w:val="PURBody-Indented"/>
        <w:spacing w:after="0"/>
        <w:ind w:firstLine="450"/>
        <w:rPr>
          <w:rFonts w:ascii="Tahoma" w:hAnsi="Tahoma" w:cs="Tahoma"/>
          <w:sz w:val="18"/>
          <w:szCs w:val="18"/>
          <w:lang w:val="de-DE"/>
        </w:rPr>
      </w:pPr>
    </w:p>
    <w:p w:rsidR="006707A3" w:rsidRPr="00B126C0" w:rsidRDefault="006707A3" w:rsidP="00757265">
      <w:pPr>
        <w:pStyle w:val="PURBullet-Indented"/>
        <w:numPr>
          <w:ilvl w:val="0"/>
          <w:numId w:val="122"/>
        </w:numPr>
        <w:spacing w:after="60" w:line="240" w:lineRule="auto"/>
        <w:ind w:left="1440" w:hanging="360"/>
        <w:contextualSpacing w:val="0"/>
        <w:rPr>
          <w:rFonts w:ascii="Tahoma" w:hAnsi="Tahoma" w:cs="Tahoma"/>
          <w:sz w:val="18"/>
          <w:szCs w:val="18"/>
          <w:lang w:val="de-DE"/>
        </w:rPr>
      </w:pPr>
      <w:r w:rsidRPr="00B126C0">
        <w:rPr>
          <w:rFonts w:ascii="Tahoma" w:hAnsi="Tahoma" w:cs="Tahoma"/>
          <w:sz w:val="18"/>
          <w:szCs w:val="18"/>
          <w:lang w:val="de-DE"/>
        </w:rPr>
        <w:t>Webserver-Software (z. B. Microsoft-Internetinformationsdienste) und Management oder Security</w:t>
      </w:r>
      <w:r w:rsidR="00757265">
        <w:rPr>
          <w:rFonts w:ascii="Tahoma" w:hAnsi="Tahoma" w:cs="Tahoma"/>
          <w:sz w:val="18"/>
          <w:szCs w:val="18"/>
          <w:lang w:val="de-DE"/>
        </w:rPr>
        <w:t> </w:t>
      </w:r>
      <w:r w:rsidRPr="00B126C0">
        <w:rPr>
          <w:rFonts w:ascii="Tahoma" w:hAnsi="Tahoma" w:cs="Tahoma"/>
          <w:sz w:val="18"/>
          <w:szCs w:val="18"/>
          <w:lang w:val="de-DE"/>
        </w:rPr>
        <w:t>Agents (z. B. den System Center Operations Manager-Agent)</w:t>
      </w:r>
    </w:p>
    <w:p w:rsidR="006707A3" w:rsidRPr="00B126C0"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de-DE"/>
        </w:rPr>
      </w:pPr>
      <w:r w:rsidRPr="00B126C0">
        <w:rPr>
          <w:rFonts w:ascii="Tahoma" w:hAnsi="Tahoma" w:cs="Tahoma"/>
          <w:sz w:val="18"/>
          <w:szCs w:val="18"/>
          <w:lang w:val="de-DE"/>
        </w:rPr>
        <w:t xml:space="preserve">Datenbankmodulsoftware (z. B. Microsoft SQL Server) ausschließlich zur Unterstützung von Internet-Weblösungen </w:t>
      </w:r>
    </w:p>
    <w:p w:rsidR="006707A3" w:rsidRPr="00B126C0" w:rsidRDefault="006707A3" w:rsidP="00757265">
      <w:pPr>
        <w:pStyle w:val="PURBullet-Indented"/>
        <w:numPr>
          <w:ilvl w:val="0"/>
          <w:numId w:val="122"/>
        </w:numPr>
        <w:spacing w:after="60" w:line="240" w:lineRule="auto"/>
        <w:ind w:left="1440" w:hanging="360"/>
        <w:contextualSpacing w:val="0"/>
        <w:rPr>
          <w:rFonts w:ascii="Tahoma" w:hAnsi="Tahoma" w:cs="Tahoma"/>
          <w:sz w:val="18"/>
          <w:szCs w:val="18"/>
          <w:lang w:val="de-DE"/>
        </w:rPr>
      </w:pPr>
      <w:r w:rsidRPr="00B126C0">
        <w:rPr>
          <w:rFonts w:ascii="Tahoma" w:hAnsi="Tahoma" w:cs="Tahoma"/>
          <w:sz w:val="18"/>
          <w:szCs w:val="18"/>
          <w:lang w:val="de-DE"/>
        </w:rPr>
        <w:t>der Domain Name System (DNS)-Dienst zur Auflösung von Internetnamen in IP-Adressen, sofern</w:t>
      </w:r>
      <w:r w:rsidR="00757265">
        <w:rPr>
          <w:rFonts w:ascii="Tahoma" w:hAnsi="Tahoma" w:cs="Tahoma"/>
          <w:sz w:val="18"/>
          <w:szCs w:val="18"/>
          <w:lang w:val="de-DE"/>
        </w:rPr>
        <w:t> </w:t>
      </w:r>
      <w:r w:rsidRPr="00B126C0">
        <w:rPr>
          <w:rFonts w:ascii="Tahoma" w:hAnsi="Tahoma" w:cs="Tahoma"/>
          <w:sz w:val="18"/>
          <w:szCs w:val="18"/>
          <w:lang w:val="de-DE"/>
        </w:rPr>
        <w:t>es sich hierbei nicht um die einzige Funktion dieser Instanz der Software handelt.</w:t>
      </w:r>
    </w:p>
    <w:p w:rsidR="00F1020A" w:rsidRPr="00B126C0" w:rsidRDefault="00F1020A">
      <w:pPr>
        <w:rPr>
          <w:rFonts w:cs="Tahoma"/>
          <w:szCs w:val="18"/>
          <w:lang w:val="de-DE"/>
        </w:rPr>
      </w:pPr>
    </w:p>
    <w:p w:rsidR="002A01C2" w:rsidRPr="00B126C0" w:rsidRDefault="00FE1A01" w:rsidP="002A01C2">
      <w:pPr>
        <w:spacing w:after="60"/>
        <w:ind w:left="720"/>
        <w:rPr>
          <w:rFonts w:cs="Tahoma"/>
          <w:szCs w:val="18"/>
          <w:lang w:val="de-DE"/>
        </w:rPr>
      </w:pPr>
      <w:r w:rsidRPr="00B126C0">
        <w:rPr>
          <w:rFonts w:eastAsia="Calibri" w:cs="Tahoma"/>
          <w:b/>
          <w:szCs w:val="18"/>
          <w:lang w:val="de-DE"/>
        </w:rPr>
        <w:t>Verwendung von Windows Server 2012 R2 für High Performance Computing (HPC)</w:t>
      </w:r>
    </w:p>
    <w:p w:rsidR="00376D4B" w:rsidRPr="00B126C0" w:rsidRDefault="00FE1A01" w:rsidP="00757265">
      <w:pPr>
        <w:ind w:left="720"/>
        <w:rPr>
          <w:rFonts w:cs="Tahoma"/>
          <w:szCs w:val="18"/>
          <w:lang w:val="de-DE"/>
        </w:rPr>
      </w:pPr>
      <w:r w:rsidRPr="00B126C0">
        <w:rPr>
          <w:rFonts w:cs="Tahoma"/>
          <w:color w:val="000000"/>
          <w:szCs w:val="18"/>
          <w:lang w:val="de-DE"/>
        </w:rPr>
        <w:t>Wenn Windows Server 2012 R2 Standard oder Datacenter für High Performance Computing verwendet wird,</w:t>
      </w:r>
      <w:r w:rsidR="00757265">
        <w:rPr>
          <w:rFonts w:cs="Tahoma"/>
          <w:color w:val="000000"/>
          <w:szCs w:val="18"/>
          <w:lang w:val="de-DE"/>
        </w:rPr>
        <w:t> </w:t>
      </w:r>
      <w:r w:rsidRPr="00B126C0">
        <w:rPr>
          <w:rFonts w:cs="Tahoma"/>
          <w:color w:val="000000"/>
          <w:szCs w:val="18"/>
          <w:lang w:val="de-DE"/>
        </w:rPr>
        <w:t>benötigen Sie keine CALs für den Zugriff auf die Software. Eine „High Performance Computing (</w:t>
      </w:r>
      <w:r w:rsidR="00E71F46" w:rsidRPr="00B126C0">
        <w:rPr>
          <w:rFonts w:cs="Tahoma"/>
          <w:color w:val="000000"/>
          <w:szCs w:val="18"/>
          <w:lang w:val="de-DE"/>
        </w:rPr>
        <w:t>„</w:t>
      </w:r>
      <w:r w:rsidRPr="00B126C0">
        <w:rPr>
          <w:rFonts w:cs="Tahoma"/>
          <w:color w:val="000000"/>
          <w:szCs w:val="18"/>
          <w:lang w:val="de-DE"/>
        </w:rPr>
        <w:t>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w:t>
      </w:r>
      <w:r w:rsidR="00757265">
        <w:rPr>
          <w:rFonts w:cs="Tahoma"/>
          <w:color w:val="000000"/>
          <w:szCs w:val="18"/>
          <w:lang w:val="de-DE"/>
        </w:rPr>
        <w:t> </w:t>
      </w:r>
      <w:r w:rsidRPr="00B126C0">
        <w:rPr>
          <w:rFonts w:cs="Tahoma"/>
          <w:color w:val="000000"/>
          <w:szCs w:val="18"/>
          <w:lang w:val="de-DE"/>
        </w:rPr>
        <w:t>geclusterten HPC-Anwendungen zu ermöglichen. Zusätzliche Informationen finden Sie in den Produktbenutzungsrechten.</w:t>
      </w:r>
      <w:bookmarkEnd w:id="1634"/>
      <w:bookmarkEnd w:id="1635"/>
      <w:bookmarkEnd w:id="1636"/>
    </w:p>
    <w:p w:rsidR="00F745E1" w:rsidRPr="00C83DF5" w:rsidRDefault="00A560B6" w:rsidP="00F745E1">
      <w:pPr>
        <w:pStyle w:val="Heading3"/>
        <w:ind w:left="360" w:hanging="360"/>
        <w:rPr>
          <w:lang w:val="de-DE"/>
        </w:rPr>
      </w:pPr>
      <w:bookmarkStart w:id="1639" w:name="_114_Windows_Server"/>
      <w:bookmarkStart w:id="1640" w:name="_112_Windows_Server"/>
      <w:bookmarkStart w:id="1641" w:name="_Toc336338373"/>
      <w:bookmarkStart w:id="1642" w:name="Srv_111WinSvr08R2Datacenter"/>
      <w:bookmarkStart w:id="1643" w:name="Srv_115WinSvr08R2Datacenter"/>
      <w:bookmarkStart w:id="1644" w:name="_Toc370983479"/>
      <w:bookmarkEnd w:id="1639"/>
      <w:bookmarkEnd w:id="1640"/>
      <w:r w:rsidRPr="00C83DF5">
        <w:rPr>
          <w:rFonts w:ascii="Tahoma" w:hAnsi="Tahoma"/>
          <w:caps/>
          <w:color w:val="F66400"/>
          <w:sz w:val="22"/>
          <w:vertAlign w:val="superscript"/>
          <w:lang w:val="de-DE"/>
        </w:rPr>
        <w:lastRenderedPageBreak/>
        <w:t>111</w:t>
      </w:r>
      <w:r w:rsidRPr="0083461F">
        <w:rPr>
          <w:rFonts w:ascii="Tahoma" w:hAnsi="Tahoma"/>
          <w:caps/>
          <w:color w:val="F66400"/>
          <w:sz w:val="22"/>
          <w:lang w:val="de-DE"/>
        </w:rPr>
        <w:t xml:space="preserve"> </w:t>
      </w:r>
      <w:r w:rsidRPr="00C83DF5">
        <w:rPr>
          <w:rFonts w:ascii="Tahoma" w:hAnsi="Tahoma"/>
          <w:color w:val="F66400"/>
          <w:sz w:val="22"/>
          <w:lang w:val="de-DE"/>
        </w:rPr>
        <w:t>Windows Server 2012 R2 Datacenter</w:t>
      </w:r>
      <w:bookmarkEnd w:id="1641"/>
      <w:bookmarkEnd w:id="1644"/>
      <w:r w:rsidRPr="00C83DF5">
        <w:rPr>
          <w:rFonts w:ascii="Tahoma" w:hAnsi="Tahoma"/>
          <w:color w:val="F66400"/>
          <w:sz w:val="22"/>
          <w:lang w:val="de-DE"/>
        </w:rPr>
        <w:t xml:space="preserve"> </w:t>
      </w:r>
    </w:p>
    <w:bookmarkEnd w:id="1642"/>
    <w:bookmarkEnd w:id="1643"/>
    <w:p w:rsidR="00A83EBB" w:rsidRPr="00C83DF5" w:rsidRDefault="00A83EBB" w:rsidP="0083461F">
      <w:pPr>
        <w:spacing w:afterLines="60" w:after="144"/>
        <w:ind w:left="720"/>
        <w:rPr>
          <w:lang w:val="de-DE"/>
        </w:rPr>
      </w:pPr>
      <w:r w:rsidRPr="00C83DF5">
        <w:rPr>
          <w:color w:val="000000"/>
          <w:lang w:val="de-DE"/>
        </w:rPr>
        <w:t>Windows Server 2012 R2 Datacenter ist die nächste Version von Windows Server 2012 Datacenter. Jede</w:t>
      </w:r>
      <w:r w:rsidR="0083461F">
        <w:rPr>
          <w:color w:val="000000"/>
          <w:lang w:val="de-DE"/>
        </w:rPr>
        <w:t> </w:t>
      </w:r>
      <w:r w:rsidRPr="00C83DF5">
        <w:rPr>
          <w:color w:val="000000"/>
          <w:lang w:val="de-DE"/>
        </w:rPr>
        <w:t xml:space="preserve">Lizenz für Windows Server 2012 R2 Datacenter deckt bis zu zwei physische Prozessoren ab. </w:t>
      </w:r>
    </w:p>
    <w:p w:rsidR="00A83EBB" w:rsidRPr="00C83DF5" w:rsidRDefault="00A83EBB" w:rsidP="00DE02E2">
      <w:pPr>
        <w:numPr>
          <w:ilvl w:val="0"/>
          <w:numId w:val="52"/>
        </w:numPr>
        <w:spacing w:afterLines="60" w:after="144"/>
        <w:ind w:left="1440" w:hanging="274"/>
        <w:rPr>
          <w:lang w:val="de-DE"/>
        </w:rPr>
      </w:pPr>
      <w:r w:rsidRPr="00C83DF5">
        <w:rPr>
          <w:rFonts w:eastAsia="Calibri" w:cs="Tahoma"/>
          <w:szCs w:val="18"/>
          <w:lang w:val="de-DE"/>
        </w:rPr>
        <w:t>Kunden mit CALs für Windows Server 2012 können diese für Windows Server 2012 R2 Datacenter verwenden.</w:t>
      </w:r>
    </w:p>
    <w:p w:rsidR="00A83EBB" w:rsidRPr="00C83DF5" w:rsidRDefault="00A83EBB" w:rsidP="004F2A4E">
      <w:pPr>
        <w:numPr>
          <w:ilvl w:val="0"/>
          <w:numId w:val="52"/>
        </w:numPr>
        <w:ind w:left="1440" w:hanging="274"/>
      </w:pPr>
      <w:r w:rsidRPr="00C83DF5">
        <w:rPr>
          <w:color w:val="000000"/>
          <w:lang w:val="de-DE"/>
        </w:rPr>
        <w:t>Windows Server 2008 R2 Datacenter-Kunden, die am 1. September 2012 über Software Assurance für Windows Server Datacenter verfügten, sind möglicherweise berechtigt, unter speziellen Bestimmungen auf die Version 2012 upzugraden</w:t>
      </w:r>
      <w:r w:rsidRPr="00C83DF5">
        <w:rPr>
          <w:rFonts w:eastAsia="Calibri" w:cs="Tahoma"/>
          <w:szCs w:val="18"/>
          <w:lang w:val="de-DE"/>
        </w:rPr>
        <w:t>.</w:t>
      </w:r>
      <w:r w:rsidR="00E71F46" w:rsidRPr="00C83DF5">
        <w:rPr>
          <w:rFonts w:eastAsia="Calibri" w:cs="Tahoma"/>
          <w:szCs w:val="18"/>
          <w:lang w:val="de-DE"/>
        </w:rPr>
        <w:t xml:space="preserve"> </w:t>
      </w:r>
      <w:r w:rsidRPr="00C83DF5">
        <w:rPr>
          <w:rFonts w:eastAsia="Calibri" w:cs="Tahoma"/>
          <w:szCs w:val="18"/>
        </w:rPr>
        <w:t xml:space="preserve">Nähere Informationen finden Sie in der Produktliste von Oktober 2013. </w:t>
      </w:r>
    </w:p>
    <w:p w:rsidR="00BF7C75" w:rsidRPr="00C83DF5" w:rsidRDefault="00BF7C75" w:rsidP="0083461F">
      <w:pPr>
        <w:tabs>
          <w:tab w:val="left" w:pos="360"/>
        </w:tabs>
        <w:ind w:left="360"/>
      </w:pPr>
    </w:p>
    <w:p w:rsidR="002A01C2" w:rsidRPr="00C83DF5" w:rsidRDefault="002A01C2" w:rsidP="0083461F">
      <w:pPr>
        <w:tabs>
          <w:tab w:val="left" w:pos="360"/>
        </w:tabs>
        <w:ind w:left="360"/>
      </w:pPr>
    </w:p>
    <w:p w:rsidR="00F745E1" w:rsidRPr="00C83DF5" w:rsidRDefault="00A560B6" w:rsidP="00F745E1">
      <w:pPr>
        <w:pStyle w:val="Heading3"/>
      </w:pPr>
      <w:bookmarkStart w:id="1645" w:name="_118_Windows_Server"/>
      <w:bookmarkStart w:id="1646" w:name="_110_Windows_Server"/>
      <w:bookmarkStart w:id="1647" w:name="_113_Windows_Server"/>
      <w:bookmarkStart w:id="1648" w:name="_Toc336338374"/>
      <w:bookmarkStart w:id="1649" w:name="Srv_102WindowsSvr08R2Std"/>
      <w:bookmarkStart w:id="1650" w:name="Srv_114WindowsSvr08R2Std"/>
      <w:bookmarkStart w:id="1651" w:name="Srv_118WindowsSvr08R2Std"/>
      <w:bookmarkStart w:id="1652" w:name="Srv_99WindowsSvr08R2ItaniumSys"/>
      <w:bookmarkStart w:id="1653" w:name="Srv_100WindowsSvr08R2ItaniumSys"/>
      <w:bookmarkStart w:id="1654" w:name="_Toc370983480"/>
      <w:bookmarkEnd w:id="1645"/>
      <w:bookmarkEnd w:id="1646"/>
      <w:bookmarkEnd w:id="1647"/>
      <w:r w:rsidRPr="00C83DF5">
        <w:rPr>
          <w:rStyle w:val="Heading3Char"/>
          <w:rFonts w:ascii="Tahoma" w:hAnsi="Tahoma"/>
          <w:b/>
          <w:caps/>
          <w:color w:val="F66400"/>
          <w:sz w:val="22"/>
          <w:vertAlign w:val="superscript"/>
        </w:rPr>
        <w:t>112</w:t>
      </w:r>
      <w:r w:rsidRPr="0083461F">
        <w:rPr>
          <w:rStyle w:val="Heading3Char"/>
          <w:rFonts w:ascii="Tahoma" w:hAnsi="Tahoma"/>
          <w:b/>
          <w:caps/>
          <w:color w:val="F66400"/>
          <w:sz w:val="22"/>
        </w:rPr>
        <w:t xml:space="preserve"> </w:t>
      </w:r>
      <w:r w:rsidRPr="00C83DF5">
        <w:rPr>
          <w:rStyle w:val="Heading3Char"/>
          <w:rFonts w:ascii="Tahoma" w:hAnsi="Tahoma"/>
          <w:b/>
          <w:color w:val="F66400"/>
          <w:sz w:val="22"/>
        </w:rPr>
        <w:t>Windows Server 2012 R2 Standard</w:t>
      </w:r>
      <w:bookmarkEnd w:id="1648"/>
      <w:bookmarkEnd w:id="1654"/>
      <w:r w:rsidRPr="00C83DF5">
        <w:rPr>
          <w:rStyle w:val="Heading3Char"/>
          <w:rFonts w:ascii="Tahoma" w:hAnsi="Tahoma"/>
          <w:b/>
          <w:color w:val="F66400"/>
          <w:sz w:val="22"/>
        </w:rPr>
        <w:t xml:space="preserve"> </w:t>
      </w:r>
    </w:p>
    <w:bookmarkEnd w:id="1649"/>
    <w:bookmarkEnd w:id="1650"/>
    <w:bookmarkEnd w:id="1651"/>
    <w:p w:rsidR="00376D4B" w:rsidRPr="00C83DF5" w:rsidRDefault="00376D4B" w:rsidP="002A01C2">
      <w:pPr>
        <w:tabs>
          <w:tab w:val="left" w:pos="360"/>
        </w:tabs>
        <w:ind w:left="360"/>
      </w:pPr>
    </w:p>
    <w:p w:rsidR="00A83EBB" w:rsidRPr="00C83DF5" w:rsidRDefault="00A83EBB" w:rsidP="00DE02E2">
      <w:pPr>
        <w:numPr>
          <w:ilvl w:val="0"/>
          <w:numId w:val="52"/>
        </w:numPr>
        <w:spacing w:afterLines="60" w:after="144"/>
        <w:ind w:left="1440" w:hanging="274"/>
        <w:rPr>
          <w:lang w:val="de-DE"/>
        </w:rPr>
      </w:pPr>
      <w:r w:rsidRPr="00C83DF5">
        <w:rPr>
          <w:rFonts w:eastAsia="Calibri" w:cs="Tahoma"/>
          <w:szCs w:val="18"/>
          <w:lang w:val="de-DE"/>
        </w:rPr>
        <w:t>Windows Server 2012 R2 Standard ist die nächste Version von Windows Server 2012 Standard.</w:t>
      </w:r>
    </w:p>
    <w:p w:rsidR="00A83EBB" w:rsidRPr="00C83DF5" w:rsidRDefault="00A83EBB" w:rsidP="00DE02E2">
      <w:pPr>
        <w:numPr>
          <w:ilvl w:val="0"/>
          <w:numId w:val="52"/>
        </w:numPr>
        <w:spacing w:afterLines="60" w:after="144"/>
        <w:ind w:left="1440" w:hanging="274"/>
        <w:rPr>
          <w:lang w:val="de-DE"/>
        </w:rPr>
      </w:pPr>
      <w:r w:rsidRPr="00C83DF5">
        <w:rPr>
          <w:rFonts w:eastAsia="Calibri" w:cs="Tahoma"/>
          <w:szCs w:val="18"/>
          <w:lang w:val="de-DE"/>
        </w:rPr>
        <w:t>Kunden mit einer CAL für Windows Server 2012 können diese für Windows Server 2012 R2 Standard verwenden.</w:t>
      </w:r>
    </w:p>
    <w:p w:rsidR="00A83EBB" w:rsidRPr="00C83DF5" w:rsidRDefault="00A83EBB" w:rsidP="004F2A4E">
      <w:pPr>
        <w:numPr>
          <w:ilvl w:val="0"/>
          <w:numId w:val="52"/>
        </w:numPr>
        <w:ind w:left="1440" w:hanging="274"/>
      </w:pPr>
      <w:r w:rsidRPr="00C83DF5">
        <w:rPr>
          <w:color w:val="000000"/>
          <w:lang w:val="de-DE"/>
        </w:rPr>
        <w:t>Windows Server 2008 R2 Standard-Kunden, die am 1. September 2012 über Software Assurance für Windows Server Standard verfügten, sind möglicherweise berechtigt, unter speziellen Bestimmungen auf die Version 2012 upzugraden</w:t>
      </w:r>
      <w:r w:rsidRPr="00C83DF5">
        <w:rPr>
          <w:rFonts w:eastAsia="Calibri" w:cs="Tahoma"/>
          <w:szCs w:val="18"/>
          <w:lang w:val="de-DE"/>
        </w:rPr>
        <w:t>.</w:t>
      </w:r>
      <w:r w:rsidR="00E71F46" w:rsidRPr="00C83DF5">
        <w:rPr>
          <w:rFonts w:eastAsia="Calibri" w:cs="Tahoma"/>
          <w:szCs w:val="18"/>
          <w:lang w:val="de-DE"/>
        </w:rPr>
        <w:t xml:space="preserve"> </w:t>
      </w:r>
      <w:r w:rsidRPr="00C83DF5">
        <w:rPr>
          <w:rFonts w:eastAsia="Calibri" w:cs="Tahoma"/>
          <w:szCs w:val="18"/>
        </w:rPr>
        <w:t>Nähere Informationen finden Sie in der Produktliste von Oktober 2013.</w:t>
      </w:r>
    </w:p>
    <w:p w:rsidR="00816F76" w:rsidRPr="00C83DF5" w:rsidRDefault="00A83EBB" w:rsidP="009767D2">
      <w:pPr>
        <w:tabs>
          <w:tab w:val="left" w:pos="360"/>
        </w:tabs>
        <w:ind w:left="360"/>
      </w:pPr>
      <w:r w:rsidRPr="00C83DF5">
        <w:rPr>
          <w:b/>
          <w:color w:val="000000"/>
        </w:rPr>
        <w:t xml:space="preserve"> </w:t>
      </w:r>
      <w:bookmarkStart w:id="1655" w:name="_119_Windows_Web"/>
      <w:bookmarkStart w:id="1656" w:name="_111_Windows_Web"/>
      <w:bookmarkStart w:id="1657" w:name="_114_Windows_Web"/>
      <w:bookmarkStart w:id="1658" w:name="Srv_111WinSmallBizSVR2011Addon"/>
      <w:bookmarkStart w:id="1659" w:name="Srv_116WinSmallBizSVR2011Addon"/>
      <w:bookmarkStart w:id="1660" w:name="Srv_120WinSmallBizSVR2011Addon"/>
      <w:bookmarkEnd w:id="1637"/>
      <w:bookmarkEnd w:id="1652"/>
      <w:bookmarkEnd w:id="1653"/>
      <w:bookmarkEnd w:id="1655"/>
      <w:bookmarkEnd w:id="1656"/>
      <w:bookmarkEnd w:id="1657"/>
    </w:p>
    <w:p w:rsidR="002512D3" w:rsidRPr="00C83DF5" w:rsidRDefault="002512D3" w:rsidP="009767D2">
      <w:pPr>
        <w:tabs>
          <w:tab w:val="left" w:pos="360"/>
        </w:tabs>
        <w:ind w:left="360"/>
      </w:pPr>
      <w:bookmarkStart w:id="1661" w:name="_Toc336338376"/>
    </w:p>
    <w:p w:rsidR="00532ABF" w:rsidRPr="00C83DF5" w:rsidRDefault="00A560B6" w:rsidP="007B35CE">
      <w:pPr>
        <w:pStyle w:val="Heading2"/>
        <w:keepNext/>
        <w:ind w:hanging="720"/>
      </w:pPr>
      <w:bookmarkStart w:id="1662" w:name="_112_Windows_Small_1"/>
      <w:bookmarkStart w:id="1663" w:name="_115_Windows_Small"/>
      <w:bookmarkStart w:id="1664" w:name="_113_Windows_Small"/>
      <w:bookmarkStart w:id="1665" w:name="_Toc370983481"/>
      <w:bookmarkEnd w:id="1662"/>
      <w:bookmarkEnd w:id="1663"/>
      <w:bookmarkEnd w:id="1664"/>
      <w:r w:rsidRPr="00C83DF5">
        <w:rPr>
          <w:rFonts w:ascii="Tahoma" w:hAnsi="Tahoma" w:cs="Tahoma"/>
          <w:caps/>
          <w:color w:val="F8701C"/>
          <w:sz w:val="22"/>
          <w:szCs w:val="22"/>
          <w:vertAlign w:val="superscript"/>
        </w:rPr>
        <w:t>113</w:t>
      </w:r>
      <w:r w:rsidRPr="00C83DF5">
        <w:rPr>
          <w:rFonts w:ascii="Tahoma" w:hAnsi="Tahoma" w:cs="Tahoma"/>
          <w:color w:val="F8701C"/>
          <w:sz w:val="22"/>
          <w:szCs w:val="22"/>
        </w:rPr>
        <w:t xml:space="preserve"> Windows Small Business Server (SBS) 2008 Premium</w:t>
      </w:r>
      <w:bookmarkEnd w:id="1661"/>
      <w:bookmarkEnd w:id="1665"/>
    </w:p>
    <w:bookmarkEnd w:id="1658"/>
    <w:bookmarkEnd w:id="1659"/>
    <w:bookmarkEnd w:id="1660"/>
    <w:p w:rsidR="00515A83" w:rsidRPr="00C83DF5" w:rsidRDefault="00515A83" w:rsidP="007B35CE">
      <w:pPr>
        <w:keepNext/>
        <w:ind w:left="907"/>
      </w:pPr>
    </w:p>
    <w:p w:rsidR="00532ABF" w:rsidRPr="00C83DF5" w:rsidRDefault="00532ABF" w:rsidP="00376D4B">
      <w:pPr>
        <w:ind w:left="720"/>
        <w:rPr>
          <w:lang w:val="de-DE"/>
        </w:rPr>
      </w:pPr>
      <w:r w:rsidRPr="00C83DF5">
        <w:rPr>
          <w:lang w:val="de-DE"/>
        </w:rPr>
        <w:t>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E71F46" w:rsidRPr="00C83DF5">
        <w:rPr>
          <w:lang w:val="de-DE"/>
        </w:rPr>
        <w:t xml:space="preserve"> </w:t>
      </w:r>
      <w:r w:rsidRPr="00C83DF5">
        <w:rPr>
          <w:lang w:val="de-DE"/>
        </w:rPr>
        <w:t>Für jede qualifizierende SBS 2008 Premium-Lizenz, die ein Kunde ab dem 1. Januar 2011 besitzt, erhält der Kunde eine Lizenz für jede SBS 2011 Standard und SBS 2011 Premium Add-On mit aktiver Software Assurance.</w:t>
      </w:r>
      <w:r w:rsidR="00E71F46" w:rsidRPr="00C83DF5">
        <w:rPr>
          <w:lang w:val="de-DE"/>
        </w:rPr>
        <w:t xml:space="preserve"> </w:t>
      </w:r>
    </w:p>
    <w:p w:rsidR="00532ABF" w:rsidRPr="00C83DF5" w:rsidRDefault="00532ABF" w:rsidP="00376D4B">
      <w:pPr>
        <w:ind w:left="720"/>
        <w:rPr>
          <w:lang w:val="de-DE"/>
        </w:rPr>
      </w:pPr>
    </w:p>
    <w:p w:rsidR="00532ABF" w:rsidRPr="00C83DF5" w:rsidRDefault="00532ABF" w:rsidP="00376D4B">
      <w:pPr>
        <w:ind w:left="720"/>
        <w:rPr>
          <w:lang w:val="de-DE"/>
        </w:rPr>
      </w:pPr>
      <w:r w:rsidRPr="00C83DF5">
        <w:rPr>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E71F46" w:rsidRPr="00C83DF5">
        <w:rPr>
          <w:lang w:val="de-DE"/>
        </w:rPr>
        <w:t xml:space="preserve"> </w:t>
      </w:r>
      <w:r w:rsidRPr="00C83DF5">
        <w:rPr>
          <w:lang w:val="de-DE"/>
        </w:rPr>
        <w:t xml:space="preserve">Für jede qualifizierende SBS 2008 CAL Suite für Premium-Nutzer und -Geräte, die ein Kunde ab dem 1. Januar 2011 besitzt, erhält der Kunde SBS 2011 CAL Suite und eine SBS 2011 Premium Add-On CAL Suite mit Software Assurance. </w:t>
      </w:r>
    </w:p>
    <w:p w:rsidR="00532ABF" w:rsidRPr="00C83DF5" w:rsidRDefault="00532ABF" w:rsidP="00376D4B">
      <w:pPr>
        <w:ind w:left="720"/>
        <w:rPr>
          <w:lang w:val="de-DE"/>
        </w:rPr>
      </w:pPr>
    </w:p>
    <w:p w:rsidR="00532ABF" w:rsidRPr="00C83DF5" w:rsidRDefault="00532ABF" w:rsidP="009767D2">
      <w:pPr>
        <w:ind w:left="720"/>
        <w:rPr>
          <w:lang w:val="de-DE"/>
        </w:rPr>
      </w:pPr>
      <w:r w:rsidRPr="00C83DF5">
        <w:rPr>
          <w:lang w:val="de-DE"/>
        </w:rPr>
        <w:t>Das Recht zur Verwendung der Software unter diesem Angebot gilt bis zum Ablauf des Rechts zur Verwendung der Software unter den qualifizierenden Lizenzen.</w:t>
      </w:r>
      <w:r w:rsidR="00E71F46" w:rsidRPr="00C83DF5">
        <w:rPr>
          <w:lang w:val="de-DE"/>
        </w:rPr>
        <w:t xml:space="preserve"> </w:t>
      </w:r>
      <w:r w:rsidRPr="00C83DF5">
        <w:rPr>
          <w:lang w:val="de-DE"/>
        </w:rPr>
        <w:t>Die Verwendung von Software unter diesem</w:t>
      </w:r>
      <w:r w:rsidR="009767D2">
        <w:rPr>
          <w:lang w:val="de-DE"/>
        </w:rPr>
        <w:t> </w:t>
      </w:r>
      <w:r w:rsidRPr="00C83DF5">
        <w:rPr>
          <w:lang w:val="de-DE"/>
        </w:rPr>
        <w:t>Angebot durch einen Kunden unterliegt den Bestimmungen des Volumenlizenzvertrages des Kunden,</w:t>
      </w:r>
      <w:r w:rsidR="009767D2">
        <w:rPr>
          <w:lang w:val="de-DE"/>
        </w:rPr>
        <w:t> </w:t>
      </w:r>
      <w:r w:rsidRPr="00C83DF5">
        <w:rPr>
          <w:lang w:val="de-DE"/>
        </w:rPr>
        <w:t>den Produktbenutzungsrechten für SBS 2011 Standard und SBS 2011 Premium Add-On sowie diesen Bestimmungen.</w:t>
      </w:r>
      <w:r w:rsidR="00E71F46" w:rsidRPr="00C83DF5">
        <w:rPr>
          <w:lang w:val="de-DE"/>
        </w:rPr>
        <w:t xml:space="preserve"> </w:t>
      </w:r>
      <w:r w:rsidRPr="00C83DF5">
        <w:rPr>
          <w:lang w:val="de-DE"/>
        </w:rPr>
        <w:t>Dieser Hinweis auf die Produktbedingungen belegt gemeinsam mit dem Nachweis der qualifizierenden Lizenzen die unter diesem Angebot gewährten Rechte.</w:t>
      </w:r>
      <w:r w:rsidR="00E71F46" w:rsidRPr="00C83DF5">
        <w:rPr>
          <w:lang w:val="de-DE"/>
        </w:rPr>
        <w:t xml:space="preserve"> </w:t>
      </w:r>
      <w:r w:rsidRPr="00C83DF5">
        <w:rPr>
          <w:lang w:val="de-DE"/>
        </w:rPr>
        <w:t>Bei Ablauf von Software Assurance für die qualifizierende Lizenz ist der Kunde berechtigt, Software Assurance für die SBS Premium</w:t>
      </w:r>
      <w:r w:rsidR="009767D2">
        <w:rPr>
          <w:lang w:val="de-DE"/>
        </w:rPr>
        <w:t> </w:t>
      </w:r>
      <w:r w:rsidRPr="00C83DF5">
        <w:rPr>
          <w:lang w:val="de-DE"/>
        </w:rPr>
        <w:t>Add-On-Lizenzen und CAL Suites zu verlängern.</w:t>
      </w:r>
    </w:p>
    <w:p w:rsidR="00296B89" w:rsidRPr="00DF3F89" w:rsidRDefault="00296B89" w:rsidP="009767D2">
      <w:pPr>
        <w:tabs>
          <w:tab w:val="left" w:pos="360"/>
        </w:tabs>
        <w:ind w:left="360"/>
        <w:rPr>
          <w:lang w:val="de-DE"/>
        </w:rPr>
      </w:pPr>
    </w:p>
    <w:p w:rsidR="00D16723" w:rsidRPr="00DF3F89" w:rsidRDefault="00D16723" w:rsidP="009767D2">
      <w:pPr>
        <w:tabs>
          <w:tab w:val="left" w:pos="360"/>
        </w:tabs>
        <w:ind w:left="360"/>
        <w:rPr>
          <w:lang w:val="de-DE"/>
        </w:rPr>
      </w:pPr>
      <w:bookmarkStart w:id="1666" w:name="_119_Windows_Small"/>
      <w:bookmarkStart w:id="1667" w:name="_100_SBS_2008"/>
      <w:bookmarkStart w:id="1668" w:name="_101_SBS_2008"/>
      <w:bookmarkStart w:id="1669" w:name="_105_SBS_2008"/>
      <w:bookmarkStart w:id="1670" w:name="_125_Windows_Web"/>
      <w:bookmarkEnd w:id="1666"/>
      <w:bookmarkEnd w:id="1667"/>
      <w:bookmarkEnd w:id="1668"/>
      <w:bookmarkEnd w:id="1669"/>
      <w:bookmarkEnd w:id="1670"/>
    </w:p>
    <w:p w:rsidR="00AE1034" w:rsidRPr="00DF3F89" w:rsidRDefault="00AE1034" w:rsidP="009767D2">
      <w:pPr>
        <w:tabs>
          <w:tab w:val="left" w:pos="360"/>
        </w:tabs>
        <w:ind w:left="360"/>
        <w:rPr>
          <w:lang w:val="de-DE"/>
        </w:rPr>
      </w:pPr>
    </w:p>
    <w:p w:rsidR="00AE1034" w:rsidRPr="00DF3F89" w:rsidRDefault="00AE1034" w:rsidP="009767D2">
      <w:pPr>
        <w:tabs>
          <w:tab w:val="left" w:pos="360"/>
        </w:tabs>
        <w:ind w:left="360"/>
        <w:rPr>
          <w:lang w:val="de-DE"/>
        </w:rPr>
      </w:pPr>
    </w:p>
    <w:p w:rsidR="00AE1034" w:rsidRPr="00DF3F89" w:rsidRDefault="00AE1034" w:rsidP="009767D2">
      <w:pPr>
        <w:tabs>
          <w:tab w:val="left" w:pos="360"/>
        </w:tabs>
        <w:ind w:left="360"/>
        <w:rPr>
          <w:lang w:val="de-DE"/>
        </w:rPr>
      </w:pPr>
    </w:p>
    <w:p w:rsidR="00AE1034" w:rsidRPr="00DF3F89" w:rsidRDefault="00AE1034" w:rsidP="009767D2">
      <w:pPr>
        <w:tabs>
          <w:tab w:val="left" w:pos="360"/>
        </w:tabs>
        <w:ind w:left="360"/>
        <w:rPr>
          <w:lang w:val="de-DE"/>
        </w:rPr>
      </w:pPr>
    </w:p>
    <w:p w:rsidR="00AE1034" w:rsidRPr="00DF3F89" w:rsidRDefault="00AE1034" w:rsidP="009767D2">
      <w:pPr>
        <w:tabs>
          <w:tab w:val="left" w:pos="360"/>
        </w:tabs>
        <w:ind w:left="360"/>
        <w:rPr>
          <w:lang w:val="de-DE"/>
        </w:rPr>
      </w:pPr>
    </w:p>
    <w:p w:rsidR="00AE1034" w:rsidRPr="00DF3F89" w:rsidRDefault="00AE1034" w:rsidP="009767D2">
      <w:pPr>
        <w:tabs>
          <w:tab w:val="left" w:pos="360"/>
        </w:tabs>
        <w:ind w:left="360"/>
        <w:rPr>
          <w:lang w:val="de-DE"/>
        </w:rPr>
      </w:pPr>
    </w:p>
    <w:p w:rsidR="00AE1034" w:rsidRPr="00DF3F89" w:rsidRDefault="00AE1034" w:rsidP="009767D2">
      <w:pPr>
        <w:tabs>
          <w:tab w:val="left" w:pos="360"/>
        </w:tabs>
        <w:ind w:left="360"/>
        <w:rPr>
          <w:lang w:val="de-DE"/>
        </w:rPr>
      </w:pPr>
    </w:p>
    <w:p w:rsidR="00AE1034" w:rsidRPr="00DF3F89" w:rsidRDefault="00AE1034" w:rsidP="009767D2">
      <w:pPr>
        <w:tabs>
          <w:tab w:val="left" w:pos="360"/>
        </w:tabs>
        <w:ind w:left="360"/>
        <w:rPr>
          <w:lang w:val="de-DE"/>
        </w:rPr>
      </w:pPr>
    </w:p>
    <w:p w:rsidR="00C066B5" w:rsidRPr="00C83DF5" w:rsidRDefault="00C066B5" w:rsidP="00C066B5">
      <w:pPr>
        <w:pStyle w:val="Heading3"/>
        <w:rPr>
          <w:lang w:val="de-DE"/>
        </w:rPr>
      </w:pPr>
      <w:bookmarkStart w:id="1671" w:name="_114_Windows_Small_1"/>
      <w:bookmarkStart w:id="1672" w:name="_Toc336338377"/>
      <w:bookmarkStart w:id="1673" w:name="_Toc357669625"/>
      <w:bookmarkStart w:id="1674" w:name="Srv_117WinSmallBizSVR2011Addon"/>
      <w:bookmarkStart w:id="1675" w:name="Srv_121WinSmallBizSVR2011Addon"/>
      <w:bookmarkStart w:id="1676" w:name="_Toc370983482"/>
      <w:bookmarkEnd w:id="1671"/>
      <w:r w:rsidRPr="00C83DF5">
        <w:rPr>
          <w:rFonts w:ascii="Tahoma" w:hAnsi="Tahoma" w:cs="Tahoma"/>
          <w:caps/>
          <w:color w:val="FF6D09"/>
          <w:sz w:val="22"/>
          <w:vertAlign w:val="superscript"/>
          <w:lang w:val="de-DE"/>
        </w:rPr>
        <w:lastRenderedPageBreak/>
        <w:t>114</w:t>
      </w:r>
      <w:r w:rsidRPr="00C83DF5">
        <w:rPr>
          <w:rFonts w:ascii="Tahoma" w:hAnsi="Tahoma" w:cs="Tahoma"/>
          <w:color w:val="FF6D09"/>
          <w:sz w:val="22"/>
          <w:lang w:val="de-DE"/>
        </w:rPr>
        <w:t xml:space="preserve"> Windows Small Business Server (2011) Standard</w:t>
      </w:r>
      <w:bookmarkEnd w:id="1672"/>
      <w:bookmarkEnd w:id="1673"/>
      <w:bookmarkEnd w:id="1676"/>
    </w:p>
    <w:bookmarkEnd w:id="1674"/>
    <w:bookmarkEnd w:id="1675"/>
    <w:p w:rsidR="00C066B5" w:rsidRPr="00C83DF5" w:rsidRDefault="00C066B5" w:rsidP="00C066B5">
      <w:pPr>
        <w:ind w:left="900"/>
        <w:rPr>
          <w:lang w:val="de-DE"/>
        </w:rPr>
      </w:pPr>
    </w:p>
    <w:p w:rsidR="00C066B5" w:rsidRPr="00C83DF5" w:rsidRDefault="00C066B5" w:rsidP="00C066B5">
      <w:pPr>
        <w:spacing w:after="60"/>
        <w:ind w:left="720"/>
        <w:rPr>
          <w:lang w:val="de-DE"/>
        </w:rPr>
      </w:pPr>
      <w:r w:rsidRPr="00C83DF5">
        <w:rPr>
          <w:b/>
          <w:color w:val="000000"/>
          <w:lang w:val="de-DE"/>
        </w:rPr>
        <w:t>Lizenzgewährungen im Zusammenhang mit dem Ende der Lebensdauer von SBS 2011 Standard</w:t>
      </w:r>
    </w:p>
    <w:p w:rsidR="00C066B5" w:rsidRPr="00C83DF5" w:rsidRDefault="00C066B5" w:rsidP="00AE1034">
      <w:pPr>
        <w:ind w:left="720"/>
        <w:rPr>
          <w:lang w:val="de-DE"/>
        </w:rPr>
      </w:pPr>
      <w:r w:rsidRPr="00C83DF5">
        <w:rPr>
          <w:color w:val="000000"/>
          <w:lang w:val="de-DE"/>
        </w:rPr>
        <w:t xml:space="preserve">SBS 2011 Standard ist die letzte Version von SBS Standard. Volumenlizenzkunden, die über aktive Software Assurance für SBS 2011 Standard-Lizenzen verfügen („Qualifizierende Lizenzen“), sind berechtigt, Windows Server Standard und Exchange Server Standard anstelle von SBS 2011 zu </w:t>
      </w:r>
      <w:r w:rsidRPr="00C83DF5">
        <w:rPr>
          <w:rFonts w:eastAsia="Calibri" w:cs="Tahoma"/>
          <w:szCs w:val="18"/>
          <w:lang w:val="de-DE"/>
        </w:rPr>
        <w:t>verwenden. Um diese Nutzung zu</w:t>
      </w:r>
      <w:r w:rsidR="00AE1034">
        <w:rPr>
          <w:rFonts w:eastAsia="Calibri" w:cs="Tahoma"/>
          <w:szCs w:val="18"/>
          <w:lang w:val="de-DE"/>
        </w:rPr>
        <w:t> </w:t>
      </w:r>
      <w:r w:rsidRPr="00C83DF5">
        <w:rPr>
          <w:rFonts w:eastAsia="Calibri" w:cs="Tahoma"/>
          <w:szCs w:val="18"/>
          <w:lang w:val="de-DE"/>
        </w:rPr>
        <w:t xml:space="preserve">erleichtern, wird angenommen, dass dem Kunden für jede Qualifizierende Lizenz, die der Kunde besitzt, jeweils zwei Lizenzen für Windows Server Standard und eine Lizenz für Exchange Server 2010 Standard entsprechend der nachstehenden Tabelle gewährt wird. </w:t>
      </w:r>
    </w:p>
    <w:p w:rsidR="00C066B5" w:rsidRPr="00C83DF5" w:rsidRDefault="00C066B5" w:rsidP="00C066B5">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C83DF5"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C83DF5" w:rsidRDefault="00C066B5" w:rsidP="00FC0808">
            <w:pPr>
              <w:spacing w:after="200" w:line="276" w:lineRule="auto"/>
              <w:rPr>
                <w:rFonts w:eastAsia="Calibri" w:cs="Tahoma"/>
                <w:szCs w:val="18"/>
              </w:rPr>
            </w:pPr>
            <w:r w:rsidRPr="00C83DF5">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C83DF5" w:rsidRDefault="00C066B5" w:rsidP="00FC0808">
            <w:pPr>
              <w:spacing w:after="200" w:line="276" w:lineRule="auto"/>
              <w:rPr>
                <w:rFonts w:eastAsia="Calibri" w:cs="Tahoma"/>
                <w:szCs w:val="18"/>
              </w:rPr>
            </w:pPr>
            <w:r w:rsidRPr="00C83DF5">
              <w:rPr>
                <w:b/>
                <w:color w:val="000000"/>
              </w:rPr>
              <w:t>Lizenzgewährung</w:t>
            </w:r>
          </w:p>
        </w:tc>
      </w:tr>
      <w:tr w:rsidR="00C066B5" w:rsidRPr="004D388E"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AE1034" w:rsidRDefault="00C066B5" w:rsidP="00AE1034">
            <w:pPr>
              <w:spacing w:line="276" w:lineRule="auto"/>
              <w:rPr>
                <w:rFonts w:eastAsia="Calibri" w:cs="Tahoma"/>
                <w:szCs w:val="18"/>
                <w:lang w:val="de-DE"/>
              </w:rPr>
            </w:pPr>
            <w:r w:rsidRPr="00C83DF5">
              <w:rPr>
                <w:rFonts w:eastAsia="Calibri" w:cs="Tahoma"/>
                <w:szCs w:val="18"/>
                <w:lang w:val="de-DE"/>
              </w:rPr>
              <w:t>SBS 2011 Standard mit Software Assurance bis</w:t>
            </w:r>
            <w:r w:rsidR="00AE1034">
              <w:rPr>
                <w:rFonts w:eastAsia="Calibri" w:cs="Tahoma"/>
                <w:szCs w:val="18"/>
                <w:lang w:val="de-DE"/>
              </w:rPr>
              <w:t> </w:t>
            </w:r>
            <w:r w:rsidRPr="00C83DF5">
              <w:rPr>
                <w:rFonts w:eastAsia="Calibri" w:cs="Tahoma"/>
                <w:szCs w:val="18"/>
                <w:lang w:val="de-DE"/>
              </w:rPr>
              <w:t xml:space="preserve">zum 31. </w:t>
            </w:r>
            <w:r w:rsidRPr="00AE1034">
              <w:rPr>
                <w:rFonts w:eastAsia="Calibri" w:cs="Tahoma"/>
                <w:szCs w:val="18"/>
                <w:lang w:val="de-DE"/>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C83DF5" w:rsidRDefault="00C066B5" w:rsidP="00FC0808">
            <w:pPr>
              <w:spacing w:line="276" w:lineRule="auto"/>
              <w:rPr>
                <w:lang w:val="de-DE"/>
              </w:rPr>
            </w:pPr>
            <w:r w:rsidRPr="00C83DF5">
              <w:rPr>
                <w:rFonts w:eastAsia="Calibri" w:cs="Tahoma"/>
                <w:szCs w:val="18"/>
                <w:lang w:val="de-DE"/>
              </w:rPr>
              <w:t>Zwei Lizenzen für Windows Server 2008 R2 mit Software Assurance</w:t>
            </w:r>
          </w:p>
          <w:p w:rsidR="00C066B5" w:rsidRPr="00C83DF5" w:rsidRDefault="00C066B5" w:rsidP="00FC0808">
            <w:pPr>
              <w:spacing w:line="276" w:lineRule="auto"/>
              <w:rPr>
                <w:rFonts w:eastAsia="Calibri" w:cs="Tahoma"/>
                <w:szCs w:val="18"/>
                <w:lang w:val="de-DE"/>
              </w:rPr>
            </w:pPr>
            <w:r w:rsidRPr="00C83DF5">
              <w:rPr>
                <w:rFonts w:eastAsia="Calibri" w:cs="Tahoma"/>
                <w:szCs w:val="18"/>
                <w:lang w:val="de-DE"/>
              </w:rPr>
              <w:t>Eine Lizenz für Exchange Server 2010 Standard mit Software Assurance</w:t>
            </w:r>
          </w:p>
        </w:tc>
      </w:tr>
      <w:tr w:rsidR="00C066B5" w:rsidRPr="004D388E"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D11CE9" w:rsidRDefault="00C066B5" w:rsidP="00AE1034">
            <w:pPr>
              <w:spacing w:line="276" w:lineRule="auto"/>
              <w:rPr>
                <w:rFonts w:eastAsia="Calibri" w:cs="Tahoma"/>
                <w:szCs w:val="18"/>
                <w:lang w:val="de-DE"/>
              </w:rPr>
            </w:pPr>
            <w:r w:rsidRPr="00C83DF5">
              <w:rPr>
                <w:rFonts w:eastAsia="Calibri" w:cs="Tahoma"/>
                <w:szCs w:val="18"/>
                <w:lang w:val="de-DE"/>
              </w:rPr>
              <w:t>SBS 2011 Standard mit Software Assurance ab</w:t>
            </w:r>
            <w:r w:rsidR="00AE1034">
              <w:rPr>
                <w:rFonts w:eastAsia="Calibri" w:cs="Tahoma"/>
                <w:szCs w:val="18"/>
                <w:lang w:val="de-DE"/>
              </w:rPr>
              <w:t> </w:t>
            </w:r>
            <w:r w:rsidRPr="00C83DF5">
              <w:rPr>
                <w:rFonts w:eastAsia="Calibri" w:cs="Tahoma"/>
                <w:szCs w:val="18"/>
                <w:lang w:val="de-DE"/>
              </w:rPr>
              <w:t xml:space="preserve">dem 1. </w:t>
            </w:r>
            <w:r w:rsidRPr="00D11CE9">
              <w:rPr>
                <w:rFonts w:eastAsia="Calibri" w:cs="Tahoma"/>
                <w:szCs w:val="18"/>
                <w:lang w:val="de-DE"/>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C83DF5" w:rsidRDefault="00C066B5" w:rsidP="00FC0808">
            <w:pPr>
              <w:spacing w:line="276" w:lineRule="auto"/>
              <w:rPr>
                <w:lang w:val="de-DE"/>
              </w:rPr>
            </w:pPr>
            <w:r w:rsidRPr="00C83DF5">
              <w:rPr>
                <w:rFonts w:eastAsia="Calibri" w:cs="Tahoma"/>
                <w:szCs w:val="18"/>
                <w:lang w:val="de-DE"/>
              </w:rPr>
              <w:t>Zwei Lizenzen für Windows Server 2012 mit Software Assurance</w:t>
            </w:r>
          </w:p>
          <w:p w:rsidR="00C066B5" w:rsidRPr="00C83DF5" w:rsidRDefault="00C066B5" w:rsidP="00FC0808">
            <w:pPr>
              <w:spacing w:line="276" w:lineRule="auto"/>
              <w:rPr>
                <w:rFonts w:eastAsia="Calibri" w:cs="Tahoma"/>
                <w:szCs w:val="18"/>
                <w:lang w:val="de-DE"/>
              </w:rPr>
            </w:pPr>
            <w:r w:rsidRPr="00C83DF5">
              <w:rPr>
                <w:rFonts w:eastAsia="Calibri" w:cs="Tahoma"/>
                <w:szCs w:val="18"/>
                <w:lang w:val="de-DE"/>
              </w:rPr>
              <w:t>Eine Lizenz für Exchange Server 2010 Standard mit Software Assurance</w:t>
            </w:r>
          </w:p>
        </w:tc>
      </w:tr>
    </w:tbl>
    <w:p w:rsidR="00C066B5" w:rsidRPr="00C83DF5" w:rsidRDefault="00C066B5" w:rsidP="00C066B5">
      <w:pPr>
        <w:spacing w:after="100" w:afterAutospacing="1" w:line="276" w:lineRule="auto"/>
        <w:ind w:left="720"/>
        <w:contextualSpacing/>
        <w:rPr>
          <w:lang w:val="de-DE"/>
        </w:rPr>
      </w:pPr>
    </w:p>
    <w:p w:rsidR="00C066B5" w:rsidRPr="00D11CE9" w:rsidRDefault="00C066B5" w:rsidP="00C066B5">
      <w:pPr>
        <w:ind w:left="720"/>
        <w:rPr>
          <w:rFonts w:cs="Tahoma"/>
          <w:szCs w:val="18"/>
          <w:lang w:val="de-DE"/>
        </w:rPr>
      </w:pPr>
      <w:r w:rsidRPr="00D11CE9">
        <w:rPr>
          <w:rFonts w:eastAsia="Calibri" w:cs="Tahoma"/>
          <w:szCs w:val="18"/>
          <w:lang w:val="de-DE"/>
        </w:rPr>
        <w:t>Die Software Assurance aus den obigen Gewährungen läuft ab, wenn die entsprechende Software Assurance für die Qualifizierenden Lizenzen abläuft. Als Ausnahme dürfen Kunden mit Software Assurance für Qualifizierende Lizenzen, die im August 2012 ablaufen, bis zum 31. Dezember 2012 für die im Rahmen dieses Angebots gewährten Lizenzen für Windows Server und Exchange Server Software Assurance verlängern.</w:t>
      </w:r>
    </w:p>
    <w:p w:rsidR="00C066B5" w:rsidRPr="00DF3F89" w:rsidRDefault="00C066B5" w:rsidP="00C066B5">
      <w:pPr>
        <w:pStyle w:val="ListParagraph"/>
        <w:contextualSpacing w:val="0"/>
        <w:rPr>
          <w:rFonts w:ascii="Tahoma" w:eastAsia="Calibri" w:hAnsi="Tahoma" w:cs="Tahoma"/>
          <w:sz w:val="18"/>
          <w:szCs w:val="18"/>
          <w:lang w:val="de-DE"/>
        </w:rPr>
      </w:pPr>
    </w:p>
    <w:p w:rsidR="00C066B5" w:rsidRPr="00D11CE9" w:rsidRDefault="00C066B5" w:rsidP="00C066B5">
      <w:pPr>
        <w:pStyle w:val="ListParagraph"/>
        <w:contextualSpacing w:val="0"/>
        <w:rPr>
          <w:rFonts w:ascii="Tahoma" w:hAnsi="Tahoma" w:cs="Tahoma"/>
          <w:sz w:val="18"/>
          <w:szCs w:val="18"/>
          <w:lang w:val="de-DE"/>
        </w:rPr>
      </w:pPr>
      <w:r w:rsidRPr="00D11CE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C066B5" w:rsidRPr="00D11CE9" w:rsidRDefault="00C066B5" w:rsidP="00C066B5">
      <w:pPr>
        <w:pStyle w:val="ListParagraph"/>
        <w:contextualSpacing w:val="0"/>
        <w:rPr>
          <w:rFonts w:ascii="Tahoma" w:hAnsi="Tahoma" w:cs="Tahoma"/>
          <w:sz w:val="18"/>
          <w:szCs w:val="18"/>
          <w:lang w:val="de-DE"/>
        </w:rPr>
      </w:pPr>
    </w:p>
    <w:p w:rsidR="00C066B5" w:rsidRPr="00D11CE9" w:rsidRDefault="00C066B5" w:rsidP="00C979A6">
      <w:pPr>
        <w:pStyle w:val="ListParagraph"/>
        <w:contextualSpacing w:val="0"/>
        <w:rPr>
          <w:rFonts w:ascii="Tahoma" w:hAnsi="Tahoma" w:cs="Tahoma"/>
          <w:sz w:val="18"/>
          <w:szCs w:val="18"/>
          <w:lang w:val="de-DE"/>
        </w:rPr>
      </w:pPr>
      <w:r w:rsidRPr="00D11CE9">
        <w:rPr>
          <w:rFonts w:ascii="Tahoma" w:eastAsia="Calibri" w:hAnsi="Tahoma" w:cs="Tahoma"/>
          <w:sz w:val="18"/>
          <w:szCs w:val="18"/>
          <w:lang w:val="de-DE"/>
        </w:rPr>
        <w:t>Für jede Qualifizierende Lizenz, die unter einer Open Value Subscription erworben wurde, ist der Kunde</w:t>
      </w:r>
      <w:r w:rsidR="00C979A6">
        <w:rPr>
          <w:rFonts w:ascii="Tahoma" w:eastAsia="Calibri" w:hAnsi="Tahoma" w:cs="Tahoma"/>
          <w:sz w:val="18"/>
          <w:szCs w:val="18"/>
          <w:lang w:val="de-DE"/>
        </w:rPr>
        <w:t> </w:t>
      </w:r>
      <w:r w:rsidRPr="00D11CE9">
        <w:rPr>
          <w:rFonts w:ascii="Tahoma" w:eastAsia="Calibri" w:hAnsi="Tahoma" w:cs="Tahoma"/>
          <w:sz w:val="18"/>
          <w:szCs w:val="18"/>
          <w:lang w:val="de-DE"/>
        </w:rPr>
        <w:t>berechtigt, ein Buy-Out für eine SBS 2011 Standard-Lizenz wie angeboten durchzuführen, oder</w:t>
      </w:r>
    </w:p>
    <w:p w:rsidR="00C066B5" w:rsidRPr="00D11CE9" w:rsidRDefault="00C066B5" w:rsidP="00C066B5">
      <w:pPr>
        <w:pStyle w:val="ListParagraph"/>
        <w:contextualSpacing w:val="0"/>
        <w:rPr>
          <w:rFonts w:ascii="Tahoma" w:hAnsi="Tahoma" w:cs="Tahoma"/>
          <w:sz w:val="18"/>
          <w:szCs w:val="18"/>
          <w:lang w:val="de-DE"/>
        </w:rPr>
      </w:pPr>
    </w:p>
    <w:p w:rsidR="00C066B5" w:rsidRPr="00D11CE9" w:rsidRDefault="00C066B5" w:rsidP="00C066B5">
      <w:pPr>
        <w:pStyle w:val="ListParagraph"/>
        <w:numPr>
          <w:ilvl w:val="1"/>
          <w:numId w:val="100"/>
        </w:numPr>
        <w:tabs>
          <w:tab w:val="clear" w:pos="1440"/>
        </w:tabs>
        <w:contextualSpacing w:val="0"/>
        <w:rPr>
          <w:rFonts w:ascii="Tahoma" w:hAnsi="Tahoma" w:cs="Tahoma"/>
          <w:sz w:val="18"/>
          <w:szCs w:val="18"/>
        </w:rPr>
      </w:pPr>
      <w:r w:rsidRPr="00D11CE9">
        <w:rPr>
          <w:rFonts w:ascii="Tahoma" w:eastAsia="Calibri" w:hAnsi="Tahoma" w:cs="Tahoma"/>
          <w:sz w:val="18"/>
          <w:szCs w:val="18"/>
          <w:lang w:val="de-DE"/>
        </w:rPr>
        <w:t>Zwei Lizenzen für Windows Server 2012 Standard und eine Lizenz für Exchange Server 2010 Standard für Verträge, die ab dem 1.</w:t>
      </w:r>
      <w:r w:rsidR="00E71F46" w:rsidRPr="00D11CE9">
        <w:rPr>
          <w:rFonts w:ascii="Tahoma" w:eastAsia="Calibri" w:hAnsi="Tahoma" w:cs="Tahoma"/>
          <w:sz w:val="18"/>
          <w:szCs w:val="18"/>
          <w:lang w:val="de-DE"/>
        </w:rPr>
        <w:t xml:space="preserve"> </w:t>
      </w:r>
      <w:r w:rsidRPr="00D11CE9">
        <w:rPr>
          <w:rFonts w:ascii="Tahoma" w:eastAsia="Calibri" w:hAnsi="Tahoma" w:cs="Tahoma"/>
          <w:sz w:val="18"/>
          <w:szCs w:val="18"/>
        </w:rPr>
        <w:t>August 2012 ablaufen, oder</w:t>
      </w:r>
    </w:p>
    <w:p w:rsidR="00C066B5" w:rsidRPr="00D11CE9" w:rsidRDefault="00C066B5" w:rsidP="00C066B5">
      <w:pPr>
        <w:pStyle w:val="ListParagraph"/>
        <w:numPr>
          <w:ilvl w:val="1"/>
          <w:numId w:val="100"/>
        </w:numPr>
        <w:tabs>
          <w:tab w:val="clear" w:pos="1440"/>
        </w:tabs>
        <w:contextualSpacing w:val="0"/>
        <w:rPr>
          <w:rFonts w:ascii="Tahoma" w:hAnsi="Tahoma" w:cs="Tahoma"/>
          <w:sz w:val="18"/>
          <w:szCs w:val="18"/>
          <w:lang w:val="de-DE"/>
        </w:rPr>
      </w:pPr>
      <w:r w:rsidRPr="00D11CE9">
        <w:rPr>
          <w:rFonts w:ascii="Tahoma" w:eastAsia="Calibri" w:hAnsi="Tahoma" w:cs="Tahoma"/>
          <w:sz w:val="18"/>
          <w:szCs w:val="18"/>
          <w:lang w:val="de-DE"/>
        </w:rPr>
        <w:t>Zwei Lizenzen für Windows Server 2008 R2 Standard und eine Lizenz für Exchange Server 2010 Standard für Verträge, die im Juli 2012 ablaufen.</w:t>
      </w:r>
    </w:p>
    <w:p w:rsidR="00C066B5" w:rsidRPr="00D11CE9" w:rsidRDefault="00C066B5" w:rsidP="00C066B5">
      <w:pPr>
        <w:ind w:left="720"/>
        <w:rPr>
          <w:rFonts w:cs="Tahoma"/>
          <w:szCs w:val="18"/>
          <w:lang w:val="de-DE"/>
        </w:rPr>
      </w:pPr>
    </w:p>
    <w:p w:rsidR="00C066B5" w:rsidRPr="00D11CE9" w:rsidRDefault="00C066B5" w:rsidP="00C066B5">
      <w:pPr>
        <w:ind w:left="720"/>
        <w:rPr>
          <w:rFonts w:cs="Tahoma"/>
          <w:szCs w:val="18"/>
          <w:lang w:val="de-DE"/>
        </w:rPr>
      </w:pPr>
      <w:r w:rsidRPr="00D11CE9">
        <w:rPr>
          <w:rFonts w:eastAsia="Calibri" w:cs="Tahoma"/>
          <w:szCs w:val="18"/>
          <w:lang w:val="de-DE"/>
        </w:rPr>
        <w:t>Bei Upgrade auf Windows Server Standard und Exchange Server 2010 Standard unter dieser Gewährung sind die bestehenden Qualifizierenden Lizenzen für SBS Standard des Kunden nicht mehr gültig.</w:t>
      </w:r>
    </w:p>
    <w:p w:rsidR="00C066B5" w:rsidRPr="00D11CE9" w:rsidRDefault="00C066B5" w:rsidP="00C066B5">
      <w:pPr>
        <w:ind w:left="720"/>
        <w:rPr>
          <w:rFonts w:cs="Tahoma"/>
          <w:szCs w:val="18"/>
          <w:lang w:val="de-DE"/>
        </w:rPr>
      </w:pPr>
    </w:p>
    <w:p w:rsidR="00C066B5" w:rsidRPr="00D11CE9" w:rsidRDefault="00C066B5" w:rsidP="00C066B5">
      <w:pPr>
        <w:ind w:left="720"/>
        <w:rPr>
          <w:rFonts w:cs="Tahoma"/>
          <w:szCs w:val="18"/>
          <w:lang w:val="de-DE"/>
        </w:rPr>
      </w:pPr>
      <w:r w:rsidRPr="00D11CE9">
        <w:rPr>
          <w:rFonts w:cs="Tahoma"/>
          <w:color w:val="000000"/>
          <w:szCs w:val="18"/>
          <w:lang w:val="de-DE"/>
        </w:rPr>
        <w:t>Lizenzen für SBS 2011 Standard</w:t>
      </w:r>
      <w:r w:rsidRPr="00D11CE9">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Lizenzen im Sinne der zuvor beschriebenen Gewährung.</w:t>
      </w:r>
    </w:p>
    <w:p w:rsidR="00C066B5" w:rsidRPr="00C83DF5" w:rsidRDefault="00C066B5">
      <w:pPr>
        <w:rPr>
          <w:lang w:val="de-DE"/>
        </w:rPr>
      </w:pPr>
    </w:p>
    <w:p w:rsidR="00C066B5" w:rsidRDefault="00C066B5">
      <w:pPr>
        <w:rPr>
          <w:lang w:val="de-DE"/>
        </w:rPr>
      </w:pPr>
    </w:p>
    <w:p w:rsidR="00CC7222" w:rsidRDefault="00CC7222">
      <w:pPr>
        <w:rPr>
          <w:lang w:val="de-DE"/>
        </w:rPr>
      </w:pPr>
    </w:p>
    <w:p w:rsidR="00CC7222" w:rsidRDefault="00CC7222">
      <w:pPr>
        <w:rPr>
          <w:lang w:val="de-DE"/>
        </w:rPr>
      </w:pPr>
    </w:p>
    <w:p w:rsidR="00CC7222" w:rsidRDefault="00CC7222">
      <w:pPr>
        <w:rPr>
          <w:lang w:val="de-DE"/>
        </w:rPr>
      </w:pPr>
    </w:p>
    <w:p w:rsidR="00CC7222" w:rsidRDefault="00CC7222">
      <w:pPr>
        <w:rPr>
          <w:lang w:val="de-DE"/>
        </w:rPr>
      </w:pPr>
    </w:p>
    <w:p w:rsidR="00CC7222" w:rsidRDefault="00CC7222">
      <w:pPr>
        <w:rPr>
          <w:lang w:val="de-DE"/>
        </w:rPr>
      </w:pPr>
    </w:p>
    <w:p w:rsidR="00CC7222" w:rsidRDefault="00CC7222">
      <w:pPr>
        <w:rPr>
          <w:lang w:val="de-DE"/>
        </w:rPr>
      </w:pPr>
    </w:p>
    <w:p w:rsidR="00CC7222" w:rsidRDefault="00CC7222">
      <w:pPr>
        <w:rPr>
          <w:lang w:val="de-DE"/>
        </w:rPr>
      </w:pPr>
    </w:p>
    <w:p w:rsidR="00CC7222" w:rsidRDefault="00CC7222">
      <w:pPr>
        <w:rPr>
          <w:lang w:val="de-DE"/>
        </w:rPr>
      </w:pPr>
    </w:p>
    <w:p w:rsidR="00CC7222" w:rsidRPr="00C83DF5" w:rsidRDefault="00CC7222">
      <w:pPr>
        <w:rPr>
          <w:lang w:val="de-DE"/>
        </w:rPr>
      </w:pPr>
    </w:p>
    <w:p w:rsidR="00E06578" w:rsidRPr="00C83DF5" w:rsidRDefault="00A560B6" w:rsidP="00EF2279">
      <w:pPr>
        <w:pStyle w:val="Heading2"/>
        <w:ind w:left="0"/>
      </w:pPr>
      <w:bookmarkStart w:id="1677" w:name="_122_Windows_Small"/>
      <w:bookmarkStart w:id="1678" w:name="_120_Windows_Small"/>
      <w:bookmarkStart w:id="1679" w:name="_110_Windows_Small"/>
      <w:bookmarkStart w:id="1680" w:name="_116_Windows_Small"/>
      <w:bookmarkStart w:id="1681" w:name="_Toc336338378"/>
      <w:bookmarkStart w:id="1682" w:name="_Toc370983483"/>
      <w:bookmarkEnd w:id="1677"/>
      <w:bookmarkEnd w:id="1678"/>
      <w:bookmarkEnd w:id="1679"/>
      <w:bookmarkEnd w:id="1680"/>
      <w:r w:rsidRPr="00C83DF5">
        <w:rPr>
          <w:rFonts w:ascii="Tahoma" w:hAnsi="Tahoma" w:cs="Tahoma"/>
          <w:caps/>
          <w:color w:val="EE6000"/>
          <w:sz w:val="22"/>
          <w:szCs w:val="18"/>
          <w:vertAlign w:val="superscript"/>
        </w:rPr>
        <w:lastRenderedPageBreak/>
        <w:t>115</w:t>
      </w:r>
      <w:r w:rsidRPr="00CC7222">
        <w:rPr>
          <w:rFonts w:ascii="Tahoma" w:hAnsi="Tahoma" w:cs="Tahoma"/>
          <w:caps/>
          <w:color w:val="EE6000"/>
          <w:sz w:val="22"/>
          <w:szCs w:val="18"/>
        </w:rPr>
        <w:t xml:space="preserve"> </w:t>
      </w:r>
      <w:r w:rsidRPr="00C83DF5">
        <w:rPr>
          <w:rFonts w:ascii="Tahoma" w:hAnsi="Tahoma" w:cs="Tahoma"/>
          <w:color w:val="F8701C"/>
          <w:sz w:val="22"/>
          <w:szCs w:val="22"/>
        </w:rPr>
        <w:t>Windows Small Business Server (SBS) 2011 CAL Suite</w:t>
      </w:r>
      <w:bookmarkEnd w:id="1681"/>
      <w:bookmarkEnd w:id="1682"/>
    </w:p>
    <w:p w:rsidR="00E06578" w:rsidRPr="00C83DF5" w:rsidRDefault="00E06578" w:rsidP="000F0F4D">
      <w:pPr>
        <w:ind w:left="900"/>
      </w:pPr>
    </w:p>
    <w:p w:rsidR="000F0F4D" w:rsidRPr="00C83DF5" w:rsidRDefault="00836655" w:rsidP="00CC7222">
      <w:pPr>
        <w:spacing w:after="60"/>
        <w:ind w:left="720"/>
        <w:rPr>
          <w:lang w:val="de-DE"/>
        </w:rPr>
      </w:pPr>
      <w:r w:rsidRPr="00C83DF5">
        <w:rPr>
          <w:b/>
          <w:color w:val="000000"/>
          <w:lang w:val="de-DE"/>
        </w:rPr>
        <w:t>Lizenzgewährungen im Zusammenhang mit dem Ende der Lebensdauer von SBS 2011 CAL</w:t>
      </w:r>
      <w:r w:rsidR="00CC7222">
        <w:rPr>
          <w:b/>
          <w:color w:val="000000"/>
          <w:lang w:val="de-DE"/>
        </w:rPr>
        <w:t> </w:t>
      </w:r>
      <w:r w:rsidRPr="00C83DF5">
        <w:rPr>
          <w:b/>
          <w:color w:val="000000"/>
          <w:lang w:val="de-DE"/>
        </w:rPr>
        <w:t>Suite</w:t>
      </w:r>
    </w:p>
    <w:p w:rsidR="00836655" w:rsidRPr="00C83DF5" w:rsidRDefault="00836655" w:rsidP="007348F0">
      <w:pPr>
        <w:ind w:left="720"/>
        <w:rPr>
          <w:lang w:val="de-DE"/>
        </w:rPr>
      </w:pPr>
      <w:r w:rsidRPr="00C83DF5">
        <w:rPr>
          <w:lang w:val="de-DE"/>
        </w:rPr>
        <w:t>Kunden mit Software Assurance für SBS 2011 CAL Suite („Qualifizierende CALs“) sind berechtigt, auf die Software Window Server Standard und Exchange Server 2010 Standard zuzugreifen.</w:t>
      </w:r>
      <w:r w:rsidR="00E71F46" w:rsidRPr="00C83DF5">
        <w:rPr>
          <w:lang w:val="de-DE"/>
        </w:rPr>
        <w:t xml:space="preserve"> </w:t>
      </w:r>
      <w:r w:rsidRPr="00C83DF5">
        <w:rPr>
          <w:rFonts w:eastAsia="Calibri" w:cs="Tahoma"/>
          <w:szCs w:val="18"/>
          <w:lang w:val="de-DE"/>
        </w:rPr>
        <w:t>Um diesen Zugriff zu</w:t>
      </w:r>
      <w:r w:rsidR="007348F0">
        <w:rPr>
          <w:rFonts w:eastAsia="Calibri" w:cs="Tahoma"/>
          <w:szCs w:val="18"/>
          <w:lang w:val="de-DE"/>
        </w:rPr>
        <w:t> </w:t>
      </w:r>
      <w:r w:rsidRPr="00C83DF5">
        <w:rPr>
          <w:rFonts w:eastAsia="Calibri" w:cs="Tahoma"/>
          <w:szCs w:val="18"/>
          <w:lang w:val="de-DE"/>
        </w:rPr>
        <w:t>erleichtern, wird angenommen, dass dem Kunden für jede Qualifizierende CAL, die der Kunde besitzt, jeweils eine CAL für Windows Server Standard und für Exchange Server 2010 Standard entsprechend der</w:t>
      </w:r>
      <w:r w:rsidR="007348F0">
        <w:rPr>
          <w:rFonts w:eastAsia="Calibri" w:cs="Tahoma"/>
          <w:szCs w:val="18"/>
          <w:lang w:val="de-DE"/>
        </w:rPr>
        <w:t> </w:t>
      </w:r>
      <w:r w:rsidRPr="00C83DF5">
        <w:rPr>
          <w:rFonts w:eastAsia="Calibri" w:cs="Tahoma"/>
          <w:szCs w:val="18"/>
          <w:lang w:val="de-DE"/>
        </w:rPr>
        <w:t xml:space="preserve">nachstehenden Tabelle gewährt wird. </w:t>
      </w:r>
    </w:p>
    <w:p w:rsidR="000F0F4D" w:rsidRPr="00C83DF5" w:rsidRDefault="000F0F4D" w:rsidP="00155B9B">
      <w:pPr>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C83DF5"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83DF5" w:rsidRDefault="00836655" w:rsidP="000A5032">
            <w:pPr>
              <w:spacing w:after="200" w:line="276" w:lineRule="auto"/>
              <w:rPr>
                <w:rFonts w:eastAsia="Calibri" w:cs="Tahoma"/>
                <w:szCs w:val="18"/>
              </w:rPr>
            </w:pPr>
            <w:r w:rsidRPr="00C83DF5">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83DF5" w:rsidRDefault="00836655" w:rsidP="000A5032">
            <w:pPr>
              <w:spacing w:after="200" w:line="276" w:lineRule="auto"/>
              <w:rPr>
                <w:rFonts w:eastAsia="Calibri" w:cs="Tahoma"/>
                <w:szCs w:val="18"/>
              </w:rPr>
            </w:pPr>
            <w:r w:rsidRPr="00C83DF5">
              <w:rPr>
                <w:b/>
                <w:color w:val="000000"/>
              </w:rPr>
              <w:t>Lizenzgewährung</w:t>
            </w:r>
          </w:p>
        </w:tc>
      </w:tr>
      <w:tr w:rsidR="00836655" w:rsidRPr="004D388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83DF5" w:rsidRDefault="00836655" w:rsidP="00CA14C9">
            <w:pPr>
              <w:spacing w:line="276" w:lineRule="auto"/>
              <w:rPr>
                <w:rFonts w:eastAsia="Calibri" w:cs="Tahoma"/>
                <w:szCs w:val="18"/>
              </w:rPr>
            </w:pPr>
            <w:r w:rsidRPr="00C83DF5">
              <w:rPr>
                <w:rFonts w:eastAsia="Calibri" w:cs="Tahoma"/>
                <w:szCs w:val="18"/>
                <w:lang w:val="de-DE"/>
              </w:rPr>
              <w:t xml:space="preserve">SBS 2011 CAL Suite mit Software Assurance bis zum 31. </w:t>
            </w:r>
            <w:r w:rsidRPr="00C83DF5">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83DF5" w:rsidRDefault="00836655" w:rsidP="00CA14C9">
            <w:pPr>
              <w:spacing w:line="276" w:lineRule="auto"/>
              <w:rPr>
                <w:lang w:val="de-DE"/>
              </w:rPr>
            </w:pPr>
            <w:r w:rsidRPr="00C83DF5">
              <w:rPr>
                <w:rFonts w:eastAsia="Calibri" w:cs="Tahoma"/>
                <w:szCs w:val="18"/>
                <w:lang w:val="de-DE"/>
              </w:rPr>
              <w:t>CAL für Windows Server 2008 R2</w:t>
            </w:r>
          </w:p>
          <w:p w:rsidR="00836655" w:rsidRPr="00C83DF5" w:rsidRDefault="00836655" w:rsidP="00CA14C9">
            <w:pPr>
              <w:spacing w:line="276" w:lineRule="auto"/>
              <w:rPr>
                <w:rFonts w:eastAsia="Calibri" w:cs="Tahoma"/>
                <w:szCs w:val="18"/>
                <w:lang w:val="de-DE"/>
              </w:rPr>
            </w:pPr>
            <w:r w:rsidRPr="00C83DF5">
              <w:rPr>
                <w:rFonts w:eastAsia="Calibri" w:cs="Tahoma"/>
                <w:szCs w:val="18"/>
                <w:lang w:val="de-DE"/>
              </w:rPr>
              <w:t>CAL für Exchange Server 2010</w:t>
            </w:r>
          </w:p>
        </w:tc>
      </w:tr>
      <w:tr w:rsidR="00836655" w:rsidRPr="004D388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83DF5" w:rsidRDefault="00836655" w:rsidP="00CA14C9">
            <w:pPr>
              <w:spacing w:line="276" w:lineRule="auto"/>
              <w:rPr>
                <w:rFonts w:eastAsia="Calibri" w:cs="Tahoma"/>
                <w:szCs w:val="18"/>
              </w:rPr>
            </w:pPr>
            <w:r w:rsidRPr="00C83DF5">
              <w:rPr>
                <w:rFonts w:eastAsia="Calibri" w:cs="Tahoma"/>
                <w:szCs w:val="18"/>
                <w:lang w:val="de-DE"/>
              </w:rPr>
              <w:t xml:space="preserve">SBS 2011 CAL Suite mit Software Assurance ab dem 1. </w:t>
            </w:r>
            <w:r w:rsidRPr="00C83DF5">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83DF5" w:rsidRDefault="00836655" w:rsidP="00CA14C9">
            <w:pPr>
              <w:spacing w:line="276" w:lineRule="auto"/>
              <w:rPr>
                <w:lang w:val="de-DE"/>
              </w:rPr>
            </w:pPr>
            <w:r w:rsidRPr="00C83DF5">
              <w:rPr>
                <w:rFonts w:eastAsia="Calibri" w:cs="Tahoma"/>
                <w:szCs w:val="18"/>
                <w:lang w:val="de-DE"/>
              </w:rPr>
              <w:t>CAL für Windows Server 2012 mit Software Assurance</w:t>
            </w:r>
          </w:p>
          <w:p w:rsidR="00836655" w:rsidRPr="00C83DF5" w:rsidRDefault="00836655" w:rsidP="00CA14C9">
            <w:pPr>
              <w:spacing w:line="276" w:lineRule="auto"/>
              <w:rPr>
                <w:rFonts w:eastAsia="Calibri" w:cs="Tahoma"/>
                <w:szCs w:val="18"/>
                <w:lang w:val="de-DE"/>
              </w:rPr>
            </w:pPr>
            <w:r w:rsidRPr="00C83DF5">
              <w:rPr>
                <w:rFonts w:eastAsia="Calibri" w:cs="Tahoma"/>
                <w:szCs w:val="18"/>
                <w:lang w:val="de-DE"/>
              </w:rPr>
              <w:t>CAL für Exchange Server 2010 mit Software Assurance</w:t>
            </w:r>
          </w:p>
        </w:tc>
      </w:tr>
    </w:tbl>
    <w:p w:rsidR="000F0F4D" w:rsidRPr="00B60922" w:rsidRDefault="000F0F4D" w:rsidP="000F0F4D">
      <w:pPr>
        <w:pStyle w:val="ListParagraph"/>
        <w:contextualSpacing w:val="0"/>
        <w:rPr>
          <w:rFonts w:ascii="Tahoma" w:hAnsi="Tahoma" w:cs="Tahoma"/>
          <w:sz w:val="18"/>
          <w:szCs w:val="18"/>
          <w:lang w:val="de-DE"/>
        </w:rPr>
      </w:pPr>
    </w:p>
    <w:p w:rsidR="00836655" w:rsidRPr="00B60922" w:rsidRDefault="00836655" w:rsidP="00B60922">
      <w:pPr>
        <w:pStyle w:val="ListParagraph"/>
        <w:contextualSpacing w:val="0"/>
        <w:rPr>
          <w:rFonts w:ascii="Tahoma" w:hAnsi="Tahoma" w:cs="Tahoma"/>
          <w:sz w:val="18"/>
          <w:szCs w:val="18"/>
          <w:lang w:val="de-DE"/>
        </w:rPr>
      </w:pPr>
      <w:r w:rsidRPr="00B60922">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B60922">
        <w:rPr>
          <w:rFonts w:ascii="Tahoma" w:eastAsia="Calibri" w:hAnsi="Tahoma" w:cs="Tahoma"/>
          <w:sz w:val="18"/>
          <w:szCs w:val="18"/>
          <w:lang w:val="de-DE"/>
        </w:rPr>
        <w:t> </w:t>
      </w:r>
      <w:r w:rsidRPr="00B60922">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rsidR="000F0F4D" w:rsidRPr="00B60922" w:rsidRDefault="000F0F4D" w:rsidP="000F0F4D">
      <w:pPr>
        <w:pStyle w:val="ListParagraph"/>
        <w:contextualSpacing w:val="0"/>
        <w:rPr>
          <w:rFonts w:ascii="Tahoma" w:hAnsi="Tahoma" w:cs="Tahoma"/>
          <w:sz w:val="18"/>
          <w:szCs w:val="18"/>
          <w:lang w:val="de-DE"/>
        </w:rPr>
      </w:pPr>
    </w:p>
    <w:p w:rsidR="00836655" w:rsidRPr="00B60922" w:rsidRDefault="00836655" w:rsidP="000F0F4D">
      <w:pPr>
        <w:pStyle w:val="ListParagraph"/>
        <w:contextualSpacing w:val="0"/>
        <w:rPr>
          <w:rFonts w:ascii="Tahoma" w:hAnsi="Tahoma" w:cs="Tahoma"/>
          <w:sz w:val="18"/>
          <w:szCs w:val="18"/>
          <w:lang w:val="de-DE"/>
        </w:rPr>
      </w:pPr>
      <w:r w:rsidRPr="00B60922">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0F0F4D" w:rsidRPr="00B60922" w:rsidRDefault="000F0F4D" w:rsidP="000F0F4D">
      <w:pPr>
        <w:pStyle w:val="ListParagraph"/>
        <w:contextualSpacing w:val="0"/>
        <w:rPr>
          <w:rFonts w:ascii="Tahoma" w:hAnsi="Tahoma" w:cs="Tahoma"/>
          <w:sz w:val="18"/>
          <w:szCs w:val="18"/>
          <w:lang w:val="de-DE"/>
        </w:rPr>
      </w:pPr>
    </w:p>
    <w:p w:rsidR="00836655" w:rsidRPr="00B60922" w:rsidRDefault="00836655" w:rsidP="000F0F4D">
      <w:pPr>
        <w:pStyle w:val="ListParagraph"/>
        <w:contextualSpacing w:val="0"/>
        <w:rPr>
          <w:rFonts w:ascii="Tahoma" w:hAnsi="Tahoma" w:cs="Tahoma"/>
          <w:sz w:val="18"/>
          <w:szCs w:val="18"/>
          <w:lang w:val="de-DE"/>
        </w:rPr>
      </w:pPr>
      <w:r w:rsidRPr="00B60922">
        <w:rPr>
          <w:rFonts w:ascii="Tahoma" w:eastAsia="Calibri" w:hAnsi="Tahoma" w:cs="Tahoma"/>
          <w:sz w:val="18"/>
          <w:szCs w:val="18"/>
          <w:lang w:val="de-DE"/>
        </w:rPr>
        <w:t>Für jede Qualifizierende CAL, die unter einer Open Value Subscription erworben wurde, ist der Kunde berechtigt, ein Buy-Out für eine SBS 2011 CAL Suite wie angeboten durchzuführen, oder</w:t>
      </w:r>
    </w:p>
    <w:p w:rsidR="000F0F4D" w:rsidRPr="00B60922" w:rsidRDefault="000F0F4D" w:rsidP="000F0F4D">
      <w:pPr>
        <w:pStyle w:val="ListParagraph"/>
        <w:contextualSpacing w:val="0"/>
        <w:rPr>
          <w:rFonts w:ascii="Tahoma" w:hAnsi="Tahoma" w:cs="Tahoma"/>
          <w:sz w:val="18"/>
          <w:szCs w:val="18"/>
          <w:lang w:val="de-DE"/>
        </w:rPr>
      </w:pPr>
    </w:p>
    <w:p w:rsidR="00836655" w:rsidRPr="00B60922" w:rsidRDefault="00836655" w:rsidP="00B60922">
      <w:pPr>
        <w:pStyle w:val="ListParagraph"/>
        <w:numPr>
          <w:ilvl w:val="1"/>
          <w:numId w:val="100"/>
        </w:numPr>
        <w:tabs>
          <w:tab w:val="clear" w:pos="1440"/>
        </w:tabs>
        <w:spacing w:after="60"/>
        <w:ind w:left="1800"/>
        <w:contextualSpacing w:val="0"/>
        <w:rPr>
          <w:rFonts w:ascii="Tahoma" w:hAnsi="Tahoma" w:cs="Tahoma"/>
          <w:sz w:val="18"/>
          <w:szCs w:val="18"/>
          <w:lang w:val="de-DE"/>
        </w:rPr>
      </w:pPr>
      <w:r w:rsidRPr="00B60922">
        <w:rPr>
          <w:rFonts w:ascii="Tahoma" w:eastAsia="Calibri" w:hAnsi="Tahoma" w:cs="Tahoma"/>
          <w:sz w:val="18"/>
          <w:szCs w:val="18"/>
          <w:lang w:val="de-DE"/>
        </w:rPr>
        <w:t>Je eine CAL für Windows Server 2012 und Exchange Server 2010 Standard für Verträge, die</w:t>
      </w:r>
      <w:r w:rsidR="00B60922">
        <w:rPr>
          <w:rFonts w:ascii="Tahoma" w:eastAsia="Calibri" w:hAnsi="Tahoma" w:cs="Tahoma"/>
          <w:sz w:val="18"/>
          <w:szCs w:val="18"/>
          <w:lang w:val="de-DE"/>
        </w:rPr>
        <w:t> </w:t>
      </w:r>
      <w:r w:rsidRPr="00B60922">
        <w:rPr>
          <w:rFonts w:ascii="Tahoma" w:eastAsia="Calibri" w:hAnsi="Tahoma" w:cs="Tahoma"/>
          <w:sz w:val="18"/>
          <w:szCs w:val="18"/>
          <w:lang w:val="de-DE"/>
        </w:rPr>
        <w:t>ab</w:t>
      </w:r>
      <w:r w:rsidR="00B60922">
        <w:rPr>
          <w:rFonts w:ascii="Tahoma" w:eastAsia="Calibri" w:hAnsi="Tahoma" w:cs="Tahoma"/>
          <w:sz w:val="18"/>
          <w:szCs w:val="18"/>
          <w:lang w:val="de-DE"/>
        </w:rPr>
        <w:t> </w:t>
      </w:r>
      <w:r w:rsidRPr="00B60922">
        <w:rPr>
          <w:rFonts w:ascii="Tahoma" w:eastAsia="Calibri" w:hAnsi="Tahoma" w:cs="Tahoma"/>
          <w:sz w:val="18"/>
          <w:szCs w:val="18"/>
          <w:lang w:val="de-DE"/>
        </w:rPr>
        <w:t>dem 1. August 2012 ablaufen, und</w:t>
      </w:r>
    </w:p>
    <w:p w:rsidR="00836655" w:rsidRPr="00B60922" w:rsidRDefault="00836655" w:rsidP="00B60922">
      <w:pPr>
        <w:pStyle w:val="ListParagraph"/>
        <w:numPr>
          <w:ilvl w:val="1"/>
          <w:numId w:val="100"/>
        </w:numPr>
        <w:tabs>
          <w:tab w:val="clear" w:pos="1440"/>
        </w:tabs>
        <w:spacing w:after="60"/>
        <w:ind w:left="1800"/>
        <w:contextualSpacing w:val="0"/>
        <w:rPr>
          <w:rFonts w:ascii="Tahoma" w:hAnsi="Tahoma" w:cs="Tahoma"/>
          <w:sz w:val="18"/>
          <w:szCs w:val="18"/>
          <w:lang w:val="de-DE"/>
        </w:rPr>
      </w:pPr>
      <w:r w:rsidRPr="00B60922">
        <w:rPr>
          <w:rFonts w:ascii="Tahoma" w:eastAsia="Calibri" w:hAnsi="Tahoma" w:cs="Tahoma"/>
          <w:sz w:val="18"/>
          <w:szCs w:val="18"/>
          <w:lang w:val="de-DE"/>
        </w:rPr>
        <w:t>Je eine CAL für Windows Server 2008 und Exchange Server 2010 Standard für Verträge, die</w:t>
      </w:r>
      <w:r w:rsidR="00B60922">
        <w:rPr>
          <w:rFonts w:ascii="Tahoma" w:eastAsia="Calibri" w:hAnsi="Tahoma" w:cs="Tahoma"/>
          <w:sz w:val="18"/>
          <w:szCs w:val="18"/>
          <w:lang w:val="de-DE"/>
        </w:rPr>
        <w:t> </w:t>
      </w:r>
      <w:r w:rsidRPr="00B60922">
        <w:rPr>
          <w:rFonts w:ascii="Tahoma" w:eastAsia="Calibri" w:hAnsi="Tahoma" w:cs="Tahoma"/>
          <w:sz w:val="18"/>
          <w:szCs w:val="18"/>
          <w:lang w:val="de-DE"/>
        </w:rPr>
        <w:t>im</w:t>
      </w:r>
      <w:r w:rsidR="00B60922">
        <w:rPr>
          <w:rFonts w:ascii="Tahoma" w:eastAsia="Calibri" w:hAnsi="Tahoma" w:cs="Tahoma"/>
          <w:sz w:val="18"/>
          <w:szCs w:val="18"/>
          <w:lang w:val="de-DE"/>
        </w:rPr>
        <w:t> </w:t>
      </w:r>
      <w:r w:rsidRPr="00B60922">
        <w:rPr>
          <w:rFonts w:ascii="Tahoma" w:eastAsia="Calibri" w:hAnsi="Tahoma" w:cs="Tahoma"/>
          <w:sz w:val="18"/>
          <w:szCs w:val="18"/>
          <w:lang w:val="de-DE"/>
        </w:rPr>
        <w:t>Juli 2012 ablaufen.</w:t>
      </w:r>
    </w:p>
    <w:p w:rsidR="000F0F4D" w:rsidRPr="00B60922" w:rsidRDefault="000F0F4D" w:rsidP="000F0F4D">
      <w:pPr>
        <w:ind w:left="720"/>
        <w:rPr>
          <w:rFonts w:cs="Tahoma"/>
          <w:szCs w:val="18"/>
          <w:lang w:val="de-DE"/>
        </w:rPr>
      </w:pPr>
    </w:p>
    <w:p w:rsidR="00836655" w:rsidRPr="00B60922" w:rsidRDefault="00836655" w:rsidP="00646AA2">
      <w:pPr>
        <w:ind w:left="720"/>
        <w:rPr>
          <w:rFonts w:cs="Tahoma"/>
          <w:szCs w:val="18"/>
          <w:lang w:val="de-DE"/>
        </w:rPr>
      </w:pPr>
      <w:r w:rsidRPr="00B60922">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sidR="00646AA2">
        <w:rPr>
          <w:rFonts w:eastAsia="Calibri" w:cs="Tahoma"/>
          <w:szCs w:val="18"/>
          <w:lang w:val="de-DE"/>
        </w:rPr>
        <w:t> </w:t>
      </w:r>
      <w:r w:rsidRPr="00B60922">
        <w:rPr>
          <w:rFonts w:eastAsia="Calibri" w:cs="Tahoma"/>
          <w:szCs w:val="18"/>
          <w:lang w:val="de-DE"/>
        </w:rPr>
        <w:t>gültig.</w:t>
      </w:r>
    </w:p>
    <w:p w:rsidR="000F0F4D" w:rsidRPr="00B60922" w:rsidRDefault="000F0F4D" w:rsidP="000F0F4D">
      <w:pPr>
        <w:ind w:left="720"/>
        <w:rPr>
          <w:rFonts w:cs="Tahoma"/>
          <w:szCs w:val="18"/>
          <w:lang w:val="de-DE"/>
        </w:rPr>
      </w:pPr>
    </w:p>
    <w:p w:rsidR="00836655" w:rsidRPr="00B60922" w:rsidRDefault="00836655" w:rsidP="00B60922">
      <w:pPr>
        <w:ind w:left="720"/>
        <w:rPr>
          <w:rFonts w:cs="Tahoma"/>
          <w:szCs w:val="18"/>
          <w:lang w:val="de-DE"/>
        </w:rPr>
      </w:pPr>
      <w:r w:rsidRPr="00B60922">
        <w:rPr>
          <w:rFonts w:cs="Tahoma"/>
          <w:color w:val="000000"/>
          <w:szCs w:val="18"/>
          <w:lang w:val="de-DE"/>
        </w:rPr>
        <w:t>SBS 2011 CAL Suites</w:t>
      </w:r>
      <w:r w:rsidRPr="00B60922">
        <w:rPr>
          <w:rFonts w:cs="Tahoma"/>
          <w:bCs/>
          <w:color w:val="000000"/>
          <w:szCs w:val="18"/>
          <w:lang w:val="de-DE"/>
        </w:rPr>
        <w:t>, die danach unter derselben Beitrittslaufzeit im Rahmen des planmäßigen True Up-Prozesses eines Open Value Subscription- oder Beitritt für Bildungslösungen-Kunden erworben werden, sind</w:t>
      </w:r>
      <w:r w:rsidR="00B60922">
        <w:rPr>
          <w:rFonts w:cs="Tahoma"/>
          <w:bCs/>
          <w:color w:val="000000"/>
          <w:szCs w:val="18"/>
          <w:lang w:val="de-DE"/>
        </w:rPr>
        <w:t> </w:t>
      </w:r>
      <w:r w:rsidRPr="00B60922">
        <w:rPr>
          <w:rFonts w:cs="Tahoma"/>
          <w:bCs/>
          <w:color w:val="000000"/>
          <w:szCs w:val="18"/>
          <w:lang w:val="de-DE"/>
        </w:rPr>
        <w:t>ebenfalls Qualifizierende CALs im Sinne der zuvor beschriebenen Gewährung.</w:t>
      </w:r>
      <w:r w:rsidRPr="00B60922">
        <w:rPr>
          <w:rFonts w:eastAsia="Calibri" w:cs="Tahoma"/>
          <w:szCs w:val="18"/>
          <w:lang w:val="de-DE"/>
        </w:rPr>
        <w:t xml:space="preserve"> </w:t>
      </w:r>
    </w:p>
    <w:p w:rsidR="009B1D83" w:rsidRPr="00B60922" w:rsidRDefault="009B1D83" w:rsidP="000F0F4D">
      <w:pPr>
        <w:ind w:left="900"/>
        <w:rPr>
          <w:rFonts w:cs="Tahoma"/>
          <w:szCs w:val="18"/>
          <w:lang w:val="de-DE"/>
        </w:rPr>
      </w:pPr>
    </w:p>
    <w:p w:rsidR="00C066B5" w:rsidRPr="00B60922" w:rsidRDefault="00C066B5" w:rsidP="000F0F4D">
      <w:pPr>
        <w:ind w:left="900"/>
        <w:rPr>
          <w:rFonts w:cs="Tahoma"/>
          <w:szCs w:val="18"/>
          <w:lang w:val="de-DE"/>
        </w:rPr>
      </w:pPr>
    </w:p>
    <w:p w:rsidR="00C066B5" w:rsidRPr="00C83DF5" w:rsidRDefault="00C066B5" w:rsidP="00C066B5">
      <w:pPr>
        <w:pStyle w:val="Heading2"/>
        <w:ind w:hanging="720"/>
      </w:pPr>
      <w:bookmarkStart w:id="1683" w:name="_116_Windows_Small_1"/>
      <w:bookmarkStart w:id="1684" w:name="Srv_122WinSmallBizSVR2011Addon"/>
      <w:bookmarkStart w:id="1685" w:name="_Toc336338379"/>
      <w:bookmarkStart w:id="1686" w:name="_Toc357669627"/>
      <w:bookmarkStart w:id="1687" w:name="Srv_112WinSmallBizSVR2011Addon"/>
      <w:bookmarkStart w:id="1688" w:name="Srv_118WinSmallBizSVR2011Addon"/>
      <w:bookmarkStart w:id="1689" w:name="_Toc370983484"/>
      <w:bookmarkEnd w:id="1683"/>
      <w:r w:rsidRPr="00C83DF5">
        <w:rPr>
          <w:rFonts w:ascii="Tahoma" w:hAnsi="Tahoma" w:cs="Tahoma"/>
          <w:caps/>
          <w:color w:val="EE6000"/>
          <w:sz w:val="22"/>
          <w:szCs w:val="18"/>
          <w:vertAlign w:val="superscript"/>
        </w:rPr>
        <w:t>116</w:t>
      </w:r>
      <w:r w:rsidRPr="00E73DFD">
        <w:rPr>
          <w:rFonts w:ascii="Tahoma" w:hAnsi="Tahoma" w:cs="Tahoma"/>
          <w:caps/>
          <w:color w:val="EE6000"/>
          <w:sz w:val="22"/>
          <w:szCs w:val="18"/>
        </w:rPr>
        <w:t xml:space="preserve"> </w:t>
      </w:r>
      <w:r w:rsidRPr="00C83DF5">
        <w:rPr>
          <w:rFonts w:ascii="Tahoma" w:hAnsi="Tahoma" w:cs="Tahoma"/>
          <w:color w:val="EE6000"/>
          <w:sz w:val="22"/>
          <w:szCs w:val="18"/>
        </w:rPr>
        <w:t>Windows Small Business Server (SBS) 2011 Premium Add-On</w:t>
      </w:r>
      <w:bookmarkEnd w:id="1684"/>
      <w:bookmarkEnd w:id="1685"/>
      <w:bookmarkEnd w:id="1686"/>
      <w:bookmarkEnd w:id="1689"/>
    </w:p>
    <w:bookmarkEnd w:id="1687"/>
    <w:bookmarkEnd w:id="1688"/>
    <w:p w:rsidR="00C066B5" w:rsidRPr="00C83DF5" w:rsidRDefault="00C066B5" w:rsidP="00C066B5">
      <w:pPr>
        <w:ind w:left="900"/>
      </w:pPr>
    </w:p>
    <w:p w:rsidR="00C066B5" w:rsidRPr="00C83DF5" w:rsidRDefault="00C066B5" w:rsidP="00C066B5">
      <w:pPr>
        <w:spacing w:after="60"/>
        <w:ind w:left="720"/>
        <w:rPr>
          <w:lang w:val="de-DE"/>
        </w:rPr>
      </w:pPr>
      <w:r w:rsidRPr="00C83DF5">
        <w:rPr>
          <w:b/>
          <w:color w:val="000000"/>
          <w:lang w:val="de-DE"/>
        </w:rPr>
        <w:t>Lizenzgewährungen im Zusammenhang mit dem Ende der Lebensdauer von SBS 2011 Premium Add-On</w:t>
      </w:r>
    </w:p>
    <w:p w:rsidR="00C066B5" w:rsidRPr="00C83DF5" w:rsidRDefault="00C066B5" w:rsidP="00C066B5">
      <w:pPr>
        <w:ind w:left="720"/>
        <w:rPr>
          <w:lang w:val="de-DE"/>
        </w:rPr>
      </w:pPr>
      <w:r w:rsidRPr="00C83DF5">
        <w:rPr>
          <w:color w:val="000000"/>
          <w:lang w:val="de-DE"/>
        </w:rPr>
        <w:t xml:space="preserve">SBS 2011 Premium Add-on ist die letzte Version von SBS Premium Add-on. Volumenlizenzkunden, die über Software Assurance für SBS 2011 Premium Add-On-Lizenzen verfügen („Qualifizierende Lizenzen“), sind berechtigt, ein Upgrade auf die </w:t>
      </w:r>
      <w:r w:rsidRPr="00C83DF5">
        <w:rPr>
          <w:rFonts w:eastAsia="Calibri" w:cs="Tahoma"/>
          <w:szCs w:val="18"/>
          <w:lang w:val="de-DE"/>
        </w:rPr>
        <w:t xml:space="preserve">Software Windows Server Standard und SQL Server 2012 Standard durchzuführen und diese anstelle von SBS 2011 Premium zu nutzen. Um diese Nutzung zu erleichtern, wird angenommen, dass dem Kunden für jede Qualifizierende Lizenz, die der Kunde besitzt, jeweils eine Lizenz für Windows Server und für SQL Server 2012 (lizenziert unter dem Server/CAL-Modell) entsprechend der nachstehenden Tabelle gewährt wird. </w:t>
      </w:r>
    </w:p>
    <w:p w:rsidR="00C066B5" w:rsidRPr="00C83DF5" w:rsidRDefault="00C066B5" w:rsidP="00C066B5">
      <w:pPr>
        <w:ind w:left="720"/>
        <w:rPr>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C83DF5"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C83DF5" w:rsidRDefault="00C066B5" w:rsidP="00FC0808">
            <w:pPr>
              <w:keepNext/>
              <w:spacing w:after="200" w:line="276" w:lineRule="auto"/>
              <w:rPr>
                <w:rFonts w:eastAsia="Calibri" w:cs="Tahoma"/>
                <w:szCs w:val="18"/>
              </w:rPr>
            </w:pPr>
            <w:r w:rsidRPr="00C83DF5">
              <w:rPr>
                <w:b/>
                <w:color w:val="000000"/>
              </w:rPr>
              <w:lastRenderedPageBreak/>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C83DF5" w:rsidRDefault="00C066B5" w:rsidP="00FC0808">
            <w:pPr>
              <w:keepNext/>
              <w:spacing w:after="200" w:line="276" w:lineRule="auto"/>
              <w:rPr>
                <w:rFonts w:eastAsia="Calibri" w:cs="Tahoma"/>
                <w:szCs w:val="18"/>
              </w:rPr>
            </w:pPr>
            <w:r w:rsidRPr="00C83DF5">
              <w:rPr>
                <w:b/>
                <w:color w:val="000000"/>
              </w:rPr>
              <w:t>Lizenzgewährung</w:t>
            </w:r>
          </w:p>
        </w:tc>
      </w:tr>
      <w:tr w:rsidR="00C066B5" w:rsidRPr="00C83DF5"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C83DF5" w:rsidRDefault="00C066B5" w:rsidP="00FC0808">
            <w:pPr>
              <w:keepNext/>
              <w:spacing w:line="276" w:lineRule="auto"/>
              <w:rPr>
                <w:rFonts w:eastAsia="Calibri" w:cs="Tahoma"/>
                <w:szCs w:val="18"/>
              </w:rPr>
            </w:pPr>
            <w:r w:rsidRPr="00C83DF5">
              <w:rPr>
                <w:rFonts w:eastAsia="Calibri" w:cs="Tahoma"/>
                <w:szCs w:val="18"/>
                <w:lang w:val="de-DE"/>
              </w:rPr>
              <w:t xml:space="preserve">SBS 2011 Premium Add-on mit Software Assurance bis zum 31. </w:t>
            </w:r>
            <w:r w:rsidRPr="00C83DF5">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C83DF5" w:rsidRDefault="00C066B5" w:rsidP="00FC0808">
            <w:pPr>
              <w:keepNext/>
              <w:spacing w:line="276" w:lineRule="auto"/>
            </w:pPr>
            <w:r w:rsidRPr="00C83DF5">
              <w:rPr>
                <w:rFonts w:eastAsia="Calibri" w:cs="Tahoma"/>
                <w:szCs w:val="18"/>
              </w:rPr>
              <w:t xml:space="preserve">Windows Server 2008 R2 </w:t>
            </w:r>
          </w:p>
          <w:p w:rsidR="00C066B5" w:rsidRPr="00C83DF5" w:rsidRDefault="00C066B5" w:rsidP="00FC0808">
            <w:pPr>
              <w:keepNext/>
              <w:spacing w:line="276" w:lineRule="auto"/>
              <w:rPr>
                <w:rFonts w:eastAsia="Calibri" w:cs="Tahoma"/>
                <w:szCs w:val="18"/>
              </w:rPr>
            </w:pPr>
            <w:r w:rsidRPr="00C83DF5">
              <w:rPr>
                <w:rFonts w:eastAsia="Calibri" w:cs="Tahoma"/>
                <w:szCs w:val="18"/>
              </w:rPr>
              <w:t xml:space="preserve">SQL Server 2012 </w:t>
            </w:r>
          </w:p>
        </w:tc>
      </w:tr>
      <w:tr w:rsidR="00C066B5" w:rsidRPr="00C83DF5"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C83DF5" w:rsidRDefault="00C066B5" w:rsidP="00FC0808">
            <w:pPr>
              <w:keepNext/>
              <w:spacing w:line="276" w:lineRule="auto"/>
              <w:rPr>
                <w:rFonts w:eastAsia="Calibri" w:cs="Tahoma"/>
                <w:szCs w:val="18"/>
              </w:rPr>
            </w:pPr>
            <w:r w:rsidRPr="00C83DF5">
              <w:rPr>
                <w:rFonts w:eastAsia="Calibri" w:cs="Tahoma"/>
                <w:szCs w:val="18"/>
                <w:lang w:val="de-DE"/>
              </w:rPr>
              <w:t xml:space="preserve">SBS 2011 Premium Add-on mit Software Assurance ab dem 1. </w:t>
            </w:r>
            <w:r w:rsidRPr="00C83DF5">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C83DF5" w:rsidRDefault="00C066B5" w:rsidP="00FC0808">
            <w:pPr>
              <w:keepNext/>
              <w:spacing w:line="276" w:lineRule="auto"/>
            </w:pPr>
            <w:r w:rsidRPr="00C83DF5">
              <w:rPr>
                <w:rFonts w:eastAsia="Calibri" w:cs="Tahoma"/>
                <w:szCs w:val="18"/>
              </w:rPr>
              <w:t>Windows Server 2012 mit Software Assurance</w:t>
            </w:r>
          </w:p>
          <w:p w:rsidR="00C066B5" w:rsidRPr="00C83DF5" w:rsidRDefault="00C066B5" w:rsidP="00FC0808">
            <w:pPr>
              <w:keepNext/>
              <w:spacing w:line="276" w:lineRule="auto"/>
              <w:rPr>
                <w:rFonts w:eastAsia="Calibri" w:cs="Tahoma"/>
                <w:szCs w:val="18"/>
              </w:rPr>
            </w:pPr>
            <w:r w:rsidRPr="00C83DF5">
              <w:rPr>
                <w:rFonts w:eastAsia="Calibri" w:cs="Tahoma"/>
                <w:szCs w:val="18"/>
              </w:rPr>
              <w:t>SQL Server 2012 mit Software Assurance</w:t>
            </w:r>
          </w:p>
        </w:tc>
      </w:tr>
    </w:tbl>
    <w:p w:rsidR="00C066B5" w:rsidRPr="00E73DFD" w:rsidRDefault="00C066B5" w:rsidP="00C066B5">
      <w:pPr>
        <w:pStyle w:val="ListParagraph"/>
        <w:spacing w:after="100" w:afterAutospacing="1"/>
        <w:rPr>
          <w:rFonts w:ascii="Tahoma" w:hAnsi="Tahoma" w:cs="Tahoma"/>
          <w:sz w:val="18"/>
          <w:szCs w:val="18"/>
        </w:rPr>
      </w:pPr>
    </w:p>
    <w:p w:rsidR="00C066B5" w:rsidRPr="00E73DFD" w:rsidRDefault="00C066B5" w:rsidP="00C066B5">
      <w:pPr>
        <w:pStyle w:val="ListParagraph"/>
        <w:contextualSpacing w:val="0"/>
        <w:rPr>
          <w:rFonts w:ascii="Tahoma" w:hAnsi="Tahoma" w:cs="Tahoma"/>
          <w:sz w:val="18"/>
          <w:szCs w:val="18"/>
          <w:lang w:val="de-DE"/>
        </w:rPr>
      </w:pPr>
      <w:r w:rsidRPr="00E73DFD">
        <w:rPr>
          <w:rFonts w:ascii="Tahoma" w:eastAsia="Calibri" w:hAnsi="Tahoma" w:cs="Tahoma"/>
          <w:sz w:val="18"/>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die im </w:t>
      </w:r>
      <w:r w:rsidRPr="00E73DFD">
        <w:rPr>
          <w:rStyle w:val="CommentReference"/>
          <w:rFonts w:ascii="Tahoma" w:hAnsi="Tahoma" w:cs="Tahoma"/>
          <w:sz w:val="18"/>
          <w:szCs w:val="18"/>
          <w:lang w:val="de-DE"/>
        </w:rPr>
        <w:t>August 2</w:t>
      </w:r>
      <w:r w:rsidRPr="00E73DFD">
        <w:rPr>
          <w:rFonts w:ascii="Tahoma" w:eastAsia="Calibri" w:hAnsi="Tahoma" w:cs="Tahoma"/>
          <w:sz w:val="18"/>
          <w:szCs w:val="18"/>
          <w:lang w:val="de-DE"/>
        </w:rPr>
        <w:t>012 ablaufen, bis zum 31. Dezember 2012 für die im Rahmen dieses Angebots gewährten Lizenzen Software Assurance verlängern.</w:t>
      </w:r>
    </w:p>
    <w:p w:rsidR="00C066B5" w:rsidRPr="00E73DFD" w:rsidRDefault="00C066B5" w:rsidP="00C066B5">
      <w:pPr>
        <w:pStyle w:val="ListParagraph"/>
        <w:contextualSpacing w:val="0"/>
        <w:rPr>
          <w:rFonts w:ascii="Tahoma" w:hAnsi="Tahoma" w:cs="Tahoma"/>
          <w:sz w:val="18"/>
          <w:szCs w:val="18"/>
          <w:lang w:val="de-DE"/>
        </w:rPr>
      </w:pPr>
    </w:p>
    <w:p w:rsidR="00C066B5" w:rsidRPr="00E73DFD" w:rsidRDefault="00C066B5" w:rsidP="00D933F4">
      <w:pPr>
        <w:spacing w:line="276" w:lineRule="auto"/>
        <w:ind w:left="720"/>
        <w:rPr>
          <w:rFonts w:cs="Tahoma"/>
          <w:szCs w:val="18"/>
          <w:lang w:val="de-DE"/>
        </w:rPr>
      </w:pPr>
      <w:r w:rsidRPr="00E73DFD">
        <w:rPr>
          <w:rFonts w:cs="Tahoma"/>
          <w:color w:val="000000"/>
          <w:szCs w:val="18"/>
          <w:lang w:val="de-DE"/>
        </w:rPr>
        <w:t xml:space="preserve">Kunden mit Software Assurance für Qualifizierende Lizenzen, die im Juli 2012 ablaufen, sind </w:t>
      </w:r>
      <w:r w:rsidRPr="00E73DFD">
        <w:rPr>
          <w:rFonts w:eastAsia="Calibri" w:cs="Tahoma"/>
          <w:szCs w:val="18"/>
          <w:lang w:val="de-DE"/>
        </w:rPr>
        <w:t>bis zum 31.</w:t>
      </w:r>
      <w:r w:rsidR="00D933F4">
        <w:rPr>
          <w:rFonts w:eastAsia="Calibri" w:cs="Tahoma"/>
          <w:szCs w:val="18"/>
          <w:lang w:val="de-DE"/>
        </w:rPr>
        <w:t> </w:t>
      </w:r>
      <w:r w:rsidRPr="00E73DFD">
        <w:rPr>
          <w:rFonts w:eastAsia="Calibri" w:cs="Tahoma"/>
          <w:szCs w:val="18"/>
          <w:lang w:val="de-DE"/>
        </w:rPr>
        <w:t>Dezember 2012 berechtigt, für die im Rahmen dieses Angebots gewährten Lizenzen Software Assurance zu erwerben.</w:t>
      </w:r>
    </w:p>
    <w:p w:rsidR="00C066B5" w:rsidRPr="00E73DFD" w:rsidRDefault="00C066B5" w:rsidP="00C066B5">
      <w:pPr>
        <w:spacing w:line="276" w:lineRule="auto"/>
        <w:ind w:left="720"/>
        <w:rPr>
          <w:rFonts w:cs="Tahoma"/>
          <w:szCs w:val="18"/>
          <w:lang w:val="de-DE"/>
        </w:rPr>
      </w:pPr>
    </w:p>
    <w:p w:rsidR="00C066B5" w:rsidRPr="00E73DFD" w:rsidRDefault="00C066B5" w:rsidP="00C066B5">
      <w:pPr>
        <w:pStyle w:val="ListParagraph"/>
        <w:contextualSpacing w:val="0"/>
        <w:rPr>
          <w:rFonts w:ascii="Tahoma" w:hAnsi="Tahoma" w:cs="Tahoma"/>
          <w:sz w:val="18"/>
          <w:szCs w:val="18"/>
          <w:lang w:val="de-DE"/>
        </w:rPr>
      </w:pPr>
      <w:r w:rsidRPr="00E73DFD">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C066B5" w:rsidRPr="00E73DFD" w:rsidRDefault="00C066B5" w:rsidP="00C066B5">
      <w:pPr>
        <w:pStyle w:val="ListParagraph"/>
        <w:contextualSpacing w:val="0"/>
        <w:rPr>
          <w:rFonts w:ascii="Tahoma" w:hAnsi="Tahoma" w:cs="Tahoma"/>
          <w:sz w:val="18"/>
          <w:szCs w:val="18"/>
          <w:lang w:val="de-DE"/>
        </w:rPr>
      </w:pPr>
    </w:p>
    <w:p w:rsidR="00C066B5" w:rsidRPr="00E73DFD" w:rsidRDefault="00C066B5" w:rsidP="00C066B5">
      <w:pPr>
        <w:pStyle w:val="ListParagraph"/>
        <w:contextualSpacing w:val="0"/>
        <w:rPr>
          <w:rFonts w:ascii="Tahoma" w:hAnsi="Tahoma" w:cs="Tahoma"/>
          <w:sz w:val="18"/>
          <w:szCs w:val="18"/>
          <w:lang w:val="de-DE"/>
        </w:rPr>
      </w:pPr>
      <w:r w:rsidRPr="00E73DFD">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rsidR="00C066B5" w:rsidRPr="00E73DFD" w:rsidRDefault="00C066B5" w:rsidP="00C066B5">
      <w:pPr>
        <w:pStyle w:val="ListParagraph"/>
        <w:contextualSpacing w:val="0"/>
        <w:rPr>
          <w:rFonts w:ascii="Tahoma" w:hAnsi="Tahoma" w:cs="Tahoma"/>
          <w:sz w:val="18"/>
          <w:szCs w:val="18"/>
          <w:lang w:val="de-DE"/>
        </w:rPr>
      </w:pPr>
    </w:p>
    <w:p w:rsidR="00C066B5" w:rsidRPr="00D933F4" w:rsidRDefault="00C066B5" w:rsidP="00D933F4">
      <w:pPr>
        <w:pStyle w:val="ListParagraph"/>
        <w:numPr>
          <w:ilvl w:val="1"/>
          <w:numId w:val="100"/>
        </w:numPr>
        <w:tabs>
          <w:tab w:val="clear" w:pos="1440"/>
        </w:tabs>
        <w:spacing w:after="60"/>
        <w:contextualSpacing w:val="0"/>
        <w:rPr>
          <w:rFonts w:ascii="Tahoma" w:hAnsi="Tahoma" w:cs="Tahoma"/>
          <w:sz w:val="18"/>
          <w:szCs w:val="18"/>
          <w:lang w:val="de-DE"/>
        </w:rPr>
      </w:pPr>
      <w:r w:rsidRPr="00E73DFD">
        <w:rPr>
          <w:rFonts w:ascii="Tahoma" w:eastAsia="Calibri" w:hAnsi="Tahoma" w:cs="Tahoma"/>
          <w:sz w:val="18"/>
          <w:szCs w:val="18"/>
          <w:lang w:val="de-DE"/>
        </w:rPr>
        <w:t>Je eine Lizenz für Windows Server 2012 Standard und SQL Server 2012 Standard (lizenziert unter</w:t>
      </w:r>
      <w:r w:rsidR="00D933F4">
        <w:rPr>
          <w:rFonts w:ascii="Tahoma" w:eastAsia="Calibri" w:hAnsi="Tahoma" w:cs="Tahoma"/>
          <w:sz w:val="18"/>
          <w:szCs w:val="18"/>
          <w:lang w:val="de-DE"/>
        </w:rPr>
        <w:t> </w:t>
      </w:r>
      <w:r w:rsidRPr="00E73DFD">
        <w:rPr>
          <w:rFonts w:ascii="Tahoma" w:eastAsia="Calibri" w:hAnsi="Tahoma" w:cs="Tahoma"/>
          <w:sz w:val="18"/>
          <w:szCs w:val="18"/>
          <w:lang w:val="de-DE"/>
        </w:rPr>
        <w:t xml:space="preserve">dem Server-/CAL-Lizenzmodell) für Verträge, die ab dem 1. </w:t>
      </w:r>
      <w:r w:rsidRPr="00D933F4">
        <w:rPr>
          <w:rFonts w:ascii="Tahoma" w:eastAsia="Calibri" w:hAnsi="Tahoma" w:cs="Tahoma"/>
          <w:sz w:val="18"/>
          <w:szCs w:val="18"/>
          <w:lang w:val="de-DE"/>
        </w:rPr>
        <w:t>August 2012 ablaufen, oder</w:t>
      </w:r>
    </w:p>
    <w:p w:rsidR="00C066B5" w:rsidRPr="00E73DFD" w:rsidRDefault="00C066B5" w:rsidP="00C066B5">
      <w:pPr>
        <w:pStyle w:val="ListParagraph"/>
        <w:numPr>
          <w:ilvl w:val="1"/>
          <w:numId w:val="100"/>
        </w:numPr>
        <w:tabs>
          <w:tab w:val="clear" w:pos="1440"/>
        </w:tabs>
        <w:spacing w:after="60"/>
        <w:contextualSpacing w:val="0"/>
        <w:rPr>
          <w:rFonts w:ascii="Tahoma" w:hAnsi="Tahoma" w:cs="Tahoma"/>
          <w:sz w:val="18"/>
          <w:szCs w:val="18"/>
          <w:lang w:val="de-DE"/>
        </w:rPr>
      </w:pPr>
      <w:r w:rsidRPr="00E73DFD">
        <w:rPr>
          <w:rFonts w:ascii="Tahoma" w:eastAsia="Calibri" w:hAnsi="Tahoma" w:cs="Tahoma"/>
          <w:sz w:val="18"/>
          <w:szCs w:val="18"/>
          <w:lang w:val="de-DE"/>
        </w:rPr>
        <w:t>Je eine Lizenz für Windows Server 2008 R2 Standard und SQL S</w:t>
      </w:r>
      <w:r w:rsidR="00D933F4">
        <w:rPr>
          <w:rFonts w:ascii="Tahoma" w:eastAsia="Calibri" w:hAnsi="Tahoma" w:cs="Tahoma"/>
          <w:sz w:val="18"/>
          <w:szCs w:val="18"/>
          <w:lang w:val="de-DE"/>
        </w:rPr>
        <w:t>erver 2012 Standard (lizenziert </w:t>
      </w:r>
      <w:r w:rsidRPr="00E73DFD">
        <w:rPr>
          <w:rFonts w:ascii="Tahoma" w:eastAsia="Calibri" w:hAnsi="Tahoma" w:cs="Tahoma"/>
          <w:sz w:val="18"/>
          <w:szCs w:val="18"/>
          <w:lang w:val="de-DE"/>
        </w:rPr>
        <w:t>unter dem Server-/CAL-Lizenzmodell) für Verträge, die im Juli 2012 ablaufen.</w:t>
      </w:r>
    </w:p>
    <w:p w:rsidR="00C066B5" w:rsidRPr="00E73DFD" w:rsidRDefault="00C066B5" w:rsidP="00C066B5">
      <w:pPr>
        <w:spacing w:line="276" w:lineRule="auto"/>
        <w:ind w:left="720"/>
        <w:rPr>
          <w:rFonts w:cs="Tahoma"/>
          <w:szCs w:val="18"/>
          <w:lang w:val="de-DE"/>
        </w:rPr>
      </w:pPr>
    </w:p>
    <w:p w:rsidR="00C066B5" w:rsidRPr="00E73DFD" w:rsidRDefault="00C066B5" w:rsidP="00D933F4">
      <w:pPr>
        <w:spacing w:line="276" w:lineRule="auto"/>
        <w:ind w:left="720"/>
        <w:rPr>
          <w:rFonts w:cs="Tahoma"/>
          <w:szCs w:val="18"/>
          <w:lang w:val="de-DE"/>
        </w:rPr>
      </w:pPr>
      <w:r w:rsidRPr="00E73DFD">
        <w:rPr>
          <w:rFonts w:eastAsia="Calibri" w:cs="Tahoma"/>
          <w:szCs w:val="18"/>
          <w:lang w:val="de-DE"/>
        </w:rPr>
        <w:t>Bei Upgrade auf Windows Server Standard und SQL Server 2012 Standard unter dieser Gewährung sind die</w:t>
      </w:r>
      <w:r w:rsidR="00D933F4">
        <w:rPr>
          <w:rFonts w:eastAsia="Calibri" w:cs="Tahoma"/>
          <w:szCs w:val="18"/>
          <w:lang w:val="de-DE"/>
        </w:rPr>
        <w:t> </w:t>
      </w:r>
      <w:r w:rsidRPr="00E73DFD">
        <w:rPr>
          <w:rFonts w:eastAsia="Calibri" w:cs="Tahoma"/>
          <w:szCs w:val="18"/>
          <w:lang w:val="de-DE"/>
        </w:rPr>
        <w:t>bestehenden Qualifizierenden Lizenzen für SBS Premium Add-On des Kunden nicht mehr gültig.</w:t>
      </w:r>
    </w:p>
    <w:p w:rsidR="00C066B5" w:rsidRPr="00E73DFD" w:rsidRDefault="00C066B5" w:rsidP="00C066B5">
      <w:pPr>
        <w:spacing w:line="276" w:lineRule="auto"/>
        <w:ind w:left="720"/>
        <w:rPr>
          <w:rFonts w:cs="Tahoma"/>
          <w:szCs w:val="18"/>
          <w:lang w:val="de-DE"/>
        </w:rPr>
      </w:pPr>
    </w:p>
    <w:p w:rsidR="00C066B5" w:rsidRPr="00E73DFD" w:rsidRDefault="00C066B5" w:rsidP="00C066B5">
      <w:pPr>
        <w:spacing w:line="276" w:lineRule="auto"/>
        <w:ind w:left="720"/>
        <w:rPr>
          <w:rFonts w:cs="Tahoma"/>
          <w:szCs w:val="18"/>
          <w:lang w:val="de-DE"/>
        </w:rPr>
      </w:pPr>
      <w:r w:rsidRPr="00E73DFD">
        <w:rPr>
          <w:rFonts w:eastAsia="Calibri" w:cs="Tahoma"/>
          <w:szCs w:val="18"/>
          <w:lang w:val="de-DE"/>
        </w:rPr>
        <w:t>SBS 2011 Premium Add-On-Lizenzen die danach unter derselben Beitrittslaufzeit im Rahmen des planmäßigen True Up-Prozesses eines Open Value Subscription- oder Beitritt für Bildungslösungen-Kunden erworben werden, sind ebenfalls Qualifizierende Lizenzen im Sinne der zuvor beschriebenen Gewährung.</w:t>
      </w:r>
    </w:p>
    <w:p w:rsidR="00C066B5" w:rsidRPr="00E73DFD" w:rsidRDefault="00C066B5" w:rsidP="000F0F4D">
      <w:pPr>
        <w:ind w:left="900"/>
        <w:rPr>
          <w:rFonts w:cs="Tahoma"/>
          <w:szCs w:val="18"/>
          <w:lang w:val="de-DE"/>
        </w:rPr>
      </w:pPr>
    </w:p>
    <w:p w:rsidR="00C066B5" w:rsidRPr="00E73DFD" w:rsidRDefault="00C066B5" w:rsidP="000F0F4D">
      <w:pPr>
        <w:ind w:left="900"/>
        <w:rPr>
          <w:rFonts w:cs="Tahoma"/>
          <w:szCs w:val="18"/>
          <w:lang w:val="de-DE"/>
        </w:rPr>
      </w:pPr>
    </w:p>
    <w:p w:rsidR="00E06578" w:rsidRPr="00C83DF5" w:rsidRDefault="00A560B6" w:rsidP="00EF2279">
      <w:pPr>
        <w:pStyle w:val="Heading2"/>
        <w:ind w:left="0"/>
      </w:pPr>
      <w:bookmarkStart w:id="1690" w:name="_124_Windows_Small"/>
      <w:bookmarkStart w:id="1691" w:name="_112_Windows_Small"/>
      <w:bookmarkStart w:id="1692" w:name="_117_Windows_Small"/>
      <w:bookmarkStart w:id="1693" w:name="_Toc336338380"/>
      <w:bookmarkStart w:id="1694" w:name="_Toc370983485"/>
      <w:bookmarkEnd w:id="1690"/>
      <w:bookmarkEnd w:id="1691"/>
      <w:bookmarkEnd w:id="1692"/>
      <w:r w:rsidRPr="00C83DF5">
        <w:rPr>
          <w:rFonts w:ascii="Tahoma" w:hAnsi="Tahoma" w:cs="Tahoma"/>
          <w:caps/>
          <w:color w:val="EE6000"/>
          <w:sz w:val="22"/>
          <w:szCs w:val="18"/>
          <w:vertAlign w:val="superscript"/>
        </w:rPr>
        <w:t>117</w:t>
      </w:r>
      <w:r w:rsidRPr="00C83DF5">
        <w:rPr>
          <w:rFonts w:ascii="Tahoma" w:hAnsi="Tahoma" w:cs="Tahoma"/>
          <w:color w:val="EE6000"/>
          <w:sz w:val="22"/>
          <w:szCs w:val="18"/>
        </w:rPr>
        <w:t xml:space="preserve"> </w:t>
      </w:r>
      <w:r w:rsidRPr="00C83DF5">
        <w:rPr>
          <w:rFonts w:ascii="Tahoma" w:hAnsi="Tahoma" w:cs="Tahoma"/>
          <w:color w:val="F8701C"/>
          <w:sz w:val="22"/>
          <w:szCs w:val="22"/>
        </w:rPr>
        <w:t>Windows Small Business Server (SBS) 2011 Premium Add-On CAL Suite</w:t>
      </w:r>
      <w:bookmarkEnd w:id="1693"/>
      <w:bookmarkEnd w:id="1694"/>
    </w:p>
    <w:p w:rsidR="00E06578" w:rsidRPr="008504F7" w:rsidRDefault="00E06578" w:rsidP="00910113">
      <w:pPr>
        <w:ind w:left="720"/>
        <w:rPr>
          <w:rFonts w:cs="Tahoma"/>
          <w:szCs w:val="18"/>
        </w:rPr>
      </w:pPr>
    </w:p>
    <w:p w:rsidR="00910113" w:rsidRPr="008504F7" w:rsidRDefault="00836655" w:rsidP="00910113">
      <w:pPr>
        <w:spacing w:after="60"/>
        <w:ind w:left="720"/>
        <w:rPr>
          <w:rFonts w:cs="Tahoma"/>
          <w:szCs w:val="18"/>
          <w:lang w:val="de-DE"/>
        </w:rPr>
      </w:pPr>
      <w:r w:rsidRPr="008504F7">
        <w:rPr>
          <w:rFonts w:cs="Tahoma"/>
          <w:b/>
          <w:color w:val="000000"/>
          <w:szCs w:val="18"/>
          <w:lang w:val="de-DE"/>
        </w:rPr>
        <w:t>Lizenzgewährungen im Zusammenhang mit dem Ende der Lebensdauer von SBS 2011 Premium Add-On CAL Suite</w:t>
      </w:r>
    </w:p>
    <w:p w:rsidR="002512D3" w:rsidRPr="008504F7" w:rsidRDefault="00836655" w:rsidP="00003601">
      <w:pPr>
        <w:ind w:left="720"/>
        <w:rPr>
          <w:rFonts w:cs="Tahoma"/>
          <w:szCs w:val="18"/>
          <w:lang w:val="de-DE"/>
        </w:rPr>
      </w:pPr>
      <w:r w:rsidRPr="008504F7">
        <w:rPr>
          <w:rFonts w:cs="Tahoma"/>
          <w:szCs w:val="18"/>
          <w:lang w:val="de-DE"/>
        </w:rPr>
        <w:t>Kunden mit Software Assurance für SBS 2011 Premium Add-on CAL Suite („Qualifizierende CALs“) sind berechtigt, auf die Software Window Server Standard und SQL Server 2012 Standard zuzugreifen.</w:t>
      </w:r>
      <w:r w:rsidR="00E71F46" w:rsidRPr="008504F7">
        <w:rPr>
          <w:rFonts w:cs="Tahoma"/>
          <w:szCs w:val="18"/>
          <w:lang w:val="de-DE"/>
        </w:rPr>
        <w:t xml:space="preserve"> </w:t>
      </w:r>
      <w:r w:rsidRPr="008504F7">
        <w:rPr>
          <w:rFonts w:cs="Tahoma"/>
          <w:szCs w:val="18"/>
          <w:lang w:val="de-DE"/>
        </w:rPr>
        <w:t xml:space="preserve">Für jede qualifizierende SBS 2011 Premium Add-On CAL Suite, die ein Kunde ab dem 1. August 2012 besitzt, erhält der Kunde eine Windows Server 2012 CAL und eine SQL Server 2012 CAL mit Software Assurance. </w:t>
      </w:r>
      <w:r w:rsidRPr="008504F7">
        <w:rPr>
          <w:rFonts w:eastAsia="Calibri" w:cs="Tahoma"/>
          <w:szCs w:val="18"/>
          <w:lang w:val="de-DE"/>
        </w:rPr>
        <w:t xml:space="preserve">Um diese Nutzung zu erleichtern, wird angenommen, dass dem Kunden für jede Qualifizierende Lizenz, die der Kunde besitzt, jeweils eine CAL für Windows Server und für SQL 2012 Server (lizenziert unter dem Server/CAL-Modell) entsprechend der nachstehenden Tabelle gewährt wird. </w:t>
      </w:r>
    </w:p>
    <w:p w:rsidR="00836655" w:rsidRDefault="00836655" w:rsidP="00910113">
      <w:pPr>
        <w:ind w:left="720"/>
        <w:rPr>
          <w:rFonts w:cs="Tahoma"/>
          <w:szCs w:val="18"/>
          <w:lang w:val="de-DE"/>
        </w:rPr>
      </w:pPr>
    </w:p>
    <w:p w:rsidR="006B649B" w:rsidRDefault="006B649B" w:rsidP="00910113">
      <w:pPr>
        <w:ind w:left="720"/>
        <w:rPr>
          <w:rFonts w:cs="Tahoma"/>
          <w:szCs w:val="18"/>
          <w:lang w:val="de-DE"/>
        </w:rPr>
      </w:pPr>
    </w:p>
    <w:p w:rsidR="006B649B" w:rsidRDefault="006B649B" w:rsidP="00910113">
      <w:pPr>
        <w:ind w:left="720"/>
        <w:rPr>
          <w:rFonts w:cs="Tahoma"/>
          <w:szCs w:val="18"/>
          <w:lang w:val="de-DE"/>
        </w:rPr>
      </w:pPr>
    </w:p>
    <w:p w:rsidR="006B649B" w:rsidRDefault="006B649B" w:rsidP="00910113">
      <w:pPr>
        <w:ind w:left="720"/>
        <w:rPr>
          <w:rFonts w:cs="Tahoma"/>
          <w:szCs w:val="18"/>
          <w:lang w:val="de-DE"/>
        </w:rPr>
      </w:pPr>
    </w:p>
    <w:p w:rsidR="006B649B" w:rsidRPr="008504F7" w:rsidRDefault="006B649B" w:rsidP="00910113">
      <w:pPr>
        <w:ind w:left="720"/>
        <w:rPr>
          <w:rFonts w:cs="Tahoma"/>
          <w:szCs w:val="18"/>
          <w:lang w:val="de-DE"/>
        </w:rPr>
      </w:pPr>
    </w:p>
    <w:p w:rsidR="00910113" w:rsidRPr="00C83DF5" w:rsidRDefault="00910113" w:rsidP="00910113">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C83DF5"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83DF5" w:rsidRDefault="00836655" w:rsidP="000A5032">
            <w:pPr>
              <w:spacing w:after="200" w:line="276" w:lineRule="auto"/>
              <w:rPr>
                <w:rFonts w:eastAsia="Calibri" w:cs="Tahoma"/>
                <w:szCs w:val="18"/>
              </w:rPr>
            </w:pPr>
            <w:r w:rsidRPr="00C83DF5">
              <w:rPr>
                <w:b/>
                <w:color w:val="000000"/>
              </w:rPr>
              <w:lastRenderedPageBreak/>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C83DF5" w:rsidRDefault="00836655" w:rsidP="000A5032">
            <w:pPr>
              <w:spacing w:after="200" w:line="276" w:lineRule="auto"/>
              <w:rPr>
                <w:rFonts w:eastAsia="Calibri" w:cs="Tahoma"/>
                <w:szCs w:val="18"/>
              </w:rPr>
            </w:pPr>
            <w:r w:rsidRPr="00C83DF5">
              <w:rPr>
                <w:b/>
                <w:color w:val="000000"/>
              </w:rPr>
              <w:t>Lizenzgewährung</w:t>
            </w:r>
          </w:p>
        </w:tc>
      </w:tr>
      <w:tr w:rsidR="00836655" w:rsidRPr="004D388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92F39" w:rsidRDefault="00836655" w:rsidP="00CA14C9">
            <w:pPr>
              <w:spacing w:line="276" w:lineRule="auto"/>
              <w:rPr>
                <w:rFonts w:eastAsia="Calibri" w:cs="Tahoma"/>
                <w:szCs w:val="18"/>
                <w:lang w:val="de-DE"/>
              </w:rPr>
            </w:pPr>
            <w:r w:rsidRPr="00767765">
              <w:rPr>
                <w:rFonts w:eastAsia="Calibri" w:cs="Tahoma"/>
                <w:szCs w:val="18"/>
                <w:lang w:val="de-DE"/>
              </w:rPr>
              <w:t xml:space="preserve">SBS 2011 Premium Add-on CAL Suite mit Software Assurance bis zum 31. </w:t>
            </w:r>
            <w:r w:rsidRPr="00D92F39">
              <w:rPr>
                <w:rFonts w:eastAsia="Calibri" w:cs="Tahoma"/>
                <w:szCs w:val="18"/>
                <w:lang w:val="de-DE"/>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83DF5" w:rsidRDefault="00836655" w:rsidP="00CA14C9">
            <w:pPr>
              <w:spacing w:line="276" w:lineRule="auto"/>
              <w:rPr>
                <w:lang w:val="de-DE"/>
              </w:rPr>
            </w:pPr>
            <w:r w:rsidRPr="00C83DF5">
              <w:rPr>
                <w:rFonts w:eastAsia="Calibri" w:cs="Tahoma"/>
                <w:szCs w:val="18"/>
                <w:lang w:val="de-DE"/>
              </w:rPr>
              <w:t>CAL für Windows Server 2008 R2</w:t>
            </w:r>
          </w:p>
          <w:p w:rsidR="00836655" w:rsidRPr="00C83DF5" w:rsidRDefault="00836655" w:rsidP="00CA14C9">
            <w:pPr>
              <w:spacing w:line="276" w:lineRule="auto"/>
              <w:rPr>
                <w:rFonts w:eastAsia="Calibri" w:cs="Tahoma"/>
                <w:szCs w:val="18"/>
                <w:lang w:val="de-DE"/>
              </w:rPr>
            </w:pPr>
            <w:r w:rsidRPr="00C83DF5">
              <w:rPr>
                <w:rFonts w:eastAsia="Calibri" w:cs="Tahoma"/>
                <w:szCs w:val="18"/>
                <w:lang w:val="de-DE"/>
              </w:rPr>
              <w:t>CAL für SQL Server 2012</w:t>
            </w:r>
          </w:p>
        </w:tc>
      </w:tr>
      <w:tr w:rsidR="00836655" w:rsidRPr="004D388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83DF5" w:rsidRDefault="00836655" w:rsidP="00CA14C9">
            <w:pPr>
              <w:spacing w:line="276" w:lineRule="auto"/>
              <w:rPr>
                <w:rFonts w:eastAsia="Calibri" w:cs="Tahoma"/>
                <w:szCs w:val="18"/>
              </w:rPr>
            </w:pPr>
            <w:r w:rsidRPr="00C83DF5">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83DF5" w:rsidRDefault="00836655" w:rsidP="00CA14C9">
            <w:pPr>
              <w:spacing w:line="276" w:lineRule="auto"/>
              <w:rPr>
                <w:lang w:val="de-DE"/>
              </w:rPr>
            </w:pPr>
            <w:r w:rsidRPr="00C83DF5">
              <w:rPr>
                <w:rFonts w:eastAsia="Calibri" w:cs="Tahoma"/>
                <w:szCs w:val="18"/>
                <w:lang w:val="de-DE"/>
              </w:rPr>
              <w:t>CAL für Windows Server 2012 mit Software Assurance</w:t>
            </w:r>
          </w:p>
          <w:p w:rsidR="00836655" w:rsidRPr="00C83DF5" w:rsidRDefault="00836655" w:rsidP="00CA14C9">
            <w:pPr>
              <w:spacing w:line="276" w:lineRule="auto"/>
              <w:rPr>
                <w:rFonts w:eastAsia="Calibri" w:cs="Tahoma"/>
                <w:szCs w:val="18"/>
                <w:lang w:val="de-DE"/>
              </w:rPr>
            </w:pPr>
            <w:r w:rsidRPr="00C83DF5">
              <w:rPr>
                <w:rFonts w:eastAsia="Calibri" w:cs="Tahoma"/>
                <w:szCs w:val="18"/>
                <w:lang w:val="de-DE"/>
              </w:rPr>
              <w:t>CAL für SQL Server 2012 mit Software Assurance</w:t>
            </w:r>
          </w:p>
        </w:tc>
      </w:tr>
    </w:tbl>
    <w:p w:rsidR="00836655" w:rsidRPr="006B649B" w:rsidRDefault="00836655" w:rsidP="00910113">
      <w:pPr>
        <w:rPr>
          <w:rFonts w:cs="Tahoma"/>
          <w:szCs w:val="18"/>
          <w:lang w:val="de-DE"/>
        </w:rPr>
      </w:pPr>
      <w:r w:rsidRPr="00C83DF5">
        <w:rPr>
          <w:rFonts w:eastAsia="Calibri" w:cs="Tahoma"/>
          <w:szCs w:val="18"/>
          <w:lang w:val="de-DE"/>
        </w:rPr>
        <w:t xml:space="preserve"> </w:t>
      </w:r>
    </w:p>
    <w:p w:rsidR="00836655" w:rsidRPr="006B649B" w:rsidRDefault="00836655" w:rsidP="006B649B">
      <w:pPr>
        <w:pStyle w:val="ListParagraph"/>
        <w:contextualSpacing w:val="0"/>
        <w:rPr>
          <w:rFonts w:ascii="Tahoma" w:hAnsi="Tahoma" w:cs="Tahoma"/>
          <w:sz w:val="18"/>
          <w:szCs w:val="18"/>
          <w:lang w:val="de-DE"/>
        </w:rPr>
      </w:pPr>
      <w:r w:rsidRPr="006B649B">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6B649B">
        <w:rPr>
          <w:rFonts w:ascii="Tahoma" w:eastAsia="Calibri" w:hAnsi="Tahoma" w:cs="Tahoma"/>
          <w:sz w:val="18"/>
          <w:szCs w:val="18"/>
          <w:lang w:val="de-DE"/>
        </w:rPr>
        <w:t> </w:t>
      </w:r>
      <w:r w:rsidRPr="006B649B">
        <w:rPr>
          <w:rFonts w:ascii="Tahoma" w:eastAsia="Calibri" w:hAnsi="Tahoma" w:cs="Tahoma"/>
          <w:sz w:val="18"/>
          <w:szCs w:val="18"/>
          <w:lang w:val="de-DE"/>
        </w:rPr>
        <w:t>Qualifizierende CALs, die im August 2012 ablaufen, bis zum 31. Dezember 2012 für die im Rahmen dieses Angebots gewährten CALs Software Assurance verlängern.</w:t>
      </w:r>
      <w:r w:rsidR="00E71F46" w:rsidRPr="006B649B">
        <w:rPr>
          <w:rFonts w:ascii="Tahoma" w:eastAsia="Calibri" w:hAnsi="Tahoma" w:cs="Tahoma"/>
          <w:sz w:val="18"/>
          <w:szCs w:val="18"/>
          <w:lang w:val="de-DE"/>
        </w:rPr>
        <w:t xml:space="preserve"> </w:t>
      </w:r>
      <w:r w:rsidRPr="006B649B">
        <w:rPr>
          <w:rFonts w:ascii="Tahoma" w:eastAsia="Calibri" w:hAnsi="Tahoma" w:cs="Tahoma"/>
          <w:sz w:val="18"/>
          <w:szCs w:val="18"/>
          <w:lang w:val="de-DE"/>
        </w:rPr>
        <w:t>Kunden mit Software Assurance für Qualifizierende CALs, die im Juli 2012 ablaufen, sind bis zum 31. Dezember 2012 berechtigt, für die im Rahmen dieses Angebots gewährten CALs Software Assurance zu erwerben.</w:t>
      </w:r>
    </w:p>
    <w:p w:rsidR="00910113" w:rsidRPr="006B649B" w:rsidRDefault="00910113" w:rsidP="00910113">
      <w:pPr>
        <w:pStyle w:val="ListParagraph"/>
        <w:contextualSpacing w:val="0"/>
        <w:rPr>
          <w:rFonts w:ascii="Tahoma" w:hAnsi="Tahoma" w:cs="Tahoma"/>
          <w:sz w:val="18"/>
          <w:szCs w:val="18"/>
          <w:lang w:val="de-DE"/>
        </w:rPr>
      </w:pPr>
    </w:p>
    <w:p w:rsidR="00836655" w:rsidRPr="006B649B" w:rsidRDefault="00836655" w:rsidP="00910113">
      <w:pPr>
        <w:pStyle w:val="ListParagraph"/>
        <w:contextualSpacing w:val="0"/>
        <w:rPr>
          <w:rFonts w:ascii="Tahoma" w:hAnsi="Tahoma" w:cs="Tahoma"/>
          <w:sz w:val="18"/>
          <w:szCs w:val="18"/>
          <w:lang w:val="de-DE"/>
        </w:rPr>
      </w:pPr>
      <w:r w:rsidRPr="006B649B">
        <w:rPr>
          <w:rFonts w:ascii="Tahoma" w:eastAsia="Calibri" w:hAnsi="Tahoma" w:cs="Tahoma"/>
          <w:sz w:val="18"/>
          <w:szCs w:val="18"/>
          <w:lang w:val="de-DE"/>
        </w:rPr>
        <w:t>Wenn Kunden zeitlich unbeschränkte Rechte unter Qualifizierenden CALs erworben haben, sind die unter</w:t>
      </w:r>
      <w:r w:rsidR="00DF3F89">
        <w:rPr>
          <w:rFonts w:ascii="Tahoma" w:eastAsia="Calibri" w:hAnsi="Tahoma" w:cs="Tahoma"/>
          <w:sz w:val="18"/>
          <w:szCs w:val="18"/>
          <w:lang w:val="de-DE"/>
        </w:rPr>
        <w:t xml:space="preserve"> </w:t>
      </w:r>
      <w:r w:rsidRPr="006B649B">
        <w:rPr>
          <w:rFonts w:ascii="Tahoma" w:eastAsia="Calibri" w:hAnsi="Tahoma" w:cs="Tahoma"/>
          <w:sz w:val="18"/>
          <w:szCs w:val="18"/>
          <w:lang w:val="de-DE"/>
        </w:rPr>
        <w:t>dieser Gewährung erworbenen CALs ebenfalls zeitlich unbeschränkt; ansonsten laufen unter dieser Gewährung erworbene CALs mit Ablauf der zugrunde liegenden Qualifizierenden CALs ab.</w:t>
      </w:r>
    </w:p>
    <w:p w:rsidR="00910113" w:rsidRPr="006B649B" w:rsidRDefault="00910113" w:rsidP="00910113">
      <w:pPr>
        <w:pStyle w:val="ListParagraph"/>
        <w:contextualSpacing w:val="0"/>
        <w:rPr>
          <w:rFonts w:ascii="Tahoma" w:hAnsi="Tahoma" w:cs="Tahoma"/>
          <w:sz w:val="18"/>
          <w:szCs w:val="18"/>
          <w:lang w:val="de-DE"/>
        </w:rPr>
      </w:pPr>
    </w:p>
    <w:p w:rsidR="00836655" w:rsidRPr="006B649B" w:rsidRDefault="00836655" w:rsidP="00910113">
      <w:pPr>
        <w:pStyle w:val="ListParagraph"/>
        <w:contextualSpacing w:val="0"/>
        <w:rPr>
          <w:rFonts w:ascii="Tahoma" w:hAnsi="Tahoma" w:cs="Tahoma"/>
          <w:sz w:val="18"/>
          <w:szCs w:val="18"/>
          <w:lang w:val="de-DE"/>
        </w:rPr>
      </w:pPr>
      <w:r w:rsidRPr="006B649B">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rsidR="00910113" w:rsidRPr="006B649B" w:rsidRDefault="00910113" w:rsidP="00910113">
      <w:pPr>
        <w:pStyle w:val="ListParagraph"/>
        <w:contextualSpacing w:val="0"/>
        <w:rPr>
          <w:rFonts w:ascii="Tahoma" w:hAnsi="Tahoma" w:cs="Tahoma"/>
          <w:sz w:val="18"/>
          <w:szCs w:val="18"/>
          <w:lang w:val="de-DE"/>
        </w:rPr>
      </w:pPr>
    </w:p>
    <w:p w:rsidR="00836655" w:rsidRPr="006B649B" w:rsidRDefault="00836655" w:rsidP="006B649B">
      <w:pPr>
        <w:pStyle w:val="ListParagraph"/>
        <w:numPr>
          <w:ilvl w:val="1"/>
          <w:numId w:val="100"/>
        </w:numPr>
        <w:tabs>
          <w:tab w:val="clear" w:pos="1440"/>
        </w:tabs>
        <w:spacing w:after="60"/>
        <w:ind w:hanging="274"/>
        <w:contextualSpacing w:val="0"/>
        <w:rPr>
          <w:rFonts w:ascii="Tahoma" w:hAnsi="Tahoma" w:cs="Tahoma"/>
          <w:sz w:val="18"/>
          <w:szCs w:val="18"/>
        </w:rPr>
      </w:pPr>
      <w:r w:rsidRPr="006B649B">
        <w:rPr>
          <w:rFonts w:ascii="Tahoma" w:eastAsia="Calibri" w:hAnsi="Tahoma" w:cs="Tahoma"/>
          <w:sz w:val="18"/>
          <w:szCs w:val="18"/>
          <w:lang w:val="de-DE"/>
        </w:rPr>
        <w:t>Je eine CAL für Windows Server 2012 und SQL Server 2012 für Verträge, die ab dem 1.</w:t>
      </w:r>
      <w:r w:rsidR="006B649B">
        <w:rPr>
          <w:rFonts w:ascii="Tahoma" w:eastAsia="Calibri" w:hAnsi="Tahoma" w:cs="Tahoma"/>
          <w:sz w:val="18"/>
          <w:szCs w:val="18"/>
          <w:lang w:val="de-DE"/>
        </w:rPr>
        <w:t> </w:t>
      </w:r>
      <w:r w:rsidRPr="006B649B">
        <w:rPr>
          <w:rFonts w:ascii="Tahoma" w:eastAsia="Calibri" w:hAnsi="Tahoma" w:cs="Tahoma"/>
          <w:sz w:val="18"/>
          <w:szCs w:val="18"/>
        </w:rPr>
        <w:t>August</w:t>
      </w:r>
      <w:r w:rsidR="006B649B">
        <w:rPr>
          <w:rFonts w:ascii="Tahoma" w:eastAsia="Calibri" w:hAnsi="Tahoma" w:cs="Tahoma"/>
          <w:sz w:val="18"/>
          <w:szCs w:val="18"/>
        </w:rPr>
        <w:t> </w:t>
      </w:r>
      <w:r w:rsidRPr="006B649B">
        <w:rPr>
          <w:rFonts w:ascii="Tahoma" w:eastAsia="Calibri" w:hAnsi="Tahoma" w:cs="Tahoma"/>
          <w:sz w:val="18"/>
          <w:szCs w:val="18"/>
        </w:rPr>
        <w:t>2012 ablaufen,</w:t>
      </w:r>
    </w:p>
    <w:p w:rsidR="00836655" w:rsidRPr="006B649B"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de-DE"/>
        </w:rPr>
      </w:pPr>
      <w:r w:rsidRPr="006B649B">
        <w:rPr>
          <w:rFonts w:ascii="Tahoma" w:eastAsia="Calibri" w:hAnsi="Tahoma" w:cs="Tahoma"/>
          <w:sz w:val="18"/>
          <w:szCs w:val="18"/>
          <w:lang w:val="de-DE"/>
        </w:rPr>
        <w:t>Je eine CAL für Windows Server 2008 und SQL Server 2012 für Verträge, die im Juli 2012 ablaufen.</w:t>
      </w:r>
    </w:p>
    <w:p w:rsidR="00910113" w:rsidRPr="006B649B" w:rsidRDefault="00910113" w:rsidP="00910113">
      <w:pPr>
        <w:pStyle w:val="ListParagraph"/>
        <w:ind w:left="1800"/>
        <w:contextualSpacing w:val="0"/>
        <w:rPr>
          <w:rFonts w:ascii="Tahoma" w:hAnsi="Tahoma" w:cs="Tahoma"/>
          <w:sz w:val="18"/>
          <w:szCs w:val="18"/>
          <w:lang w:val="de-DE"/>
        </w:rPr>
      </w:pPr>
    </w:p>
    <w:p w:rsidR="00836655" w:rsidRPr="006B649B" w:rsidRDefault="00836655" w:rsidP="006B649B">
      <w:pPr>
        <w:ind w:left="720"/>
        <w:rPr>
          <w:rFonts w:cs="Tahoma"/>
          <w:szCs w:val="18"/>
          <w:lang w:val="de-DE"/>
        </w:rPr>
      </w:pPr>
      <w:r w:rsidRPr="006B649B">
        <w:rPr>
          <w:rFonts w:eastAsia="Calibri" w:cs="Tahoma"/>
          <w:szCs w:val="18"/>
          <w:lang w:val="de-DE"/>
        </w:rPr>
        <w:t>Bei Nutzung der CALs für Windows Server 2012 SQL und für SQL Server 2012 unter dieser Gewährung sind</w:t>
      </w:r>
      <w:r w:rsidR="006B649B">
        <w:rPr>
          <w:rFonts w:eastAsia="Calibri" w:cs="Tahoma"/>
          <w:szCs w:val="18"/>
          <w:lang w:val="de-DE"/>
        </w:rPr>
        <w:t> </w:t>
      </w:r>
      <w:r w:rsidRPr="006B649B">
        <w:rPr>
          <w:rFonts w:eastAsia="Calibri" w:cs="Tahoma"/>
          <w:szCs w:val="18"/>
          <w:lang w:val="de-DE"/>
        </w:rPr>
        <w:t>die bestehenden Qualifizierenden CAL Suites für SBS Premium Add-On des Kunden nicht mehr gültig.</w:t>
      </w:r>
    </w:p>
    <w:p w:rsidR="00910113" w:rsidRPr="006B649B" w:rsidRDefault="00910113" w:rsidP="00910113">
      <w:pPr>
        <w:ind w:left="720"/>
        <w:rPr>
          <w:rFonts w:cs="Tahoma"/>
          <w:szCs w:val="18"/>
          <w:lang w:val="de-DE"/>
        </w:rPr>
      </w:pPr>
    </w:p>
    <w:p w:rsidR="00836655" w:rsidRPr="006B649B" w:rsidRDefault="00836655" w:rsidP="00910113">
      <w:pPr>
        <w:ind w:left="720"/>
        <w:rPr>
          <w:rFonts w:cs="Tahoma"/>
          <w:szCs w:val="18"/>
          <w:lang w:val="de-DE"/>
        </w:rPr>
      </w:pPr>
      <w:r w:rsidRPr="006B649B">
        <w:rPr>
          <w:rFonts w:cs="Tahoma"/>
          <w:color w:val="000000"/>
          <w:szCs w:val="18"/>
          <w:lang w:val="de-DE"/>
        </w:rPr>
        <w:t>SBS 2011 Premium Add-On CAL Suites</w:t>
      </w:r>
      <w:r w:rsidRPr="006B649B">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CALs im Sinne der zuvor beschriebenen Gewährung.</w:t>
      </w:r>
      <w:r w:rsidRPr="006B649B">
        <w:rPr>
          <w:rFonts w:eastAsia="Calibri" w:cs="Tahoma"/>
          <w:szCs w:val="18"/>
          <w:lang w:val="de-DE"/>
        </w:rPr>
        <w:t xml:space="preserve"> </w:t>
      </w:r>
    </w:p>
    <w:p w:rsidR="00836655" w:rsidRPr="006B649B" w:rsidRDefault="00836655" w:rsidP="00910113">
      <w:pPr>
        <w:rPr>
          <w:rFonts w:cs="Tahoma"/>
          <w:szCs w:val="18"/>
          <w:lang w:val="de-DE"/>
        </w:rPr>
      </w:pPr>
    </w:p>
    <w:p w:rsidR="00836655" w:rsidRPr="006B649B" w:rsidRDefault="00836655" w:rsidP="00910113">
      <w:pPr>
        <w:widowControl w:val="0"/>
        <w:jc w:val="both"/>
        <w:rPr>
          <w:rFonts w:cs="Tahoma"/>
          <w:szCs w:val="18"/>
          <w:lang w:val="de-DE"/>
        </w:rPr>
      </w:pPr>
      <w:bookmarkStart w:id="1695" w:name="_123_Windows_Azure"/>
      <w:bookmarkEnd w:id="1695"/>
    </w:p>
    <w:p w:rsidR="00836655" w:rsidRPr="00C83DF5" w:rsidRDefault="00A560B6" w:rsidP="007B35CE">
      <w:pPr>
        <w:pStyle w:val="Heading2"/>
        <w:keepNext/>
        <w:ind w:left="0"/>
        <w:rPr>
          <w:lang w:val="de-DE"/>
        </w:rPr>
      </w:pPr>
      <w:bookmarkStart w:id="1696" w:name="_124_Windows_Small_1"/>
      <w:bookmarkStart w:id="1697" w:name="_114_Windows_Small"/>
      <w:bookmarkStart w:id="1698" w:name="_118_Windows_Small"/>
      <w:bookmarkStart w:id="1699" w:name="_Toc336338381"/>
      <w:bookmarkStart w:id="1700" w:name="_Toc370983486"/>
      <w:bookmarkEnd w:id="1696"/>
      <w:bookmarkEnd w:id="1697"/>
      <w:bookmarkEnd w:id="1698"/>
      <w:r w:rsidRPr="00C83DF5">
        <w:rPr>
          <w:rFonts w:ascii="Tahoma" w:hAnsi="Tahoma" w:cs="Tahoma"/>
          <w:color w:val="F8701C"/>
          <w:sz w:val="22"/>
          <w:szCs w:val="22"/>
          <w:vertAlign w:val="superscript"/>
          <w:lang w:val="de-DE"/>
        </w:rPr>
        <w:t>118</w:t>
      </w:r>
      <w:r w:rsidRPr="00F06A29">
        <w:rPr>
          <w:rFonts w:ascii="Tahoma" w:hAnsi="Tahoma" w:cs="Tahoma"/>
          <w:color w:val="F8701C"/>
          <w:sz w:val="22"/>
          <w:szCs w:val="22"/>
          <w:lang w:val="de-DE"/>
        </w:rPr>
        <w:t xml:space="preserve"> </w:t>
      </w:r>
      <w:r w:rsidRPr="00C83DF5">
        <w:rPr>
          <w:rFonts w:ascii="Tahoma" w:hAnsi="Tahoma" w:cs="Tahoma"/>
          <w:color w:val="F8701C"/>
          <w:sz w:val="22"/>
          <w:szCs w:val="22"/>
          <w:lang w:val="de-DE"/>
        </w:rPr>
        <w:t>Windows Small Business Server 2011 Essentials</w:t>
      </w:r>
      <w:bookmarkEnd w:id="1699"/>
      <w:bookmarkEnd w:id="1700"/>
    </w:p>
    <w:p w:rsidR="003C1BA8" w:rsidRPr="00C83DF5" w:rsidRDefault="003C1BA8" w:rsidP="007B35CE">
      <w:pPr>
        <w:keepNext/>
        <w:rPr>
          <w:lang w:val="de-DE"/>
        </w:rPr>
      </w:pPr>
    </w:p>
    <w:p w:rsidR="00910113" w:rsidRPr="00C83DF5" w:rsidRDefault="00836655" w:rsidP="00910113">
      <w:pPr>
        <w:spacing w:after="60"/>
        <w:ind w:left="720"/>
        <w:rPr>
          <w:lang w:val="de-DE"/>
        </w:rPr>
      </w:pPr>
      <w:r w:rsidRPr="00C83DF5">
        <w:rPr>
          <w:b/>
          <w:bCs/>
          <w:color w:val="000000"/>
          <w:lang w:val="de-DE"/>
        </w:rPr>
        <w:t>Lizenzgewährungen im Zusammenhang mit dem Ende der Lebensdauer von Windows Small Server (SBS) 2011 Essentials</w:t>
      </w:r>
      <w:r w:rsidRPr="00C83DF5">
        <w:rPr>
          <w:color w:val="000000"/>
          <w:lang w:val="de-DE"/>
        </w:rPr>
        <w:t xml:space="preserve"> </w:t>
      </w:r>
    </w:p>
    <w:p w:rsidR="00836655" w:rsidRPr="00C83DF5" w:rsidRDefault="00836655" w:rsidP="00F06A29">
      <w:pPr>
        <w:ind w:left="720"/>
        <w:rPr>
          <w:lang w:val="de-DE"/>
        </w:rPr>
      </w:pPr>
      <w:r w:rsidRPr="00C83DF5">
        <w:rPr>
          <w:lang w:val="de-DE"/>
        </w:rPr>
        <w:t>Windows SBS 2011 Essentials ist die letzte Version von Windows SBS Essentials. Volumenlizenzkunden, die</w:t>
      </w:r>
      <w:r w:rsidR="00F06A29">
        <w:rPr>
          <w:lang w:val="de-DE"/>
        </w:rPr>
        <w:t> </w:t>
      </w:r>
      <w:r w:rsidRPr="00C83DF5">
        <w:rPr>
          <w:lang w:val="de-DE"/>
        </w:rPr>
        <w:t>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sidR="00F06A29">
        <w:rPr>
          <w:lang w:val="de-DE"/>
        </w:rPr>
        <w:t> </w:t>
      </w:r>
      <w:r w:rsidRPr="00C83DF5">
        <w:rPr>
          <w:lang w:val="de-DE"/>
        </w:rPr>
        <w:t xml:space="preserve">berechtigt, auf die Software Windows Server 2012 Essentials </w:t>
      </w:r>
      <w:r w:rsidRPr="00C83DF5">
        <w:rPr>
          <w:u w:val="single"/>
          <w:lang w:val="de-DE"/>
        </w:rPr>
        <w:t>upzugraden und</w:t>
      </w:r>
      <w:r w:rsidRPr="00C83DF5">
        <w:rPr>
          <w:lang w:val="de-DE"/>
        </w:rPr>
        <w:t xml:space="preserve"> sie </w:t>
      </w:r>
      <w:r w:rsidRPr="00C83DF5">
        <w:rPr>
          <w:u w:val="single"/>
          <w:lang w:val="de-DE"/>
        </w:rPr>
        <w:t>anstelle von SBS Essentials zu verwenden</w:t>
      </w:r>
      <w:r w:rsidRPr="00C83DF5">
        <w:rPr>
          <w:lang w:val="de-DE"/>
        </w:rPr>
        <w:t>. Um diese Nutzung zu erleichtern, wird angenommen, dass dem Kunden bei Verfügbarkeit von Windows Server 2012 Essentials für jede Qualifizierende Lizenz, die der Kunde besitzt, eine Windows Server 2012 Essentials-Lizenz gewährt wird.</w:t>
      </w:r>
      <w:r w:rsidR="00E71F46" w:rsidRPr="00C83DF5">
        <w:rPr>
          <w:lang w:val="de-DE"/>
        </w:rPr>
        <w:t xml:space="preserve"> </w:t>
      </w:r>
      <w:r w:rsidRPr="00C83DF5">
        <w:rPr>
          <w:lang w:val="de-DE"/>
        </w:rPr>
        <w:t>Die Nutzung von Windows Server 2012 Essentials unterliegt den Lizenzbestimmungen für dieses Produkt in den Produktbenutzungsrechten und den</w:t>
      </w:r>
      <w:r w:rsidR="00F06A29">
        <w:rPr>
          <w:lang w:val="de-DE"/>
        </w:rPr>
        <w:t> </w:t>
      </w:r>
      <w:r w:rsidRPr="00C83DF5">
        <w:rPr>
          <w:lang w:val="de-DE"/>
        </w:rPr>
        <w:t>Bestimmungen der Volumenlizenzverträge des Kunden.</w:t>
      </w:r>
    </w:p>
    <w:p w:rsidR="00836655" w:rsidRPr="00C83DF5" w:rsidRDefault="00836655" w:rsidP="00910113">
      <w:pPr>
        <w:ind w:left="720"/>
        <w:rPr>
          <w:lang w:val="de-DE"/>
        </w:rPr>
      </w:pPr>
    </w:p>
    <w:p w:rsidR="00836655" w:rsidRPr="00C83DF5" w:rsidRDefault="00836655" w:rsidP="00910113">
      <w:pPr>
        <w:ind w:left="720"/>
        <w:rPr>
          <w:lang w:val="de-DE"/>
        </w:rPr>
      </w:pPr>
      <w:r w:rsidRPr="00C83DF5">
        <w:rPr>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836655" w:rsidRPr="00C83DF5" w:rsidRDefault="00836655" w:rsidP="00910113">
      <w:pPr>
        <w:ind w:left="720"/>
        <w:rPr>
          <w:lang w:val="de-DE"/>
        </w:rPr>
      </w:pPr>
    </w:p>
    <w:p w:rsidR="00836655" w:rsidRPr="00C83DF5" w:rsidRDefault="00836655" w:rsidP="00910113">
      <w:pPr>
        <w:ind w:left="720"/>
        <w:rPr>
          <w:lang w:val="de-DE"/>
        </w:rPr>
      </w:pPr>
      <w:r w:rsidRPr="00C83DF5">
        <w:rPr>
          <w:lang w:val="de-DE"/>
        </w:rPr>
        <w:t>Bei Upgrade auf Windows Server 2012 Essentials unter dieser Gewährung sind die bestehenden Qualifizierenden Lizenzen für SBS Essentials des Kunden nicht mehr gültig.</w:t>
      </w:r>
    </w:p>
    <w:p w:rsidR="00041ED4" w:rsidRDefault="00041ED4" w:rsidP="00910113">
      <w:pPr>
        <w:ind w:left="720"/>
        <w:rPr>
          <w:lang w:val="de-DE"/>
        </w:rPr>
      </w:pPr>
    </w:p>
    <w:p w:rsidR="00836655" w:rsidRPr="00041ED4" w:rsidRDefault="00041ED4" w:rsidP="00041ED4">
      <w:pPr>
        <w:tabs>
          <w:tab w:val="left" w:pos="3885"/>
        </w:tabs>
        <w:rPr>
          <w:lang w:val="de-DE"/>
        </w:rPr>
      </w:pPr>
      <w:r>
        <w:rPr>
          <w:lang w:val="de-DE"/>
        </w:rPr>
        <w:tab/>
      </w:r>
    </w:p>
    <w:p w:rsidR="00836655" w:rsidRPr="00C83DF5" w:rsidRDefault="00836655" w:rsidP="00D16723">
      <w:pPr>
        <w:ind w:left="720"/>
        <w:rPr>
          <w:lang w:val="de-DE"/>
        </w:rPr>
      </w:pPr>
      <w:r w:rsidRPr="00C83DF5">
        <w:rPr>
          <w:lang w:val="de-DE"/>
        </w:rPr>
        <w:lastRenderedPageBreak/>
        <w:t>SBS Essentials-Lizenzen, die danach unter derselben Beitrittslaufzeit im Rahmen des planmäßigen True Up-Prozesses eines Open Value Subscription- oder Beitritt für Bildungslösungen-Kunden erworben werden, sind ebenfalls Qualifizierende Lizenzen im Sinne der zuvor beschriebenen Gewährung.</w:t>
      </w:r>
    </w:p>
    <w:p w:rsidR="00C066B5" w:rsidRPr="00C83DF5" w:rsidRDefault="00C066B5" w:rsidP="00D16723">
      <w:pPr>
        <w:ind w:left="720"/>
        <w:rPr>
          <w:lang w:val="de-DE"/>
        </w:rPr>
      </w:pPr>
    </w:p>
    <w:p w:rsidR="00C066B5" w:rsidRPr="00C83DF5" w:rsidRDefault="00C066B5" w:rsidP="00D16723">
      <w:pPr>
        <w:ind w:left="720"/>
        <w:rPr>
          <w:lang w:val="de-DE"/>
        </w:rPr>
      </w:pPr>
    </w:p>
    <w:p w:rsidR="00C066B5" w:rsidRPr="004D52FC" w:rsidRDefault="00C066B5" w:rsidP="00C066B5">
      <w:pPr>
        <w:pStyle w:val="Heading3"/>
        <w:rPr>
          <w:rFonts w:ascii="Tahoma" w:hAnsi="Tahoma" w:cs="Tahoma"/>
          <w:lang w:val="de-DE"/>
        </w:rPr>
      </w:pPr>
      <w:bookmarkStart w:id="1701" w:name="_119_Windows_Web_1"/>
      <w:bookmarkStart w:id="1702" w:name="_Toc370983487"/>
      <w:bookmarkEnd w:id="1701"/>
      <w:r w:rsidRPr="00C83DF5">
        <w:rPr>
          <w:rFonts w:ascii="Tahoma" w:hAnsi="Tahoma" w:cs="Tahoma"/>
          <w:caps/>
          <w:color w:val="EE6000"/>
          <w:sz w:val="22"/>
          <w:szCs w:val="18"/>
          <w:vertAlign w:val="superscript"/>
          <w:lang w:val="de-DE"/>
        </w:rPr>
        <w:t>119</w:t>
      </w:r>
      <w:r w:rsidRPr="00C83DF5">
        <w:rPr>
          <w:rFonts w:ascii="Tahoma" w:hAnsi="Tahoma" w:cs="Tahoma"/>
          <w:color w:val="EE6000"/>
          <w:sz w:val="22"/>
          <w:szCs w:val="18"/>
          <w:lang w:val="de-DE"/>
        </w:rPr>
        <w:t xml:space="preserve"> </w:t>
      </w:r>
      <w:r w:rsidRPr="004D52FC">
        <w:rPr>
          <w:rFonts w:ascii="Tahoma" w:hAnsi="Tahoma" w:cs="Tahoma"/>
          <w:color w:val="F66400"/>
          <w:sz w:val="22"/>
          <w:lang w:val="de-DE"/>
        </w:rPr>
        <w:t>Windows Web Server</w:t>
      </w:r>
      <w:r w:rsidRPr="004D52FC">
        <w:rPr>
          <w:rFonts w:ascii="Tahoma" w:hAnsi="Tahoma" w:cs="Tahoma"/>
          <w:color w:val="F66400"/>
          <w:sz w:val="22"/>
          <w:vertAlign w:val="superscript"/>
          <w:lang w:val="de-DE"/>
        </w:rPr>
        <w:t>®</w:t>
      </w:r>
      <w:r w:rsidRPr="004D52FC">
        <w:rPr>
          <w:rFonts w:ascii="Tahoma" w:hAnsi="Tahoma" w:cs="Tahoma"/>
          <w:color w:val="F66400"/>
          <w:sz w:val="22"/>
          <w:lang w:val="de-DE"/>
        </w:rPr>
        <w:t xml:space="preserve"> 2008 R2</w:t>
      </w:r>
      <w:bookmarkEnd w:id="1702"/>
    </w:p>
    <w:p w:rsidR="00C066B5" w:rsidRPr="00C83DF5" w:rsidRDefault="00C066B5" w:rsidP="00C066B5">
      <w:pPr>
        <w:rPr>
          <w:lang w:val="de-DE"/>
        </w:rPr>
      </w:pPr>
    </w:p>
    <w:p w:rsidR="00C066B5" w:rsidRPr="00C83DF5" w:rsidRDefault="00C066B5" w:rsidP="009B26FC">
      <w:pPr>
        <w:tabs>
          <w:tab w:val="left" w:pos="720"/>
        </w:tabs>
        <w:spacing w:after="60"/>
        <w:ind w:left="720"/>
        <w:rPr>
          <w:lang w:val="de-DE"/>
        </w:rPr>
      </w:pPr>
      <w:r w:rsidRPr="00C83DF5">
        <w:rPr>
          <w:b/>
          <w:color w:val="000000"/>
          <w:lang w:val="de-DE"/>
        </w:rPr>
        <w:t>Lizenzgewährungen im Zusammenhang mit dem Ende der Lebensdauer von Windows</w:t>
      </w:r>
      <w:r w:rsidR="009B26FC">
        <w:rPr>
          <w:b/>
          <w:color w:val="000000"/>
          <w:lang w:val="de-DE"/>
        </w:rPr>
        <w:t> </w:t>
      </w:r>
      <w:r w:rsidRPr="00C83DF5">
        <w:rPr>
          <w:b/>
          <w:color w:val="000000"/>
          <w:lang w:val="de-DE"/>
        </w:rPr>
        <w:t>Web</w:t>
      </w:r>
      <w:r w:rsidR="009B26FC">
        <w:rPr>
          <w:b/>
          <w:color w:val="000000"/>
          <w:lang w:val="de-DE"/>
        </w:rPr>
        <w:t> </w:t>
      </w:r>
      <w:r w:rsidRPr="00C83DF5">
        <w:rPr>
          <w:b/>
          <w:color w:val="000000"/>
          <w:lang w:val="de-DE"/>
        </w:rPr>
        <w:t>Server</w:t>
      </w:r>
    </w:p>
    <w:p w:rsidR="00C066B5" w:rsidRPr="00C83DF5" w:rsidRDefault="00C066B5" w:rsidP="00E668CC">
      <w:pPr>
        <w:tabs>
          <w:tab w:val="left" w:pos="720"/>
        </w:tabs>
        <w:ind w:left="720"/>
        <w:rPr>
          <w:lang w:val="de-DE"/>
        </w:rPr>
      </w:pPr>
      <w:r w:rsidRPr="00C83DF5">
        <w:rPr>
          <w:color w:val="000000"/>
          <w:lang w:val="de-DE"/>
        </w:rPr>
        <w:t>Windows Server 2008 R2 ist die letzte Version von Windows Web Server. Volumenlizenzkunden, die am 1.</w:t>
      </w:r>
      <w:r w:rsidR="00E668CC">
        <w:rPr>
          <w:color w:val="000000"/>
          <w:lang w:val="de-DE"/>
        </w:rPr>
        <w:t> </w:t>
      </w:r>
      <w:r w:rsidRPr="00C83DF5">
        <w:rPr>
          <w:color w:val="000000"/>
          <w:lang w:val="de-DE"/>
        </w:rPr>
        <w:t>September 2012 oder am Datum der ersten Verfügbarkeit von Windows Server 2012 zum Download im</w:t>
      </w:r>
      <w:r w:rsidR="00E668CC">
        <w:rPr>
          <w:color w:val="000000"/>
          <w:lang w:val="de-DE"/>
        </w:rPr>
        <w:t> </w:t>
      </w:r>
      <w:r w:rsidRPr="00C83DF5">
        <w:rPr>
          <w:color w:val="000000"/>
          <w:lang w:val="de-DE"/>
        </w:rPr>
        <w:t xml:space="preserve">Volume Licensing Service Center, wobei das frühere Datum maßgeblich ist, über aktive Software Assurance für Windows Web Server 2008 R2-Lizenzen verfügen, („Qualifizierende Lizenzen“) sind berechtigt, </w:t>
      </w:r>
      <w:r w:rsidRPr="00C83DF5">
        <w:rPr>
          <w:rFonts w:eastAsia="Calibri" w:cs="Tahoma"/>
          <w:szCs w:val="18"/>
          <w:lang w:val="de-DE"/>
        </w:rPr>
        <w:t>die Software Windows Server 2012 Standard zu verwenden. Um diese Verwendung zu erleichtern, wird angenommen, dass dem Kunden bei Verfügbarkeit von Windows Server 2012 für jeweils</w:t>
      </w:r>
      <w:r w:rsidR="00E668CC">
        <w:rPr>
          <w:rFonts w:eastAsia="Calibri" w:cs="Tahoma"/>
          <w:szCs w:val="18"/>
          <w:lang w:val="de-DE"/>
        </w:rPr>
        <w:t> </w:t>
      </w:r>
      <w:r w:rsidRPr="00C83DF5">
        <w:rPr>
          <w:rFonts w:eastAsia="Calibri" w:cs="Tahoma"/>
          <w:szCs w:val="18"/>
          <w:lang w:val="de-DE"/>
        </w:rPr>
        <w:t xml:space="preserve">zwei Qualifizierende Lizenzen, die der Kunde besitzt, eine Windows Server 2012 Standard-Prozessorlizenz gewährt wird. </w:t>
      </w:r>
    </w:p>
    <w:p w:rsidR="00C066B5" w:rsidRPr="009A11AB" w:rsidRDefault="00C066B5" w:rsidP="00C066B5">
      <w:pPr>
        <w:tabs>
          <w:tab w:val="left" w:pos="720"/>
        </w:tabs>
        <w:ind w:left="720"/>
        <w:rPr>
          <w:rFonts w:cs="Tahoma"/>
          <w:lang w:val="de-DE"/>
        </w:rPr>
      </w:pPr>
    </w:p>
    <w:p w:rsidR="00C066B5" w:rsidRPr="009A11AB" w:rsidRDefault="00C066B5" w:rsidP="00C066B5">
      <w:pPr>
        <w:numPr>
          <w:ilvl w:val="0"/>
          <w:numId w:val="56"/>
        </w:numPr>
        <w:tabs>
          <w:tab w:val="clear" w:pos="360"/>
          <w:tab w:val="num" w:pos="1440"/>
        </w:tabs>
        <w:spacing w:after="60"/>
        <w:ind w:left="1440"/>
        <w:rPr>
          <w:rFonts w:cs="Tahoma"/>
          <w:lang w:val="de-DE"/>
        </w:rPr>
      </w:pPr>
      <w:r w:rsidRPr="009A11AB">
        <w:rPr>
          <w:rFonts w:cs="Tahoma"/>
          <w:color w:val="000000"/>
          <w:lang w:val="de-DE"/>
        </w:rPr>
        <w:t>Wenn ein Kunde über eine ungerade Anzahl von Lizenzen für Web Server verfügt, muss der Kunde auf die nächste gerade Zahl aufrunden, um festzustellen, wie viele Lizenzen ihm gewährt werden.</w:t>
      </w:r>
      <w:r w:rsidR="00E71F46" w:rsidRPr="009A11AB">
        <w:rPr>
          <w:rFonts w:cs="Tahoma"/>
          <w:color w:val="000000"/>
          <w:lang w:val="de-DE"/>
        </w:rPr>
        <w:t xml:space="preserve"> </w:t>
      </w:r>
      <w:r w:rsidRPr="009A11AB">
        <w:rPr>
          <w:rFonts w:cs="Tahoma"/>
          <w:color w:val="000000"/>
          <w:lang w:val="de-DE"/>
        </w:rPr>
        <w:t>Beispiel: Einem Kunden, der über drei Web Server-Lizenzen verfügt, werden insgesamt zwei Windows Server 2012 Standard-Lizenzen gewährt.</w:t>
      </w:r>
    </w:p>
    <w:p w:rsidR="00C066B5" w:rsidRPr="009A11AB" w:rsidRDefault="00C066B5" w:rsidP="00C066B5">
      <w:pPr>
        <w:numPr>
          <w:ilvl w:val="0"/>
          <w:numId w:val="56"/>
        </w:numPr>
        <w:tabs>
          <w:tab w:val="clear" w:pos="360"/>
          <w:tab w:val="num" w:pos="1440"/>
        </w:tabs>
        <w:spacing w:after="60"/>
        <w:ind w:left="1440"/>
        <w:rPr>
          <w:rFonts w:cs="Tahoma"/>
          <w:lang w:val="de-DE"/>
        </w:rPr>
      </w:pPr>
      <w:r w:rsidRPr="009A11AB">
        <w:rPr>
          <w:rFonts w:eastAsia="Calibri" w:cs="Tahoma"/>
          <w:szCs w:val="18"/>
          <w:lang w:val="de-DE"/>
        </w:rPr>
        <w:t>Bei Upgrade auf Windows Server 2012 Standard unter dieser Gewährung bleiben die bestehenden Windows Web Server 2008 R2-Lizenzen des Kunden gültig.</w:t>
      </w:r>
    </w:p>
    <w:p w:rsidR="00C066B5" w:rsidRPr="009A11AB" w:rsidRDefault="00C066B5" w:rsidP="00C066B5">
      <w:pPr>
        <w:pStyle w:val="ListParagraph"/>
        <w:numPr>
          <w:ilvl w:val="0"/>
          <w:numId w:val="56"/>
        </w:numPr>
        <w:tabs>
          <w:tab w:val="clear" w:pos="360"/>
          <w:tab w:val="num" w:pos="1440"/>
        </w:tabs>
        <w:spacing w:after="60"/>
        <w:ind w:left="1440"/>
        <w:contextualSpacing w:val="0"/>
        <w:rPr>
          <w:rFonts w:ascii="Tahoma" w:hAnsi="Tahoma" w:cs="Tahoma"/>
          <w:lang w:val="de-DE"/>
        </w:rPr>
      </w:pPr>
      <w:r w:rsidRPr="009A11AB">
        <w:rPr>
          <w:rFonts w:ascii="Tahoma" w:eastAsia="Calibri" w:hAnsi="Tahoma" w:cs="Tahoma"/>
          <w:sz w:val="18"/>
          <w:szCs w:val="18"/>
          <w:lang w:val="de-DE"/>
        </w:rPr>
        <w:t>Lizenzen, die im Rahmen dieser Gewährung erworben werden, umfassen Software Assurance.</w:t>
      </w:r>
      <w:r w:rsidR="00E71F46" w:rsidRPr="009A11AB">
        <w:rPr>
          <w:rFonts w:ascii="Tahoma" w:eastAsia="Calibri" w:hAnsi="Tahoma" w:cs="Tahoma"/>
          <w:sz w:val="18"/>
          <w:szCs w:val="18"/>
          <w:lang w:val="de-DE"/>
        </w:rPr>
        <w:t xml:space="preserve"> </w:t>
      </w:r>
      <w:r w:rsidRPr="009A11AB">
        <w:rPr>
          <w:rFonts w:ascii="Tahoma" w:eastAsia="Calibri" w:hAnsi="Tahoma" w:cs="Tahoma"/>
          <w:sz w:val="18"/>
          <w:szCs w:val="18"/>
          <w:lang w:val="de-DE"/>
        </w:rPr>
        <w:t>Diese Software Assurance gilt bis zum Ablauf der Software Assurance für die Qualifizierenden Lizenzen.</w:t>
      </w:r>
    </w:p>
    <w:p w:rsidR="00C066B5" w:rsidRPr="009A11AB" w:rsidRDefault="00C066B5" w:rsidP="00C066B5">
      <w:pPr>
        <w:pStyle w:val="ListParagraph"/>
        <w:numPr>
          <w:ilvl w:val="0"/>
          <w:numId w:val="56"/>
        </w:numPr>
        <w:tabs>
          <w:tab w:val="clear" w:pos="360"/>
          <w:tab w:val="num" w:pos="1440"/>
        </w:tabs>
        <w:spacing w:after="60"/>
        <w:ind w:left="1440"/>
        <w:contextualSpacing w:val="0"/>
        <w:rPr>
          <w:rFonts w:ascii="Tahoma" w:hAnsi="Tahoma" w:cs="Tahoma"/>
          <w:lang w:val="de-DE"/>
        </w:rPr>
      </w:pPr>
      <w:r w:rsidRPr="009A11AB">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C066B5" w:rsidRPr="009A11AB" w:rsidRDefault="00C066B5" w:rsidP="00C066B5">
      <w:pPr>
        <w:numPr>
          <w:ilvl w:val="0"/>
          <w:numId w:val="56"/>
        </w:numPr>
        <w:tabs>
          <w:tab w:val="clear" w:pos="360"/>
          <w:tab w:val="num" w:pos="1440"/>
        </w:tabs>
        <w:spacing w:after="60"/>
        <w:ind w:left="1440"/>
        <w:rPr>
          <w:rFonts w:cs="Tahoma"/>
          <w:lang w:val="de-DE"/>
        </w:rPr>
      </w:pPr>
      <w:r w:rsidRPr="009A11AB">
        <w:rPr>
          <w:rFonts w:cs="Tahoma"/>
          <w:color w:val="000000"/>
          <w:lang w:val="de-DE"/>
        </w:rPr>
        <w:t>Lizenzen für Windows Web Server 2008 R2</w:t>
      </w:r>
      <w:r w:rsidRPr="009A11AB">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rsidR="00C066B5" w:rsidRPr="009A11AB" w:rsidRDefault="00C066B5" w:rsidP="00C066B5">
      <w:pPr>
        <w:numPr>
          <w:ilvl w:val="0"/>
          <w:numId w:val="56"/>
        </w:numPr>
        <w:tabs>
          <w:tab w:val="clear" w:pos="360"/>
          <w:tab w:val="num" w:pos="1440"/>
        </w:tabs>
        <w:spacing w:after="60"/>
        <w:ind w:left="1440"/>
        <w:rPr>
          <w:rFonts w:cs="Tahoma"/>
          <w:lang w:val="de-DE"/>
        </w:rPr>
      </w:pPr>
      <w:r w:rsidRPr="009A11AB">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C066B5" w:rsidRPr="009A11AB" w:rsidRDefault="00C066B5" w:rsidP="00C066B5">
      <w:pPr>
        <w:ind w:left="1440"/>
        <w:rPr>
          <w:rFonts w:cs="Tahoma"/>
          <w:lang w:val="de-DE"/>
        </w:rPr>
      </w:pPr>
    </w:p>
    <w:p w:rsidR="00C066B5" w:rsidRPr="009A11AB" w:rsidRDefault="00C066B5" w:rsidP="00C066B5">
      <w:pPr>
        <w:spacing w:after="60"/>
        <w:ind w:left="720"/>
        <w:rPr>
          <w:rFonts w:cs="Tahoma"/>
          <w:lang w:val="de-DE"/>
        </w:rPr>
      </w:pPr>
      <w:r w:rsidRPr="009A11AB">
        <w:rPr>
          <w:rFonts w:eastAsia="Calibri" w:cs="Tahoma"/>
          <w:b/>
          <w:szCs w:val="18"/>
          <w:lang w:val="de-DE"/>
        </w:rPr>
        <w:t xml:space="preserve">Zusätzliche Informationen zur Verwendung von Windows Server 2012 oder </w:t>
      </w:r>
      <w:r w:rsidR="002272AF" w:rsidRPr="009A11AB">
        <w:rPr>
          <w:rFonts w:eastAsia="Calibri" w:cs="Tahoma"/>
          <w:b/>
          <w:szCs w:val="18"/>
          <w:lang w:val="de-DE"/>
        </w:rPr>
        <w:br/>
      </w:r>
      <w:r w:rsidRPr="009A11AB">
        <w:rPr>
          <w:rFonts w:eastAsia="Calibri" w:cs="Tahoma"/>
          <w:b/>
          <w:szCs w:val="18"/>
          <w:lang w:val="de-DE"/>
        </w:rPr>
        <w:t>Windows Server 2012 R2 als Webserver</w:t>
      </w:r>
    </w:p>
    <w:p w:rsidR="00C066B5" w:rsidRPr="009A11AB" w:rsidRDefault="00C066B5" w:rsidP="00DE5D43">
      <w:pPr>
        <w:ind w:left="720"/>
        <w:rPr>
          <w:rFonts w:cs="Tahoma"/>
          <w:lang w:val="de-DE"/>
        </w:rPr>
      </w:pPr>
      <w:r w:rsidRPr="009A11AB">
        <w:rPr>
          <w:rFonts w:eastAsia="Calibri" w:cs="Tahoma"/>
          <w:szCs w:val="18"/>
          <w:lang w:val="de-DE"/>
        </w:rPr>
        <w:t>Wenn Windows Server 2012 Standard oder Datacenter bzw. Windows Server 2012 R2 Standard oder Datacenter als Webserver verwendet wird, benötigen Sie keine CALs für den Zugriff auf die Software. Eine</w:t>
      </w:r>
      <w:r w:rsidR="00DE5D43">
        <w:rPr>
          <w:rFonts w:eastAsia="Calibri" w:cs="Tahoma"/>
          <w:szCs w:val="18"/>
          <w:lang w:val="de-DE"/>
        </w:rPr>
        <w:t> </w:t>
      </w:r>
      <w:r w:rsidRPr="009A11AB">
        <w:rPr>
          <w:rFonts w:cs="Tahoma"/>
          <w:lang w:val="de-DE"/>
        </w:rPr>
        <w:t>„Web Workload“ ist eine Workload,</w:t>
      </w:r>
      <w:r w:rsidRPr="009A11AB">
        <w:rPr>
          <w:rFonts w:cs="Tahoma"/>
          <w:bCs/>
          <w:lang w:val="de-DE"/>
        </w:rPr>
        <w:t xml:space="preserve"> </w:t>
      </w:r>
      <w:r w:rsidRPr="009A11AB">
        <w:rPr>
          <w:rFonts w:cs="Tahoma"/>
          <w:lang w:val="de-DE"/>
        </w:rPr>
        <w:t>bei der die Software als Front-En</w:t>
      </w:r>
      <w:r w:rsidR="002272AF" w:rsidRPr="009A11AB">
        <w:rPr>
          <w:rFonts w:cs="Tahoma"/>
          <w:lang w:val="de-DE"/>
        </w:rPr>
        <w:t>d-Webserver zur Entwicklung und </w:t>
      </w:r>
      <w:r w:rsidRPr="009A11AB">
        <w:rPr>
          <w:rFonts w:cs="Tahoma"/>
          <w:lang w:val="de-DE"/>
        </w:rPr>
        <w:t>Bereitstellung von per Internet zugänglichen Webpages, Websites, Webanwendungen und Webdiensten eingesetzt wird und POP3-Mail-Serving und Zugriff auf Inhalte, Informationen und Anwendungen, die von der Software bereitgestellt werden</w:t>
      </w:r>
      <w:r w:rsidRPr="002B0939">
        <w:rPr>
          <w:rFonts w:cs="Tahoma"/>
          <w:lang w:val="de-DE"/>
        </w:rPr>
        <w:t xml:space="preserve">, </w:t>
      </w:r>
      <w:r w:rsidRPr="009A11AB">
        <w:rPr>
          <w:rFonts w:cs="Tahoma"/>
          <w:lang w:val="de-DE"/>
        </w:rPr>
        <w:t>nicht auf Ihre Mitarbeiter beschränkt ist.</w:t>
      </w:r>
      <w:r w:rsidR="00E71F46" w:rsidRPr="009A11AB">
        <w:rPr>
          <w:rFonts w:cs="Tahoma"/>
          <w:lang w:val="de-DE"/>
        </w:rPr>
        <w:t xml:space="preserve"> </w:t>
      </w:r>
      <w:r w:rsidRPr="009A11AB">
        <w:rPr>
          <w:rFonts w:eastAsia="Calibri" w:cs="Tahoma"/>
          <w:szCs w:val="18"/>
          <w:lang w:val="de-DE"/>
        </w:rPr>
        <w:t>Zusätzliche Informationen finden Sie in den Produktbenutzungsrechten.</w:t>
      </w:r>
      <w:r w:rsidR="00E71F46" w:rsidRPr="009A11AB">
        <w:rPr>
          <w:rFonts w:eastAsia="Calibri" w:cs="Tahoma"/>
          <w:szCs w:val="18"/>
          <w:lang w:val="de-DE"/>
        </w:rPr>
        <w:t xml:space="preserve"> </w:t>
      </w:r>
    </w:p>
    <w:sectPr w:rsidR="00C066B5" w:rsidRPr="009A11AB"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19A5" w:rsidRDefault="005519A5">
      <w:r>
        <w:separator/>
      </w:r>
    </w:p>
  </w:endnote>
  <w:endnote w:type="continuationSeparator" w:id="0">
    <w:p w:rsidR="005519A5" w:rsidRDefault="005519A5">
      <w:r>
        <w:continuationSeparator/>
      </w:r>
    </w:p>
  </w:endnote>
  <w:endnote w:type="continuationNotice" w:id="1">
    <w:p w:rsidR="005519A5" w:rsidRDefault="005519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eiryo">
    <w:panose1 w:val="020B0604030504040204"/>
    <w:charset w:val="80"/>
    <w:family w:val="swiss"/>
    <w:pitch w:val="variable"/>
    <w:sig w:usb0="E00002FF" w:usb1="6AC7FFFF"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B91" w:rsidRPr="00E71F46" w:rsidRDefault="00973B91">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E71F46">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E71F46">
      <w:rPr>
        <w:rFonts w:ascii="Trebuchet MS" w:hAnsi="Trebuchet MS"/>
        <w:color w:val="808080"/>
        <w:sz w:val="14"/>
        <w:lang w:val="de-DE"/>
      </w:rPr>
      <w:t xml:space="preserve">Seite </w:t>
    </w:r>
    <w:r>
      <w:fldChar w:fldCharType="begin"/>
    </w:r>
    <w:r w:rsidRPr="00E71F46">
      <w:rPr>
        <w:lang w:val="de-DE"/>
      </w:rPr>
      <w:instrText xml:space="preserve"> PAGE </w:instrText>
    </w:r>
    <w:r>
      <w:fldChar w:fldCharType="separate"/>
    </w:r>
    <w:r w:rsidRPr="00E71F46">
      <w:rPr>
        <w:noProof/>
        <w:lang w:val="de-DE"/>
      </w:rPr>
      <w:t>2</w:t>
    </w:r>
    <w:r>
      <w:fldChar w:fldCharType="end"/>
    </w:r>
    <w:r w:rsidRPr="00E71F46">
      <w:rPr>
        <w:rFonts w:ascii="Trebuchet MS" w:hAnsi="Trebuchet MS"/>
        <w:color w:val="808080"/>
        <w:sz w:val="14"/>
        <w:lang w:val="de-DE"/>
      </w:rPr>
      <w:t xml:space="preserve"> von </w:t>
    </w:r>
    <w:r>
      <w:fldChar w:fldCharType="begin"/>
    </w:r>
    <w:r w:rsidRPr="00E71F46">
      <w:rPr>
        <w:lang w:val="de-DE"/>
      </w:rPr>
      <w:instrText xml:space="preserve"> NUMPAGES </w:instrText>
    </w:r>
    <w:r>
      <w:fldChar w:fldCharType="separate"/>
    </w:r>
    <w:r>
      <w:rPr>
        <w:noProof/>
        <w:lang w:val="de-DE"/>
      </w:rPr>
      <w:t>207</w:t>
    </w:r>
    <w:r>
      <w:rPr>
        <w:noProof/>
      </w:rPr>
      <w:fldChar w:fldCharType="end"/>
    </w:r>
    <w:r w:rsidRPr="00E71F46">
      <w:rPr>
        <w:lang w:val="de-DE"/>
      </w:rPr>
      <w:t xml:space="preserve"> Veröffentlicht im April 2009</w:t>
    </w:r>
  </w:p>
  <w:p w:rsidR="00973B91" w:rsidRPr="00E71F46" w:rsidRDefault="00973B91">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E71F46">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B91" w:rsidRDefault="00973B91"/>
  <w:p w:rsidR="00973B91" w:rsidRPr="00A86B21" w:rsidRDefault="00973B91" w:rsidP="00955763">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A86B21">
      <w:rPr>
        <w:rFonts w:ascii="Trebuchet MS" w:hAnsi="Trebuchet MS"/>
        <w:color w:val="808080"/>
        <w:sz w:val="14"/>
        <w:lang w:val="de-DE"/>
      </w:rPr>
      <w:t>© 2013 Microsoft Corporation. Alle Rechte vorbehalten.</w:t>
    </w:r>
    <w:r w:rsidRPr="00A86B21">
      <w:rPr>
        <w:rFonts w:ascii="Trebuchet MS" w:hAnsi="Trebuchet MS"/>
        <w:color w:val="808080"/>
        <w:sz w:val="14"/>
        <w:lang w:val="de-DE"/>
      </w:rPr>
      <w:tab/>
      <w:t xml:space="preserve">Seite </w:t>
    </w:r>
    <w:r w:rsidRPr="00093E56">
      <w:rPr>
        <w:noProof/>
      </w:rPr>
      <w:fldChar w:fldCharType="begin"/>
    </w:r>
    <w:r w:rsidRPr="00A86B21">
      <w:rPr>
        <w:noProof/>
        <w:lang w:val="de-DE"/>
      </w:rPr>
      <w:instrText xml:space="preserve"> PAGE </w:instrText>
    </w:r>
    <w:r w:rsidRPr="00093E56">
      <w:rPr>
        <w:noProof/>
      </w:rPr>
      <w:fldChar w:fldCharType="separate"/>
    </w:r>
    <w:r w:rsidR="00500FB5">
      <w:rPr>
        <w:noProof/>
        <w:lang w:val="de-DE"/>
      </w:rPr>
      <w:t>1</w:t>
    </w:r>
    <w:r w:rsidRPr="00093E56">
      <w:rPr>
        <w:noProof/>
      </w:rPr>
      <w:fldChar w:fldCharType="end"/>
    </w:r>
    <w:r w:rsidRPr="00A86B21">
      <w:rPr>
        <w:rFonts w:ascii="Trebuchet MS" w:hAnsi="Trebuchet MS"/>
        <w:color w:val="808080"/>
        <w:sz w:val="14"/>
        <w:lang w:val="de-DE"/>
      </w:rPr>
      <w:t xml:space="preserve"> von </w:t>
    </w:r>
    <w:r w:rsidRPr="00093E56">
      <w:rPr>
        <w:noProof/>
      </w:rPr>
      <w:fldChar w:fldCharType="begin"/>
    </w:r>
    <w:r w:rsidRPr="00A86B21">
      <w:rPr>
        <w:noProof/>
        <w:lang w:val="de-DE"/>
      </w:rPr>
      <w:instrText xml:space="preserve"> NUMPAGES </w:instrText>
    </w:r>
    <w:r w:rsidRPr="00093E56">
      <w:rPr>
        <w:noProof/>
      </w:rPr>
      <w:fldChar w:fldCharType="separate"/>
    </w:r>
    <w:r w:rsidR="00500FB5">
      <w:rPr>
        <w:noProof/>
        <w:lang w:val="de-DE"/>
      </w:rPr>
      <w:t>207</w:t>
    </w:r>
    <w:r w:rsidRPr="00093E56">
      <w:rPr>
        <w:noProof/>
      </w:rPr>
      <w:fldChar w:fldCharType="end"/>
    </w:r>
    <w:r w:rsidRPr="00A86B21">
      <w:rPr>
        <w:rFonts w:ascii="Trebuchet MS" w:hAnsi="Trebuchet MS"/>
        <w:color w:val="808080"/>
        <w:sz w:val="14"/>
        <w:lang w:val="de-DE"/>
      </w:rPr>
      <w:t xml:space="preserve"> Veröffentlicht im November 2013</w:t>
    </w:r>
  </w:p>
  <w:p w:rsidR="00973B91" w:rsidRPr="00A86B21" w:rsidRDefault="00973B91">
    <w:pPr>
      <w:pStyle w:val="Footer"/>
      <w:rPr>
        <w:rFonts w:ascii="Trebuchet MS" w:hAnsi="Trebuchet MS"/>
        <w:color w:val="808080"/>
        <w:sz w:val="14"/>
        <w:lang w:val="de-DE"/>
      </w:rPr>
    </w:pPr>
    <w:r w:rsidRPr="00A86B21">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B91" w:rsidRPr="005A253C" w:rsidRDefault="00973B91" w:rsidP="005A253C"/>
  <w:p w:rsidR="00973B91" w:rsidRPr="00955763" w:rsidRDefault="00973B91" w:rsidP="002E2DEB">
    <w:pPr>
      <w:pStyle w:val="Footer"/>
      <w:pBdr>
        <w:top w:val="single" w:sz="6" w:space="1" w:color="808080"/>
      </w:pBdr>
      <w:tabs>
        <w:tab w:val="clear" w:pos="5155"/>
        <w:tab w:val="clear" w:pos="10325"/>
        <w:tab w:val="right" w:pos="9360"/>
      </w:tabs>
      <w:jc w:val="both"/>
      <w:rPr>
        <w:rFonts w:ascii="Trebuchet MS" w:hAnsi="Trebuchet MS"/>
        <w:color w:val="808080"/>
        <w:sz w:val="14"/>
        <w:lang w:val="de-DE"/>
      </w:rPr>
    </w:pPr>
    <w:r w:rsidRPr="00955763">
      <w:rPr>
        <w:rFonts w:ascii="Trebuchet MS" w:hAnsi="Trebuchet MS"/>
        <w:color w:val="808080"/>
        <w:sz w:val="14"/>
        <w:lang w:val="de-DE"/>
      </w:rPr>
      <w:t>© 2013 Microsoft Corporation. Alle Rechte vorbehalten.</w:t>
    </w:r>
    <w:r w:rsidRPr="00955763">
      <w:rPr>
        <w:rFonts w:ascii="Trebuchet MS" w:hAnsi="Trebuchet MS"/>
        <w:color w:val="808080"/>
        <w:sz w:val="14"/>
        <w:lang w:val="de-DE"/>
      </w:rPr>
      <w:tab/>
      <w:t xml:space="preserve">Seite </w:t>
    </w:r>
    <w:r w:rsidRPr="00955763">
      <w:rPr>
        <w:noProof/>
        <w:szCs w:val="18"/>
        <w:lang w:val="nl-NL"/>
      </w:rPr>
      <w:fldChar w:fldCharType="begin"/>
    </w:r>
    <w:r w:rsidRPr="00955763">
      <w:rPr>
        <w:noProof/>
        <w:szCs w:val="18"/>
        <w:lang w:val="de-DE"/>
      </w:rPr>
      <w:instrText xml:space="preserve"> PAGE </w:instrText>
    </w:r>
    <w:r w:rsidRPr="00955763">
      <w:rPr>
        <w:noProof/>
        <w:szCs w:val="18"/>
        <w:lang w:val="nl-NL"/>
      </w:rPr>
      <w:fldChar w:fldCharType="separate"/>
    </w:r>
    <w:r w:rsidR="00500FB5">
      <w:rPr>
        <w:noProof/>
        <w:szCs w:val="18"/>
        <w:lang w:val="de-DE"/>
      </w:rPr>
      <w:t>18</w:t>
    </w:r>
    <w:r w:rsidRPr="00955763">
      <w:rPr>
        <w:noProof/>
        <w:szCs w:val="18"/>
        <w:lang w:val="nl-NL"/>
      </w:rPr>
      <w:fldChar w:fldCharType="end"/>
    </w:r>
    <w:r w:rsidRPr="00955763">
      <w:rPr>
        <w:rFonts w:ascii="Trebuchet MS" w:hAnsi="Trebuchet MS"/>
        <w:color w:val="808080"/>
        <w:sz w:val="14"/>
        <w:lang w:val="de-DE"/>
      </w:rPr>
      <w:t xml:space="preserve"> von </w:t>
    </w:r>
    <w:r w:rsidRPr="00955763">
      <w:rPr>
        <w:noProof/>
        <w:szCs w:val="18"/>
        <w:lang w:val="nl-NL"/>
      </w:rPr>
      <w:fldChar w:fldCharType="begin"/>
    </w:r>
    <w:r w:rsidRPr="00955763">
      <w:rPr>
        <w:noProof/>
        <w:szCs w:val="18"/>
        <w:lang w:val="de-DE"/>
      </w:rPr>
      <w:instrText xml:space="preserve"> NUMPAGES </w:instrText>
    </w:r>
    <w:r w:rsidRPr="00955763">
      <w:rPr>
        <w:noProof/>
        <w:szCs w:val="18"/>
        <w:lang w:val="nl-NL"/>
      </w:rPr>
      <w:fldChar w:fldCharType="separate"/>
    </w:r>
    <w:r w:rsidR="00500FB5">
      <w:rPr>
        <w:noProof/>
        <w:szCs w:val="18"/>
        <w:lang w:val="de-DE"/>
      </w:rPr>
      <w:t>207</w:t>
    </w:r>
    <w:r w:rsidRPr="00955763">
      <w:rPr>
        <w:noProof/>
        <w:szCs w:val="18"/>
        <w:lang w:val="nl-NL"/>
      </w:rPr>
      <w:fldChar w:fldCharType="end"/>
    </w:r>
    <w:r w:rsidRPr="00955763">
      <w:rPr>
        <w:rFonts w:ascii="Trebuchet MS" w:hAnsi="Trebuchet MS"/>
        <w:color w:val="808080"/>
        <w:sz w:val="14"/>
        <w:lang w:val="de-DE"/>
      </w:rPr>
      <w:t xml:space="preserve"> Veröffentlicht im November 2013</w:t>
    </w:r>
  </w:p>
  <w:p w:rsidR="00973B91" w:rsidRPr="00955763" w:rsidRDefault="00973B91" w:rsidP="00955763">
    <w:pPr>
      <w:pStyle w:val="Footer"/>
      <w:pBdr>
        <w:top w:val="single" w:sz="6" w:space="1" w:color="808080"/>
      </w:pBdr>
      <w:tabs>
        <w:tab w:val="clear" w:pos="5155"/>
        <w:tab w:val="clear" w:pos="10325"/>
        <w:tab w:val="left" w:pos="6300"/>
        <w:tab w:val="right" w:pos="9540"/>
      </w:tabs>
      <w:rPr>
        <w:rFonts w:ascii="Trebuchet MS" w:hAnsi="Trebuchet MS"/>
        <w:color w:val="808080"/>
        <w:sz w:val="14"/>
        <w:lang w:val="de-DE"/>
      </w:rPr>
    </w:pPr>
    <w:r w:rsidRPr="00955763">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B91" w:rsidRDefault="00973B91"/>
  <w:p w:rsidR="00973B91" w:rsidRPr="00E71F46" w:rsidRDefault="00973B91">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E71F46">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E71F46">
      <w:rPr>
        <w:rFonts w:ascii="Trebuchet MS" w:hAnsi="Trebuchet MS"/>
        <w:color w:val="808080"/>
        <w:sz w:val="14"/>
        <w:lang w:val="de-DE"/>
      </w:rPr>
      <w:t xml:space="preserve">Seite </w:t>
    </w:r>
    <w:r>
      <w:fldChar w:fldCharType="begin"/>
    </w:r>
    <w:r w:rsidRPr="00E71F46">
      <w:rPr>
        <w:lang w:val="de-DE"/>
      </w:rPr>
      <w:instrText xml:space="preserve"> PAGE </w:instrText>
    </w:r>
    <w:r>
      <w:fldChar w:fldCharType="separate"/>
    </w:r>
    <w:r w:rsidRPr="00E71F46">
      <w:rPr>
        <w:noProof/>
        <w:lang w:val="de-DE"/>
      </w:rPr>
      <w:t>1</w:t>
    </w:r>
    <w:r>
      <w:fldChar w:fldCharType="end"/>
    </w:r>
    <w:r w:rsidRPr="00E71F46">
      <w:rPr>
        <w:rFonts w:ascii="Trebuchet MS" w:hAnsi="Trebuchet MS"/>
        <w:color w:val="808080"/>
        <w:sz w:val="14"/>
        <w:lang w:val="de-DE"/>
      </w:rPr>
      <w:t xml:space="preserve"> von </w:t>
    </w:r>
    <w:r>
      <w:fldChar w:fldCharType="begin"/>
    </w:r>
    <w:r w:rsidRPr="00E71F46">
      <w:rPr>
        <w:lang w:val="de-DE"/>
      </w:rPr>
      <w:instrText xml:space="preserve"> NUMPAGES </w:instrText>
    </w:r>
    <w:r>
      <w:fldChar w:fldCharType="separate"/>
    </w:r>
    <w:r>
      <w:rPr>
        <w:noProof/>
        <w:lang w:val="de-DE"/>
      </w:rPr>
      <w:t>207</w:t>
    </w:r>
    <w:r>
      <w:rPr>
        <w:noProof/>
      </w:rPr>
      <w:fldChar w:fldCharType="end"/>
    </w:r>
    <w:r w:rsidRPr="00E71F46">
      <w:rPr>
        <w:lang w:val="de-DE"/>
      </w:rPr>
      <w:t xml:space="preserve"> Veröffentlicht im Mai 2009</w:t>
    </w:r>
  </w:p>
  <w:p w:rsidR="00973B91" w:rsidRPr="00E71F46" w:rsidRDefault="00973B91">
    <w:pPr>
      <w:pStyle w:val="Footer"/>
      <w:rPr>
        <w:rFonts w:ascii="Verdana" w:hAnsi="Verdana"/>
        <w:color w:val="808080"/>
        <w:sz w:val="16"/>
        <w:lang w:val="de-DE"/>
      </w:rPr>
    </w:pPr>
    <w:r w:rsidRPr="00E71F46">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19A5" w:rsidRDefault="005519A5">
      <w:r>
        <w:separator/>
      </w:r>
    </w:p>
  </w:footnote>
  <w:footnote w:type="continuationSeparator" w:id="0">
    <w:p w:rsidR="005519A5" w:rsidRDefault="005519A5">
      <w:r>
        <w:continuationSeparator/>
      </w:r>
    </w:p>
  </w:footnote>
  <w:footnote w:type="continuationNotice" w:id="1">
    <w:p w:rsidR="005519A5" w:rsidRDefault="005519A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B91" w:rsidRDefault="00973B91">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simplePos x="0" y="0"/>
              <wp:positionH relativeFrom="column">
                <wp:posOffset>-316865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B91" w:rsidRDefault="00973B91" w:rsidP="00C566D6">
                          <w:r>
                            <w:rPr>
                              <w:rFonts w:ascii="Verdana" w:hAnsi="Verdana"/>
                              <w:noProof/>
                              <w:sz w:val="20"/>
                              <w:szCs w:val="20"/>
                            </w:rPr>
                            <w:drawing>
                              <wp:inline distT="0" distB="0" distL="0" distR="0" wp14:anchorId="4CA70E3E" wp14:editId="3FDA4201">
                                <wp:extent cx="1911096" cy="512064"/>
                                <wp:effectExtent l="0" t="0" r="0" b="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9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" o:allowincell="f" filled="f" stroked="f">
              <v:textbox>
                <w:txbxContent>
                  <w:p w:rsidR="00973B91" w:rsidRDefault="00973B91" w:rsidP="00C566D6">
                    <w:r>
                      <w:rPr>
                        <w:rFonts w:ascii="Verdana" w:hAnsi="Verdana"/>
                        <w:noProof/>
                        <w:sz w:val="20"/>
                        <w:szCs w:val="20"/>
                      </w:rPr>
                      <w:drawing>
                        <wp:inline distT="0" distB="0" distL="0" distR="0" wp14:anchorId="4CA70E3E" wp14:editId="3FDA4201">
                          <wp:extent cx="1911096" cy="512064"/>
                          <wp:effectExtent l="0" t="0" r="0" b="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p>
  <w:p w:rsidR="00973B91" w:rsidRDefault="00973B91">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DF2867"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B91" w:rsidRDefault="00973B91" w:rsidP="00290FC1">
    <w:pPr>
      <w:ind w:rightChars="185" w:right="333"/>
    </w:pPr>
  </w:p>
  <w:p w:rsidR="00973B91" w:rsidRDefault="00973B91" w:rsidP="00290FC1">
    <w:pPr>
      <w:ind w:rightChars="185" w:right="333"/>
    </w:pPr>
  </w:p>
  <w:p w:rsidR="00973B91" w:rsidRDefault="00973B91" w:rsidP="00290FC1">
    <w:pPr>
      <w:ind w:rightChars="185" w:right="333"/>
    </w:pPr>
    <w:r>
      <w:rPr>
        <w:noProof/>
      </w:rPr>
      <w:drawing>
        <wp:anchor distT="0" distB="0" distL="114300" distR="114300" simplePos="0" relativeHeight="251661824" behindDoc="0" locked="0" layoutInCell="1" allowOverlap="1" wp14:anchorId="7EA84153" wp14:editId="17DF003F">
          <wp:simplePos x="0" y="0"/>
          <wp:positionH relativeFrom="margin">
            <wp:align>center</wp:align>
          </wp:positionH>
          <wp:positionV relativeFrom="paragraph">
            <wp:posOffset>15240</wp:posOffset>
          </wp:positionV>
          <wp:extent cx="5734050" cy="561975"/>
          <wp:effectExtent l="0" t="0" r="0" b="9525"/>
          <wp:wrapNone/>
          <wp:docPr id="9" name="Picture 9"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973B91" w:rsidRDefault="00973B9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B91" w:rsidRDefault="00973B91" w:rsidP="00F8080D">
    <w:pPr>
      <w:ind w:rightChars="185" w:right="333"/>
    </w:pPr>
  </w:p>
  <w:p w:rsidR="00973B91" w:rsidRDefault="00973B9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68D63A4A"/>
    <w:lvl w:ilvl="0" w:tplc="75BAD1A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FC82CC82"/>
    <w:lvl w:ilvl="0" w:tplc="33DE143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9182C186"/>
    <w:lvl w:ilvl="0" w:tplc="B9F8D2AC">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887EE644"/>
    <w:lvl w:ilvl="0" w:tplc="81A2C74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8710E17C"/>
    <w:lvl w:ilvl="0" w:tplc="D902DDBC">
      <w:start w:val="1"/>
      <w:numFmt w:val="bullet"/>
      <w:lvlText w:val=""/>
      <w:lvlJc w:val="left"/>
      <w:pPr>
        <w:ind w:left="720" w:hanging="360"/>
      </w:pPr>
      <w:rPr>
        <w:rFonts w:ascii="Webdings" w:hAnsi="Webdings" w:hint="default"/>
        <w:b w:val="0"/>
        <w:i w:val="0"/>
        <w:color w:val="FF6600"/>
        <w:sz w:val="24"/>
      </w:rPr>
    </w:lvl>
    <w:lvl w:ilvl="1" w:tplc="DEB07F7C">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171E3D9C"/>
    <w:lvl w:ilvl="0" w:tplc="1644B5D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Fh+DW4HOxW2vZD38/t5nTuh/5O74QPPJaPAP1U8Zmc3vMOKeqa0bzQeJLN4si1QQQdnZtN+ut5bvn/68RT3cRg==" w:salt="WGvWEDGKBwC0Ty6RbkGOl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AF7"/>
    <w:rsid w:val="00001FB2"/>
    <w:rsid w:val="0000292F"/>
    <w:rsid w:val="00002C0B"/>
    <w:rsid w:val="00003601"/>
    <w:rsid w:val="00003D41"/>
    <w:rsid w:val="0000424D"/>
    <w:rsid w:val="00004568"/>
    <w:rsid w:val="00004998"/>
    <w:rsid w:val="0000615E"/>
    <w:rsid w:val="00006372"/>
    <w:rsid w:val="00007875"/>
    <w:rsid w:val="0000794B"/>
    <w:rsid w:val="000100BC"/>
    <w:rsid w:val="00010442"/>
    <w:rsid w:val="00010452"/>
    <w:rsid w:val="00010D5F"/>
    <w:rsid w:val="000114ED"/>
    <w:rsid w:val="00011E31"/>
    <w:rsid w:val="00012D48"/>
    <w:rsid w:val="00013F1B"/>
    <w:rsid w:val="00014083"/>
    <w:rsid w:val="000148B4"/>
    <w:rsid w:val="00014EAD"/>
    <w:rsid w:val="000150D5"/>
    <w:rsid w:val="000158BF"/>
    <w:rsid w:val="000158EE"/>
    <w:rsid w:val="0002020C"/>
    <w:rsid w:val="00021544"/>
    <w:rsid w:val="000225E7"/>
    <w:rsid w:val="00022FBE"/>
    <w:rsid w:val="000232D9"/>
    <w:rsid w:val="00023FE7"/>
    <w:rsid w:val="00024C3C"/>
    <w:rsid w:val="00024DF4"/>
    <w:rsid w:val="00024FB1"/>
    <w:rsid w:val="00025419"/>
    <w:rsid w:val="00026546"/>
    <w:rsid w:val="0002744D"/>
    <w:rsid w:val="00030000"/>
    <w:rsid w:val="0003011A"/>
    <w:rsid w:val="0003031D"/>
    <w:rsid w:val="000306B4"/>
    <w:rsid w:val="00031547"/>
    <w:rsid w:val="00031ABF"/>
    <w:rsid w:val="0003200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ED4"/>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A4"/>
    <w:rsid w:val="00050F9B"/>
    <w:rsid w:val="0005132C"/>
    <w:rsid w:val="00051AA6"/>
    <w:rsid w:val="0005221F"/>
    <w:rsid w:val="00052441"/>
    <w:rsid w:val="00052BF4"/>
    <w:rsid w:val="00052DA2"/>
    <w:rsid w:val="00053F31"/>
    <w:rsid w:val="00054811"/>
    <w:rsid w:val="000549B5"/>
    <w:rsid w:val="000553EE"/>
    <w:rsid w:val="0005574D"/>
    <w:rsid w:val="00055EFD"/>
    <w:rsid w:val="000566D4"/>
    <w:rsid w:val="00056DDF"/>
    <w:rsid w:val="00056E58"/>
    <w:rsid w:val="0006021D"/>
    <w:rsid w:val="00060238"/>
    <w:rsid w:val="00060959"/>
    <w:rsid w:val="00061A45"/>
    <w:rsid w:val="00061A6E"/>
    <w:rsid w:val="000626C8"/>
    <w:rsid w:val="000627B4"/>
    <w:rsid w:val="00062C47"/>
    <w:rsid w:val="0006338A"/>
    <w:rsid w:val="00063577"/>
    <w:rsid w:val="000658AA"/>
    <w:rsid w:val="00066528"/>
    <w:rsid w:val="00067AB1"/>
    <w:rsid w:val="00070440"/>
    <w:rsid w:val="00070945"/>
    <w:rsid w:val="0007160C"/>
    <w:rsid w:val="00071922"/>
    <w:rsid w:val="0007218F"/>
    <w:rsid w:val="000731D9"/>
    <w:rsid w:val="00073C31"/>
    <w:rsid w:val="00073E15"/>
    <w:rsid w:val="0007499D"/>
    <w:rsid w:val="000749F8"/>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559"/>
    <w:rsid w:val="00084B9E"/>
    <w:rsid w:val="00085002"/>
    <w:rsid w:val="00085C3C"/>
    <w:rsid w:val="000865FC"/>
    <w:rsid w:val="00087380"/>
    <w:rsid w:val="0009065E"/>
    <w:rsid w:val="000907C7"/>
    <w:rsid w:val="000908B0"/>
    <w:rsid w:val="00090A32"/>
    <w:rsid w:val="000911BF"/>
    <w:rsid w:val="00091435"/>
    <w:rsid w:val="0009153E"/>
    <w:rsid w:val="00091558"/>
    <w:rsid w:val="000916C1"/>
    <w:rsid w:val="000916C5"/>
    <w:rsid w:val="00092855"/>
    <w:rsid w:val="00092E9E"/>
    <w:rsid w:val="00092F30"/>
    <w:rsid w:val="00092FEB"/>
    <w:rsid w:val="000937BB"/>
    <w:rsid w:val="00093E56"/>
    <w:rsid w:val="00094035"/>
    <w:rsid w:val="000945E1"/>
    <w:rsid w:val="000956ED"/>
    <w:rsid w:val="00096BD3"/>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D23"/>
    <w:rsid w:val="000C0FBE"/>
    <w:rsid w:val="000C185F"/>
    <w:rsid w:val="000C25AC"/>
    <w:rsid w:val="000C2842"/>
    <w:rsid w:val="000C2964"/>
    <w:rsid w:val="000C2A7C"/>
    <w:rsid w:val="000C32C3"/>
    <w:rsid w:val="000C3CB1"/>
    <w:rsid w:val="000C4911"/>
    <w:rsid w:val="000C622E"/>
    <w:rsid w:val="000C676D"/>
    <w:rsid w:val="000C6865"/>
    <w:rsid w:val="000C6A47"/>
    <w:rsid w:val="000C6C07"/>
    <w:rsid w:val="000C6DBC"/>
    <w:rsid w:val="000C702C"/>
    <w:rsid w:val="000C72FC"/>
    <w:rsid w:val="000C79A2"/>
    <w:rsid w:val="000C7C7E"/>
    <w:rsid w:val="000D158E"/>
    <w:rsid w:val="000D158F"/>
    <w:rsid w:val="000D17D6"/>
    <w:rsid w:val="000D2804"/>
    <w:rsid w:val="000D399F"/>
    <w:rsid w:val="000D4008"/>
    <w:rsid w:val="000D454E"/>
    <w:rsid w:val="000D4ECA"/>
    <w:rsid w:val="000D5E2F"/>
    <w:rsid w:val="000D5F24"/>
    <w:rsid w:val="000D6A9F"/>
    <w:rsid w:val="000D747C"/>
    <w:rsid w:val="000D76F0"/>
    <w:rsid w:val="000D77DE"/>
    <w:rsid w:val="000E0179"/>
    <w:rsid w:val="000E04C0"/>
    <w:rsid w:val="000E1409"/>
    <w:rsid w:val="000E1C1F"/>
    <w:rsid w:val="000E260B"/>
    <w:rsid w:val="000E29CF"/>
    <w:rsid w:val="000E2EB3"/>
    <w:rsid w:val="000E3AE4"/>
    <w:rsid w:val="000E3C2A"/>
    <w:rsid w:val="000E4170"/>
    <w:rsid w:val="000E485A"/>
    <w:rsid w:val="000E5145"/>
    <w:rsid w:val="000E6103"/>
    <w:rsid w:val="000E658A"/>
    <w:rsid w:val="000E65CF"/>
    <w:rsid w:val="000E6728"/>
    <w:rsid w:val="000E680E"/>
    <w:rsid w:val="000E6B57"/>
    <w:rsid w:val="000E6DE5"/>
    <w:rsid w:val="000E6E21"/>
    <w:rsid w:val="000F0642"/>
    <w:rsid w:val="000F0F4D"/>
    <w:rsid w:val="000F11BD"/>
    <w:rsid w:val="000F1BE7"/>
    <w:rsid w:val="000F1ECA"/>
    <w:rsid w:val="000F200C"/>
    <w:rsid w:val="000F3BE2"/>
    <w:rsid w:val="000F4095"/>
    <w:rsid w:val="000F4E3B"/>
    <w:rsid w:val="000F51BC"/>
    <w:rsid w:val="000F566D"/>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75F"/>
    <w:rsid w:val="00104DE2"/>
    <w:rsid w:val="001051D1"/>
    <w:rsid w:val="00106236"/>
    <w:rsid w:val="001062A0"/>
    <w:rsid w:val="00106361"/>
    <w:rsid w:val="001063EC"/>
    <w:rsid w:val="00106A04"/>
    <w:rsid w:val="001070B3"/>
    <w:rsid w:val="00107665"/>
    <w:rsid w:val="001106F5"/>
    <w:rsid w:val="00110AFB"/>
    <w:rsid w:val="00110E1D"/>
    <w:rsid w:val="00111A92"/>
    <w:rsid w:val="001123CB"/>
    <w:rsid w:val="001126E7"/>
    <w:rsid w:val="00112BE6"/>
    <w:rsid w:val="0011332E"/>
    <w:rsid w:val="00113359"/>
    <w:rsid w:val="001134F8"/>
    <w:rsid w:val="00113634"/>
    <w:rsid w:val="00113665"/>
    <w:rsid w:val="001136F4"/>
    <w:rsid w:val="00113EC1"/>
    <w:rsid w:val="001140EF"/>
    <w:rsid w:val="001154B5"/>
    <w:rsid w:val="00116222"/>
    <w:rsid w:val="00116978"/>
    <w:rsid w:val="00116EDC"/>
    <w:rsid w:val="00117112"/>
    <w:rsid w:val="00117255"/>
    <w:rsid w:val="001178CC"/>
    <w:rsid w:val="001178E8"/>
    <w:rsid w:val="00117B4A"/>
    <w:rsid w:val="00117D7F"/>
    <w:rsid w:val="00120E91"/>
    <w:rsid w:val="00122092"/>
    <w:rsid w:val="00122483"/>
    <w:rsid w:val="00123558"/>
    <w:rsid w:val="00123D68"/>
    <w:rsid w:val="001253FF"/>
    <w:rsid w:val="00125604"/>
    <w:rsid w:val="00125610"/>
    <w:rsid w:val="00125CFA"/>
    <w:rsid w:val="00126292"/>
    <w:rsid w:val="001265B4"/>
    <w:rsid w:val="001279BA"/>
    <w:rsid w:val="00127FA7"/>
    <w:rsid w:val="00130278"/>
    <w:rsid w:val="0013031A"/>
    <w:rsid w:val="00131042"/>
    <w:rsid w:val="001310D5"/>
    <w:rsid w:val="0013130F"/>
    <w:rsid w:val="001319AE"/>
    <w:rsid w:val="001323B9"/>
    <w:rsid w:val="001327D3"/>
    <w:rsid w:val="00132E08"/>
    <w:rsid w:val="00133069"/>
    <w:rsid w:val="0013361B"/>
    <w:rsid w:val="00133A4B"/>
    <w:rsid w:val="00133C80"/>
    <w:rsid w:val="00134599"/>
    <w:rsid w:val="00134960"/>
    <w:rsid w:val="0013504C"/>
    <w:rsid w:val="00135D5F"/>
    <w:rsid w:val="001362A1"/>
    <w:rsid w:val="001363A0"/>
    <w:rsid w:val="00136585"/>
    <w:rsid w:val="00136635"/>
    <w:rsid w:val="0013786B"/>
    <w:rsid w:val="00137E2E"/>
    <w:rsid w:val="00140080"/>
    <w:rsid w:val="00140178"/>
    <w:rsid w:val="001409EF"/>
    <w:rsid w:val="00140B67"/>
    <w:rsid w:val="001414E7"/>
    <w:rsid w:val="00141DA5"/>
    <w:rsid w:val="001422CD"/>
    <w:rsid w:val="00142B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4AA"/>
    <w:rsid w:val="00152E1B"/>
    <w:rsid w:val="00152FCC"/>
    <w:rsid w:val="001538D0"/>
    <w:rsid w:val="00154676"/>
    <w:rsid w:val="00155130"/>
    <w:rsid w:val="00155783"/>
    <w:rsid w:val="00155B9B"/>
    <w:rsid w:val="00155ECD"/>
    <w:rsid w:val="00156ACE"/>
    <w:rsid w:val="00156AE7"/>
    <w:rsid w:val="00156B3C"/>
    <w:rsid w:val="0016067A"/>
    <w:rsid w:val="001608E7"/>
    <w:rsid w:val="00160C27"/>
    <w:rsid w:val="00162822"/>
    <w:rsid w:val="00162A93"/>
    <w:rsid w:val="00162ADA"/>
    <w:rsid w:val="00163658"/>
    <w:rsid w:val="00163848"/>
    <w:rsid w:val="00164103"/>
    <w:rsid w:val="00164C7C"/>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1F3B"/>
    <w:rsid w:val="00172CBA"/>
    <w:rsid w:val="0017320F"/>
    <w:rsid w:val="00173A20"/>
    <w:rsid w:val="00174410"/>
    <w:rsid w:val="001744C9"/>
    <w:rsid w:val="001748E9"/>
    <w:rsid w:val="00174C80"/>
    <w:rsid w:val="00174DCD"/>
    <w:rsid w:val="00174F3A"/>
    <w:rsid w:val="001750AD"/>
    <w:rsid w:val="0017535D"/>
    <w:rsid w:val="001754AD"/>
    <w:rsid w:val="00175615"/>
    <w:rsid w:val="001758DD"/>
    <w:rsid w:val="00175CDF"/>
    <w:rsid w:val="00175FBE"/>
    <w:rsid w:val="0017602C"/>
    <w:rsid w:val="001760D6"/>
    <w:rsid w:val="00176237"/>
    <w:rsid w:val="00176313"/>
    <w:rsid w:val="00177824"/>
    <w:rsid w:val="00177D4C"/>
    <w:rsid w:val="00180075"/>
    <w:rsid w:val="00180424"/>
    <w:rsid w:val="0018059D"/>
    <w:rsid w:val="00180E25"/>
    <w:rsid w:val="00180F86"/>
    <w:rsid w:val="001812AF"/>
    <w:rsid w:val="00181545"/>
    <w:rsid w:val="00181EAB"/>
    <w:rsid w:val="001820B4"/>
    <w:rsid w:val="00183460"/>
    <w:rsid w:val="00183E7C"/>
    <w:rsid w:val="00183F4D"/>
    <w:rsid w:val="00184022"/>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27D"/>
    <w:rsid w:val="0019497E"/>
    <w:rsid w:val="00194DAF"/>
    <w:rsid w:val="00196024"/>
    <w:rsid w:val="00196176"/>
    <w:rsid w:val="00196AA3"/>
    <w:rsid w:val="00196F45"/>
    <w:rsid w:val="0019770C"/>
    <w:rsid w:val="0019788A"/>
    <w:rsid w:val="001978C7"/>
    <w:rsid w:val="001979E9"/>
    <w:rsid w:val="001A0D88"/>
    <w:rsid w:val="001A106B"/>
    <w:rsid w:val="001A14F2"/>
    <w:rsid w:val="001A1A7A"/>
    <w:rsid w:val="001A2663"/>
    <w:rsid w:val="001A3069"/>
    <w:rsid w:val="001A3367"/>
    <w:rsid w:val="001A5D12"/>
    <w:rsid w:val="001A5DFA"/>
    <w:rsid w:val="001A63C6"/>
    <w:rsid w:val="001A7C63"/>
    <w:rsid w:val="001A7DB3"/>
    <w:rsid w:val="001B035A"/>
    <w:rsid w:val="001B0B76"/>
    <w:rsid w:val="001B0EA6"/>
    <w:rsid w:val="001B15A5"/>
    <w:rsid w:val="001B16F5"/>
    <w:rsid w:val="001B1DB9"/>
    <w:rsid w:val="001B1F6A"/>
    <w:rsid w:val="001B3397"/>
    <w:rsid w:val="001B413E"/>
    <w:rsid w:val="001B4E4D"/>
    <w:rsid w:val="001B4F17"/>
    <w:rsid w:val="001B651D"/>
    <w:rsid w:val="001B6FC8"/>
    <w:rsid w:val="001B7453"/>
    <w:rsid w:val="001B76E2"/>
    <w:rsid w:val="001B7889"/>
    <w:rsid w:val="001B7CC3"/>
    <w:rsid w:val="001B7E60"/>
    <w:rsid w:val="001C032E"/>
    <w:rsid w:val="001C076E"/>
    <w:rsid w:val="001C0A36"/>
    <w:rsid w:val="001C0B01"/>
    <w:rsid w:val="001C123D"/>
    <w:rsid w:val="001C15E9"/>
    <w:rsid w:val="001C1727"/>
    <w:rsid w:val="001C17FF"/>
    <w:rsid w:val="001C1CB1"/>
    <w:rsid w:val="001C20C9"/>
    <w:rsid w:val="001C2B72"/>
    <w:rsid w:val="001C310B"/>
    <w:rsid w:val="001C369B"/>
    <w:rsid w:val="001C38D4"/>
    <w:rsid w:val="001C3A4A"/>
    <w:rsid w:val="001C3E72"/>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12B"/>
    <w:rsid w:val="001D7A2C"/>
    <w:rsid w:val="001D7A81"/>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2E7"/>
    <w:rsid w:val="001F09EE"/>
    <w:rsid w:val="001F3114"/>
    <w:rsid w:val="001F45C4"/>
    <w:rsid w:val="001F47F9"/>
    <w:rsid w:val="001F52D2"/>
    <w:rsid w:val="001F63D6"/>
    <w:rsid w:val="001F67F9"/>
    <w:rsid w:val="001F71F2"/>
    <w:rsid w:val="001F7B02"/>
    <w:rsid w:val="001F7B56"/>
    <w:rsid w:val="0020051A"/>
    <w:rsid w:val="00200E1A"/>
    <w:rsid w:val="00201318"/>
    <w:rsid w:val="00201361"/>
    <w:rsid w:val="002015BC"/>
    <w:rsid w:val="00201B33"/>
    <w:rsid w:val="00202A44"/>
    <w:rsid w:val="002030E1"/>
    <w:rsid w:val="00204AFE"/>
    <w:rsid w:val="00204D6D"/>
    <w:rsid w:val="0020559C"/>
    <w:rsid w:val="00205C65"/>
    <w:rsid w:val="002065C2"/>
    <w:rsid w:val="0020722E"/>
    <w:rsid w:val="00207514"/>
    <w:rsid w:val="00207CB0"/>
    <w:rsid w:val="00210104"/>
    <w:rsid w:val="002101B4"/>
    <w:rsid w:val="0021021E"/>
    <w:rsid w:val="00210612"/>
    <w:rsid w:val="002107A3"/>
    <w:rsid w:val="00210C37"/>
    <w:rsid w:val="00210C85"/>
    <w:rsid w:val="0021235A"/>
    <w:rsid w:val="00212C87"/>
    <w:rsid w:val="00212CC6"/>
    <w:rsid w:val="002147C1"/>
    <w:rsid w:val="002150B5"/>
    <w:rsid w:val="00215176"/>
    <w:rsid w:val="002153AF"/>
    <w:rsid w:val="00215BB0"/>
    <w:rsid w:val="00215FAF"/>
    <w:rsid w:val="002160EB"/>
    <w:rsid w:val="0021637C"/>
    <w:rsid w:val="00216779"/>
    <w:rsid w:val="002169A8"/>
    <w:rsid w:val="00216BFE"/>
    <w:rsid w:val="002171BB"/>
    <w:rsid w:val="002171C3"/>
    <w:rsid w:val="0021735C"/>
    <w:rsid w:val="002202D0"/>
    <w:rsid w:val="002202DB"/>
    <w:rsid w:val="00220721"/>
    <w:rsid w:val="002213E6"/>
    <w:rsid w:val="00221971"/>
    <w:rsid w:val="00221A57"/>
    <w:rsid w:val="00222404"/>
    <w:rsid w:val="00222641"/>
    <w:rsid w:val="00222B90"/>
    <w:rsid w:val="0022394B"/>
    <w:rsid w:val="00223A77"/>
    <w:rsid w:val="0022500A"/>
    <w:rsid w:val="002253A3"/>
    <w:rsid w:val="00225598"/>
    <w:rsid w:val="00225701"/>
    <w:rsid w:val="00226CF6"/>
    <w:rsid w:val="00226DE5"/>
    <w:rsid w:val="00226E5F"/>
    <w:rsid w:val="002272AF"/>
    <w:rsid w:val="002278A3"/>
    <w:rsid w:val="00230134"/>
    <w:rsid w:val="00230B92"/>
    <w:rsid w:val="00230C60"/>
    <w:rsid w:val="00230E01"/>
    <w:rsid w:val="00230E06"/>
    <w:rsid w:val="00231EAF"/>
    <w:rsid w:val="00232756"/>
    <w:rsid w:val="00232775"/>
    <w:rsid w:val="00232DA9"/>
    <w:rsid w:val="002333B5"/>
    <w:rsid w:val="00233A1E"/>
    <w:rsid w:val="00233B55"/>
    <w:rsid w:val="00233B9E"/>
    <w:rsid w:val="0023411E"/>
    <w:rsid w:val="002347F5"/>
    <w:rsid w:val="002367D3"/>
    <w:rsid w:val="00237686"/>
    <w:rsid w:val="00237C63"/>
    <w:rsid w:val="002402D4"/>
    <w:rsid w:val="00241434"/>
    <w:rsid w:val="002414C7"/>
    <w:rsid w:val="00241602"/>
    <w:rsid w:val="00241674"/>
    <w:rsid w:val="00241885"/>
    <w:rsid w:val="00242218"/>
    <w:rsid w:val="00242B11"/>
    <w:rsid w:val="00242CC8"/>
    <w:rsid w:val="002435BA"/>
    <w:rsid w:val="00243B33"/>
    <w:rsid w:val="00243E0C"/>
    <w:rsid w:val="00244608"/>
    <w:rsid w:val="002448FB"/>
    <w:rsid w:val="00244E57"/>
    <w:rsid w:val="0024509C"/>
    <w:rsid w:val="00245448"/>
    <w:rsid w:val="002460AD"/>
    <w:rsid w:val="00246341"/>
    <w:rsid w:val="002463ED"/>
    <w:rsid w:val="00246B25"/>
    <w:rsid w:val="00246BBF"/>
    <w:rsid w:val="00246D67"/>
    <w:rsid w:val="00246DB2"/>
    <w:rsid w:val="00247A55"/>
    <w:rsid w:val="0025016C"/>
    <w:rsid w:val="0025087E"/>
    <w:rsid w:val="00251243"/>
    <w:rsid w:val="0025128E"/>
    <w:rsid w:val="002512D3"/>
    <w:rsid w:val="00252230"/>
    <w:rsid w:val="00252E73"/>
    <w:rsid w:val="00252F56"/>
    <w:rsid w:val="002531FE"/>
    <w:rsid w:val="00253288"/>
    <w:rsid w:val="002538F2"/>
    <w:rsid w:val="002541AE"/>
    <w:rsid w:val="002543B0"/>
    <w:rsid w:val="0025464E"/>
    <w:rsid w:val="00255095"/>
    <w:rsid w:val="00255158"/>
    <w:rsid w:val="0025569A"/>
    <w:rsid w:val="002558DA"/>
    <w:rsid w:val="00255A51"/>
    <w:rsid w:val="00255A83"/>
    <w:rsid w:val="00255E45"/>
    <w:rsid w:val="00256434"/>
    <w:rsid w:val="0025645E"/>
    <w:rsid w:val="002565A3"/>
    <w:rsid w:val="00256616"/>
    <w:rsid w:val="00257170"/>
    <w:rsid w:val="00257298"/>
    <w:rsid w:val="002575A0"/>
    <w:rsid w:val="00257CF3"/>
    <w:rsid w:val="00260693"/>
    <w:rsid w:val="0026153D"/>
    <w:rsid w:val="00261A2C"/>
    <w:rsid w:val="002620FA"/>
    <w:rsid w:val="0026353D"/>
    <w:rsid w:val="00263B62"/>
    <w:rsid w:val="002644C0"/>
    <w:rsid w:val="00264630"/>
    <w:rsid w:val="00264812"/>
    <w:rsid w:val="002653EB"/>
    <w:rsid w:val="0026584E"/>
    <w:rsid w:val="00265AC3"/>
    <w:rsid w:val="0026606F"/>
    <w:rsid w:val="00266AF5"/>
    <w:rsid w:val="00266CF2"/>
    <w:rsid w:val="00266F0E"/>
    <w:rsid w:val="0026723A"/>
    <w:rsid w:val="0026761B"/>
    <w:rsid w:val="002677F5"/>
    <w:rsid w:val="0027028A"/>
    <w:rsid w:val="00270612"/>
    <w:rsid w:val="00270641"/>
    <w:rsid w:val="00270850"/>
    <w:rsid w:val="00270EBE"/>
    <w:rsid w:val="00270F92"/>
    <w:rsid w:val="00271E9A"/>
    <w:rsid w:val="00272869"/>
    <w:rsid w:val="00272E63"/>
    <w:rsid w:val="00273685"/>
    <w:rsid w:val="00273BDA"/>
    <w:rsid w:val="00273C3F"/>
    <w:rsid w:val="00273EB9"/>
    <w:rsid w:val="00274737"/>
    <w:rsid w:val="002751F6"/>
    <w:rsid w:val="00276586"/>
    <w:rsid w:val="002765CF"/>
    <w:rsid w:val="00276B20"/>
    <w:rsid w:val="00277145"/>
    <w:rsid w:val="0028033C"/>
    <w:rsid w:val="00280A25"/>
    <w:rsid w:val="00281082"/>
    <w:rsid w:val="00281B6E"/>
    <w:rsid w:val="0028230A"/>
    <w:rsid w:val="00283A4E"/>
    <w:rsid w:val="002841A7"/>
    <w:rsid w:val="002849A2"/>
    <w:rsid w:val="002854D4"/>
    <w:rsid w:val="00285547"/>
    <w:rsid w:val="0028591B"/>
    <w:rsid w:val="00285E3D"/>
    <w:rsid w:val="00285EE8"/>
    <w:rsid w:val="002868EB"/>
    <w:rsid w:val="00287571"/>
    <w:rsid w:val="0028767F"/>
    <w:rsid w:val="00287725"/>
    <w:rsid w:val="00287758"/>
    <w:rsid w:val="00287C64"/>
    <w:rsid w:val="002901CB"/>
    <w:rsid w:val="00290203"/>
    <w:rsid w:val="002905E6"/>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31A"/>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51D"/>
    <w:rsid w:val="002A760F"/>
    <w:rsid w:val="002A77B9"/>
    <w:rsid w:val="002B0939"/>
    <w:rsid w:val="002B131B"/>
    <w:rsid w:val="002B1778"/>
    <w:rsid w:val="002B1E2D"/>
    <w:rsid w:val="002B1F45"/>
    <w:rsid w:val="002B202E"/>
    <w:rsid w:val="002B2A1D"/>
    <w:rsid w:val="002B2F57"/>
    <w:rsid w:val="002B327C"/>
    <w:rsid w:val="002B3A50"/>
    <w:rsid w:val="002B4A9E"/>
    <w:rsid w:val="002B4C1D"/>
    <w:rsid w:val="002B4E5D"/>
    <w:rsid w:val="002B547C"/>
    <w:rsid w:val="002B5C31"/>
    <w:rsid w:val="002B60CA"/>
    <w:rsid w:val="002B7094"/>
    <w:rsid w:val="002B75CB"/>
    <w:rsid w:val="002C0225"/>
    <w:rsid w:val="002C0A4B"/>
    <w:rsid w:val="002C0CE1"/>
    <w:rsid w:val="002C1048"/>
    <w:rsid w:val="002C1899"/>
    <w:rsid w:val="002C1A50"/>
    <w:rsid w:val="002C3AB1"/>
    <w:rsid w:val="002C3D8E"/>
    <w:rsid w:val="002C4982"/>
    <w:rsid w:val="002C4BA9"/>
    <w:rsid w:val="002C509B"/>
    <w:rsid w:val="002C5241"/>
    <w:rsid w:val="002C5316"/>
    <w:rsid w:val="002C5924"/>
    <w:rsid w:val="002C69AC"/>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004"/>
    <w:rsid w:val="002D32B4"/>
    <w:rsid w:val="002D35ED"/>
    <w:rsid w:val="002D3790"/>
    <w:rsid w:val="002D44E5"/>
    <w:rsid w:val="002D4631"/>
    <w:rsid w:val="002D47EE"/>
    <w:rsid w:val="002D49FA"/>
    <w:rsid w:val="002D4B5C"/>
    <w:rsid w:val="002D4F11"/>
    <w:rsid w:val="002D5129"/>
    <w:rsid w:val="002D69ED"/>
    <w:rsid w:val="002D6DBC"/>
    <w:rsid w:val="002D7A4B"/>
    <w:rsid w:val="002D7B73"/>
    <w:rsid w:val="002D7BEA"/>
    <w:rsid w:val="002E0D98"/>
    <w:rsid w:val="002E125F"/>
    <w:rsid w:val="002E2254"/>
    <w:rsid w:val="002E2A3F"/>
    <w:rsid w:val="002E2ABD"/>
    <w:rsid w:val="002E2DEB"/>
    <w:rsid w:val="002E4298"/>
    <w:rsid w:val="002E47AC"/>
    <w:rsid w:val="002E57CF"/>
    <w:rsid w:val="002E593F"/>
    <w:rsid w:val="002E59B1"/>
    <w:rsid w:val="002E5D03"/>
    <w:rsid w:val="002E5D6D"/>
    <w:rsid w:val="002E5E33"/>
    <w:rsid w:val="002E5F5A"/>
    <w:rsid w:val="002E6007"/>
    <w:rsid w:val="002E7045"/>
    <w:rsid w:val="002E7FF7"/>
    <w:rsid w:val="002F0729"/>
    <w:rsid w:val="002F0DD0"/>
    <w:rsid w:val="002F15FA"/>
    <w:rsid w:val="002F2102"/>
    <w:rsid w:val="002F2267"/>
    <w:rsid w:val="002F3152"/>
    <w:rsid w:val="002F357B"/>
    <w:rsid w:val="002F3836"/>
    <w:rsid w:val="002F39A5"/>
    <w:rsid w:val="002F4807"/>
    <w:rsid w:val="002F4C7C"/>
    <w:rsid w:val="002F51E4"/>
    <w:rsid w:val="002F529F"/>
    <w:rsid w:val="002F5899"/>
    <w:rsid w:val="002F5A14"/>
    <w:rsid w:val="002F6A24"/>
    <w:rsid w:val="002F7203"/>
    <w:rsid w:val="002F72EC"/>
    <w:rsid w:val="002F7FB8"/>
    <w:rsid w:val="003009F1"/>
    <w:rsid w:val="00301E95"/>
    <w:rsid w:val="00302B84"/>
    <w:rsid w:val="00302DBB"/>
    <w:rsid w:val="00303BEB"/>
    <w:rsid w:val="00304804"/>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136"/>
    <w:rsid w:val="003113FB"/>
    <w:rsid w:val="003124DA"/>
    <w:rsid w:val="0031394C"/>
    <w:rsid w:val="00313B0C"/>
    <w:rsid w:val="003151E6"/>
    <w:rsid w:val="00315993"/>
    <w:rsid w:val="00315E11"/>
    <w:rsid w:val="003165D1"/>
    <w:rsid w:val="003165D6"/>
    <w:rsid w:val="003166AD"/>
    <w:rsid w:val="00316AE2"/>
    <w:rsid w:val="00316E24"/>
    <w:rsid w:val="003171B3"/>
    <w:rsid w:val="003177CE"/>
    <w:rsid w:val="00320142"/>
    <w:rsid w:val="003205B6"/>
    <w:rsid w:val="00320613"/>
    <w:rsid w:val="0032113C"/>
    <w:rsid w:val="003219D2"/>
    <w:rsid w:val="00322128"/>
    <w:rsid w:val="00322275"/>
    <w:rsid w:val="003225E4"/>
    <w:rsid w:val="003234A7"/>
    <w:rsid w:val="00324479"/>
    <w:rsid w:val="0032469E"/>
    <w:rsid w:val="0032586D"/>
    <w:rsid w:val="00325BA0"/>
    <w:rsid w:val="00325E60"/>
    <w:rsid w:val="00326050"/>
    <w:rsid w:val="00326833"/>
    <w:rsid w:val="00326BBD"/>
    <w:rsid w:val="00326C6A"/>
    <w:rsid w:val="00326EF7"/>
    <w:rsid w:val="00326F85"/>
    <w:rsid w:val="00330CD4"/>
    <w:rsid w:val="00331198"/>
    <w:rsid w:val="0033167A"/>
    <w:rsid w:val="003336C4"/>
    <w:rsid w:val="00333A0E"/>
    <w:rsid w:val="00333AC5"/>
    <w:rsid w:val="00333DA8"/>
    <w:rsid w:val="00333F5B"/>
    <w:rsid w:val="003347D9"/>
    <w:rsid w:val="00334DEB"/>
    <w:rsid w:val="00334E27"/>
    <w:rsid w:val="00335046"/>
    <w:rsid w:val="0033513B"/>
    <w:rsid w:val="00335238"/>
    <w:rsid w:val="00335DFB"/>
    <w:rsid w:val="0033621D"/>
    <w:rsid w:val="00336BCA"/>
    <w:rsid w:val="0033725C"/>
    <w:rsid w:val="0034016E"/>
    <w:rsid w:val="003403F9"/>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4C"/>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D52"/>
    <w:rsid w:val="00356FF4"/>
    <w:rsid w:val="003573CD"/>
    <w:rsid w:val="00360354"/>
    <w:rsid w:val="0036063B"/>
    <w:rsid w:val="00360EB5"/>
    <w:rsid w:val="00361638"/>
    <w:rsid w:val="00361D7F"/>
    <w:rsid w:val="003623C3"/>
    <w:rsid w:val="00362445"/>
    <w:rsid w:val="0036280B"/>
    <w:rsid w:val="00363AFF"/>
    <w:rsid w:val="003649B5"/>
    <w:rsid w:val="003649D6"/>
    <w:rsid w:val="00365312"/>
    <w:rsid w:val="0036588D"/>
    <w:rsid w:val="00365BAB"/>
    <w:rsid w:val="00365DF7"/>
    <w:rsid w:val="00366502"/>
    <w:rsid w:val="0036654E"/>
    <w:rsid w:val="00366B48"/>
    <w:rsid w:val="0036717F"/>
    <w:rsid w:val="00367410"/>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BC0"/>
    <w:rsid w:val="00371D64"/>
    <w:rsid w:val="00372193"/>
    <w:rsid w:val="0037219A"/>
    <w:rsid w:val="003721D1"/>
    <w:rsid w:val="00372812"/>
    <w:rsid w:val="00372AA7"/>
    <w:rsid w:val="00372C70"/>
    <w:rsid w:val="00372F16"/>
    <w:rsid w:val="0037362E"/>
    <w:rsid w:val="00373800"/>
    <w:rsid w:val="00374924"/>
    <w:rsid w:val="00374A12"/>
    <w:rsid w:val="003750F8"/>
    <w:rsid w:val="00376971"/>
    <w:rsid w:val="00376D4B"/>
    <w:rsid w:val="003778C4"/>
    <w:rsid w:val="00380363"/>
    <w:rsid w:val="00380B94"/>
    <w:rsid w:val="00380DE1"/>
    <w:rsid w:val="0038120B"/>
    <w:rsid w:val="00381B33"/>
    <w:rsid w:val="00381ECC"/>
    <w:rsid w:val="00381F2E"/>
    <w:rsid w:val="0038336A"/>
    <w:rsid w:val="00383917"/>
    <w:rsid w:val="00384940"/>
    <w:rsid w:val="00384B84"/>
    <w:rsid w:val="00384F13"/>
    <w:rsid w:val="003856C2"/>
    <w:rsid w:val="00385965"/>
    <w:rsid w:val="00385C82"/>
    <w:rsid w:val="00386BEC"/>
    <w:rsid w:val="00387529"/>
    <w:rsid w:val="003878D1"/>
    <w:rsid w:val="003902D8"/>
    <w:rsid w:val="00390C51"/>
    <w:rsid w:val="00391057"/>
    <w:rsid w:val="00391582"/>
    <w:rsid w:val="00391808"/>
    <w:rsid w:val="00391D38"/>
    <w:rsid w:val="003929D1"/>
    <w:rsid w:val="00392C7E"/>
    <w:rsid w:val="00393979"/>
    <w:rsid w:val="00393D1D"/>
    <w:rsid w:val="00394278"/>
    <w:rsid w:val="003947EB"/>
    <w:rsid w:val="003949A0"/>
    <w:rsid w:val="00394D12"/>
    <w:rsid w:val="00394D2B"/>
    <w:rsid w:val="00394D71"/>
    <w:rsid w:val="003959F5"/>
    <w:rsid w:val="003967CE"/>
    <w:rsid w:val="003971A9"/>
    <w:rsid w:val="0039729F"/>
    <w:rsid w:val="003979B4"/>
    <w:rsid w:val="003A018B"/>
    <w:rsid w:val="003A0416"/>
    <w:rsid w:val="003A0D18"/>
    <w:rsid w:val="003A1126"/>
    <w:rsid w:val="003A1629"/>
    <w:rsid w:val="003A1942"/>
    <w:rsid w:val="003A1B3A"/>
    <w:rsid w:val="003A1CA4"/>
    <w:rsid w:val="003A279C"/>
    <w:rsid w:val="003A31B1"/>
    <w:rsid w:val="003A3231"/>
    <w:rsid w:val="003A458C"/>
    <w:rsid w:val="003A49DB"/>
    <w:rsid w:val="003A49E4"/>
    <w:rsid w:val="003A49FF"/>
    <w:rsid w:val="003A4B07"/>
    <w:rsid w:val="003A5169"/>
    <w:rsid w:val="003A51E7"/>
    <w:rsid w:val="003A5978"/>
    <w:rsid w:val="003A5ABA"/>
    <w:rsid w:val="003A5C76"/>
    <w:rsid w:val="003A6F89"/>
    <w:rsid w:val="003A70F2"/>
    <w:rsid w:val="003B0C77"/>
    <w:rsid w:val="003B0EE7"/>
    <w:rsid w:val="003B2A44"/>
    <w:rsid w:val="003B31D9"/>
    <w:rsid w:val="003B3D89"/>
    <w:rsid w:val="003B43D8"/>
    <w:rsid w:val="003B51F2"/>
    <w:rsid w:val="003B5406"/>
    <w:rsid w:val="003B662E"/>
    <w:rsid w:val="003B6B28"/>
    <w:rsid w:val="003B700F"/>
    <w:rsid w:val="003B7275"/>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8AA"/>
    <w:rsid w:val="003C6BA5"/>
    <w:rsid w:val="003C75C8"/>
    <w:rsid w:val="003D0252"/>
    <w:rsid w:val="003D1150"/>
    <w:rsid w:val="003D1247"/>
    <w:rsid w:val="003D1E74"/>
    <w:rsid w:val="003D234B"/>
    <w:rsid w:val="003D2CC8"/>
    <w:rsid w:val="003D2E23"/>
    <w:rsid w:val="003D30FE"/>
    <w:rsid w:val="003D4F46"/>
    <w:rsid w:val="003D5C46"/>
    <w:rsid w:val="003D6358"/>
    <w:rsid w:val="003D6FBE"/>
    <w:rsid w:val="003D78E6"/>
    <w:rsid w:val="003E03F4"/>
    <w:rsid w:val="003E12EE"/>
    <w:rsid w:val="003E2151"/>
    <w:rsid w:val="003E2317"/>
    <w:rsid w:val="003E2BB3"/>
    <w:rsid w:val="003E3FAF"/>
    <w:rsid w:val="003E450D"/>
    <w:rsid w:val="003E4B2F"/>
    <w:rsid w:val="003E4DDB"/>
    <w:rsid w:val="003E58AC"/>
    <w:rsid w:val="003E5902"/>
    <w:rsid w:val="003E59A4"/>
    <w:rsid w:val="003E606C"/>
    <w:rsid w:val="003E789C"/>
    <w:rsid w:val="003F069B"/>
    <w:rsid w:val="003F1A34"/>
    <w:rsid w:val="003F1CB9"/>
    <w:rsid w:val="003F2CC6"/>
    <w:rsid w:val="003F3395"/>
    <w:rsid w:val="003F3BAB"/>
    <w:rsid w:val="003F4204"/>
    <w:rsid w:val="003F46E2"/>
    <w:rsid w:val="003F47CB"/>
    <w:rsid w:val="003F518F"/>
    <w:rsid w:val="003F5594"/>
    <w:rsid w:val="003F704E"/>
    <w:rsid w:val="003F74CA"/>
    <w:rsid w:val="003F775B"/>
    <w:rsid w:val="004000C7"/>
    <w:rsid w:val="004001C8"/>
    <w:rsid w:val="00401D00"/>
    <w:rsid w:val="00402C7A"/>
    <w:rsid w:val="00403042"/>
    <w:rsid w:val="004030D1"/>
    <w:rsid w:val="004031C2"/>
    <w:rsid w:val="00403C28"/>
    <w:rsid w:val="0040483A"/>
    <w:rsid w:val="00404F05"/>
    <w:rsid w:val="004055B8"/>
    <w:rsid w:val="00405AFC"/>
    <w:rsid w:val="00406106"/>
    <w:rsid w:val="00406130"/>
    <w:rsid w:val="0040633A"/>
    <w:rsid w:val="0040640C"/>
    <w:rsid w:val="004069A4"/>
    <w:rsid w:val="00406C4D"/>
    <w:rsid w:val="00406CB0"/>
    <w:rsid w:val="0040728D"/>
    <w:rsid w:val="0040741A"/>
    <w:rsid w:val="0041078A"/>
    <w:rsid w:val="0041209A"/>
    <w:rsid w:val="004121B9"/>
    <w:rsid w:val="004127FF"/>
    <w:rsid w:val="00412AB4"/>
    <w:rsid w:val="00413D8A"/>
    <w:rsid w:val="00413E22"/>
    <w:rsid w:val="0041456E"/>
    <w:rsid w:val="00414BFD"/>
    <w:rsid w:val="00415B7A"/>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4CF9"/>
    <w:rsid w:val="00425511"/>
    <w:rsid w:val="00426DA7"/>
    <w:rsid w:val="00427571"/>
    <w:rsid w:val="00427B69"/>
    <w:rsid w:val="00427D77"/>
    <w:rsid w:val="004300F7"/>
    <w:rsid w:val="00430C3B"/>
    <w:rsid w:val="0043109C"/>
    <w:rsid w:val="0043190C"/>
    <w:rsid w:val="00431BC1"/>
    <w:rsid w:val="00431C03"/>
    <w:rsid w:val="004320D3"/>
    <w:rsid w:val="004323B9"/>
    <w:rsid w:val="0043242A"/>
    <w:rsid w:val="0043325F"/>
    <w:rsid w:val="0043356D"/>
    <w:rsid w:val="00433F5F"/>
    <w:rsid w:val="004342E4"/>
    <w:rsid w:val="0043570B"/>
    <w:rsid w:val="00435C04"/>
    <w:rsid w:val="00435C70"/>
    <w:rsid w:val="00436016"/>
    <w:rsid w:val="00436187"/>
    <w:rsid w:val="00436DB5"/>
    <w:rsid w:val="0043735F"/>
    <w:rsid w:val="004376EF"/>
    <w:rsid w:val="004400D1"/>
    <w:rsid w:val="004403C3"/>
    <w:rsid w:val="00440467"/>
    <w:rsid w:val="00440BBC"/>
    <w:rsid w:val="00441451"/>
    <w:rsid w:val="00442076"/>
    <w:rsid w:val="004424D6"/>
    <w:rsid w:val="00442B9E"/>
    <w:rsid w:val="004441AA"/>
    <w:rsid w:val="00444705"/>
    <w:rsid w:val="004448A2"/>
    <w:rsid w:val="00444DBD"/>
    <w:rsid w:val="004459F7"/>
    <w:rsid w:val="00445EDB"/>
    <w:rsid w:val="004465DB"/>
    <w:rsid w:val="0044693F"/>
    <w:rsid w:val="00446F6C"/>
    <w:rsid w:val="0044720D"/>
    <w:rsid w:val="004475DC"/>
    <w:rsid w:val="004479EA"/>
    <w:rsid w:val="00447A83"/>
    <w:rsid w:val="00447EFD"/>
    <w:rsid w:val="004501E3"/>
    <w:rsid w:val="004503B5"/>
    <w:rsid w:val="00450E9B"/>
    <w:rsid w:val="00450ECC"/>
    <w:rsid w:val="00451119"/>
    <w:rsid w:val="004528CB"/>
    <w:rsid w:val="00452CE4"/>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B68"/>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672EB"/>
    <w:rsid w:val="00467635"/>
    <w:rsid w:val="0047054A"/>
    <w:rsid w:val="004705FE"/>
    <w:rsid w:val="004710F7"/>
    <w:rsid w:val="004711F6"/>
    <w:rsid w:val="004718AA"/>
    <w:rsid w:val="00471E00"/>
    <w:rsid w:val="00471E7E"/>
    <w:rsid w:val="00472642"/>
    <w:rsid w:val="00472D3F"/>
    <w:rsid w:val="00472DFD"/>
    <w:rsid w:val="00473147"/>
    <w:rsid w:val="004743D2"/>
    <w:rsid w:val="00475147"/>
    <w:rsid w:val="004759C6"/>
    <w:rsid w:val="00475BDD"/>
    <w:rsid w:val="004768FA"/>
    <w:rsid w:val="00477231"/>
    <w:rsid w:val="00477B4D"/>
    <w:rsid w:val="00480342"/>
    <w:rsid w:val="00480412"/>
    <w:rsid w:val="00480790"/>
    <w:rsid w:val="00481427"/>
    <w:rsid w:val="004815F3"/>
    <w:rsid w:val="00482570"/>
    <w:rsid w:val="004829AF"/>
    <w:rsid w:val="00482DE6"/>
    <w:rsid w:val="00483440"/>
    <w:rsid w:val="00483643"/>
    <w:rsid w:val="004839BE"/>
    <w:rsid w:val="00483B3D"/>
    <w:rsid w:val="004849EF"/>
    <w:rsid w:val="00484E39"/>
    <w:rsid w:val="00485D95"/>
    <w:rsid w:val="0048622D"/>
    <w:rsid w:val="00486715"/>
    <w:rsid w:val="00486CB6"/>
    <w:rsid w:val="00486E38"/>
    <w:rsid w:val="00486E5E"/>
    <w:rsid w:val="00487E86"/>
    <w:rsid w:val="0049002C"/>
    <w:rsid w:val="00490295"/>
    <w:rsid w:val="004909D7"/>
    <w:rsid w:val="004915E2"/>
    <w:rsid w:val="0049160B"/>
    <w:rsid w:val="00491DAC"/>
    <w:rsid w:val="004923F4"/>
    <w:rsid w:val="00492CC9"/>
    <w:rsid w:val="00492D0E"/>
    <w:rsid w:val="00492E6C"/>
    <w:rsid w:val="00493202"/>
    <w:rsid w:val="004941B2"/>
    <w:rsid w:val="004945FA"/>
    <w:rsid w:val="0049483B"/>
    <w:rsid w:val="004952CF"/>
    <w:rsid w:val="00495319"/>
    <w:rsid w:val="00495425"/>
    <w:rsid w:val="00495E53"/>
    <w:rsid w:val="004964BB"/>
    <w:rsid w:val="00496B43"/>
    <w:rsid w:val="00496B5E"/>
    <w:rsid w:val="0049721F"/>
    <w:rsid w:val="00497ADA"/>
    <w:rsid w:val="00497FE7"/>
    <w:rsid w:val="004A2541"/>
    <w:rsid w:val="004A2FC2"/>
    <w:rsid w:val="004A3509"/>
    <w:rsid w:val="004A4D28"/>
    <w:rsid w:val="004A5A45"/>
    <w:rsid w:val="004A7161"/>
    <w:rsid w:val="004B1508"/>
    <w:rsid w:val="004B18A8"/>
    <w:rsid w:val="004B1A64"/>
    <w:rsid w:val="004B1F7C"/>
    <w:rsid w:val="004B22F1"/>
    <w:rsid w:val="004B24A1"/>
    <w:rsid w:val="004B26A3"/>
    <w:rsid w:val="004B2B65"/>
    <w:rsid w:val="004B2CBB"/>
    <w:rsid w:val="004B2EFF"/>
    <w:rsid w:val="004B3342"/>
    <w:rsid w:val="004B345D"/>
    <w:rsid w:val="004B3534"/>
    <w:rsid w:val="004B45C9"/>
    <w:rsid w:val="004B4A25"/>
    <w:rsid w:val="004B4C79"/>
    <w:rsid w:val="004B4FB2"/>
    <w:rsid w:val="004B52C0"/>
    <w:rsid w:val="004B54F7"/>
    <w:rsid w:val="004B61AB"/>
    <w:rsid w:val="004B6AE3"/>
    <w:rsid w:val="004B6D07"/>
    <w:rsid w:val="004B6D8C"/>
    <w:rsid w:val="004B6FB5"/>
    <w:rsid w:val="004C02A6"/>
    <w:rsid w:val="004C044B"/>
    <w:rsid w:val="004C0807"/>
    <w:rsid w:val="004C0863"/>
    <w:rsid w:val="004C08A3"/>
    <w:rsid w:val="004C17B6"/>
    <w:rsid w:val="004C1BE9"/>
    <w:rsid w:val="004C2C8D"/>
    <w:rsid w:val="004C303E"/>
    <w:rsid w:val="004C3222"/>
    <w:rsid w:val="004C3498"/>
    <w:rsid w:val="004C426F"/>
    <w:rsid w:val="004C4510"/>
    <w:rsid w:val="004C5BA4"/>
    <w:rsid w:val="004C5DAD"/>
    <w:rsid w:val="004C5F35"/>
    <w:rsid w:val="004C6855"/>
    <w:rsid w:val="004C6967"/>
    <w:rsid w:val="004C6C84"/>
    <w:rsid w:val="004C7271"/>
    <w:rsid w:val="004C76CE"/>
    <w:rsid w:val="004C7AD8"/>
    <w:rsid w:val="004D0019"/>
    <w:rsid w:val="004D013C"/>
    <w:rsid w:val="004D0693"/>
    <w:rsid w:val="004D0C83"/>
    <w:rsid w:val="004D0CEB"/>
    <w:rsid w:val="004D0EB0"/>
    <w:rsid w:val="004D12E0"/>
    <w:rsid w:val="004D15EE"/>
    <w:rsid w:val="004D199A"/>
    <w:rsid w:val="004D2744"/>
    <w:rsid w:val="004D2B62"/>
    <w:rsid w:val="004D2DE9"/>
    <w:rsid w:val="004D2E68"/>
    <w:rsid w:val="004D35C8"/>
    <w:rsid w:val="004D388E"/>
    <w:rsid w:val="004D4D43"/>
    <w:rsid w:val="004D52FC"/>
    <w:rsid w:val="004D53B0"/>
    <w:rsid w:val="004D569B"/>
    <w:rsid w:val="004D5959"/>
    <w:rsid w:val="004D6031"/>
    <w:rsid w:val="004D63A2"/>
    <w:rsid w:val="004D6777"/>
    <w:rsid w:val="004D6A4B"/>
    <w:rsid w:val="004D700D"/>
    <w:rsid w:val="004D7614"/>
    <w:rsid w:val="004D7623"/>
    <w:rsid w:val="004D776B"/>
    <w:rsid w:val="004D7976"/>
    <w:rsid w:val="004D7F0F"/>
    <w:rsid w:val="004E053B"/>
    <w:rsid w:val="004E0773"/>
    <w:rsid w:val="004E0852"/>
    <w:rsid w:val="004E0926"/>
    <w:rsid w:val="004E12B8"/>
    <w:rsid w:val="004E1C79"/>
    <w:rsid w:val="004E1FF6"/>
    <w:rsid w:val="004E203F"/>
    <w:rsid w:val="004E292A"/>
    <w:rsid w:val="004E3869"/>
    <w:rsid w:val="004E39EB"/>
    <w:rsid w:val="004E434D"/>
    <w:rsid w:val="004E47C0"/>
    <w:rsid w:val="004E500E"/>
    <w:rsid w:val="004E51E2"/>
    <w:rsid w:val="004E53C5"/>
    <w:rsid w:val="004E5CA1"/>
    <w:rsid w:val="004E5F2F"/>
    <w:rsid w:val="004E6530"/>
    <w:rsid w:val="004E68DB"/>
    <w:rsid w:val="004E6F8E"/>
    <w:rsid w:val="004E71FA"/>
    <w:rsid w:val="004F0566"/>
    <w:rsid w:val="004F0702"/>
    <w:rsid w:val="004F0CAE"/>
    <w:rsid w:val="004F0EC1"/>
    <w:rsid w:val="004F2028"/>
    <w:rsid w:val="004F235C"/>
    <w:rsid w:val="004F2699"/>
    <w:rsid w:val="004F2A4E"/>
    <w:rsid w:val="004F2A57"/>
    <w:rsid w:val="004F2AF3"/>
    <w:rsid w:val="004F3ACA"/>
    <w:rsid w:val="004F3D03"/>
    <w:rsid w:val="004F4191"/>
    <w:rsid w:val="004F477D"/>
    <w:rsid w:val="004F4C82"/>
    <w:rsid w:val="004F4E1C"/>
    <w:rsid w:val="004F4E3E"/>
    <w:rsid w:val="004F4F12"/>
    <w:rsid w:val="004F5490"/>
    <w:rsid w:val="004F5F68"/>
    <w:rsid w:val="004F614B"/>
    <w:rsid w:val="004F64BC"/>
    <w:rsid w:val="004F685B"/>
    <w:rsid w:val="004F6DBA"/>
    <w:rsid w:val="004F733A"/>
    <w:rsid w:val="004F746C"/>
    <w:rsid w:val="004F7C59"/>
    <w:rsid w:val="00500078"/>
    <w:rsid w:val="005005BD"/>
    <w:rsid w:val="00500991"/>
    <w:rsid w:val="00500C5B"/>
    <w:rsid w:val="00500CD4"/>
    <w:rsid w:val="00500F34"/>
    <w:rsid w:val="00500FB5"/>
    <w:rsid w:val="0050116B"/>
    <w:rsid w:val="00501264"/>
    <w:rsid w:val="00501629"/>
    <w:rsid w:val="00502827"/>
    <w:rsid w:val="00502B35"/>
    <w:rsid w:val="005042F5"/>
    <w:rsid w:val="00505148"/>
    <w:rsid w:val="00505713"/>
    <w:rsid w:val="00506100"/>
    <w:rsid w:val="0050647F"/>
    <w:rsid w:val="00506F04"/>
    <w:rsid w:val="005072B0"/>
    <w:rsid w:val="00507357"/>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567"/>
    <w:rsid w:val="00517602"/>
    <w:rsid w:val="00517645"/>
    <w:rsid w:val="0051768A"/>
    <w:rsid w:val="00517CA2"/>
    <w:rsid w:val="005231AA"/>
    <w:rsid w:val="0052392B"/>
    <w:rsid w:val="0052396A"/>
    <w:rsid w:val="00523BAF"/>
    <w:rsid w:val="00524202"/>
    <w:rsid w:val="005242EC"/>
    <w:rsid w:val="00524461"/>
    <w:rsid w:val="00524896"/>
    <w:rsid w:val="00524E8F"/>
    <w:rsid w:val="00526303"/>
    <w:rsid w:val="005263D9"/>
    <w:rsid w:val="00526480"/>
    <w:rsid w:val="00526ADC"/>
    <w:rsid w:val="005272FA"/>
    <w:rsid w:val="00527D48"/>
    <w:rsid w:val="00527E76"/>
    <w:rsid w:val="0053106B"/>
    <w:rsid w:val="005312F5"/>
    <w:rsid w:val="005318DF"/>
    <w:rsid w:val="00532266"/>
    <w:rsid w:val="00532ABF"/>
    <w:rsid w:val="00532DA7"/>
    <w:rsid w:val="005339E8"/>
    <w:rsid w:val="0053437B"/>
    <w:rsid w:val="005347E9"/>
    <w:rsid w:val="0053527A"/>
    <w:rsid w:val="00535341"/>
    <w:rsid w:val="00535989"/>
    <w:rsid w:val="00536261"/>
    <w:rsid w:val="0053660C"/>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3CC8"/>
    <w:rsid w:val="005447B0"/>
    <w:rsid w:val="00544D50"/>
    <w:rsid w:val="0054507B"/>
    <w:rsid w:val="00545EC6"/>
    <w:rsid w:val="0054609D"/>
    <w:rsid w:val="00546475"/>
    <w:rsid w:val="00546749"/>
    <w:rsid w:val="00546E00"/>
    <w:rsid w:val="00547FE0"/>
    <w:rsid w:val="005500D9"/>
    <w:rsid w:val="00551367"/>
    <w:rsid w:val="005513E3"/>
    <w:rsid w:val="00551705"/>
    <w:rsid w:val="005519A5"/>
    <w:rsid w:val="00551EAB"/>
    <w:rsid w:val="00552201"/>
    <w:rsid w:val="0055283C"/>
    <w:rsid w:val="00553066"/>
    <w:rsid w:val="0055371B"/>
    <w:rsid w:val="0055378E"/>
    <w:rsid w:val="00553E7E"/>
    <w:rsid w:val="0055442E"/>
    <w:rsid w:val="0055452D"/>
    <w:rsid w:val="00554A35"/>
    <w:rsid w:val="00554A7E"/>
    <w:rsid w:val="00555293"/>
    <w:rsid w:val="0055558B"/>
    <w:rsid w:val="00555986"/>
    <w:rsid w:val="00555E1D"/>
    <w:rsid w:val="0055611F"/>
    <w:rsid w:val="00556199"/>
    <w:rsid w:val="00556BD3"/>
    <w:rsid w:val="0055736D"/>
    <w:rsid w:val="00557986"/>
    <w:rsid w:val="005579B8"/>
    <w:rsid w:val="00560523"/>
    <w:rsid w:val="00560A10"/>
    <w:rsid w:val="005610BC"/>
    <w:rsid w:val="005614CA"/>
    <w:rsid w:val="005626ED"/>
    <w:rsid w:val="00562901"/>
    <w:rsid w:val="00562D59"/>
    <w:rsid w:val="005634CD"/>
    <w:rsid w:val="00563625"/>
    <w:rsid w:val="00563853"/>
    <w:rsid w:val="00564246"/>
    <w:rsid w:val="005648A8"/>
    <w:rsid w:val="00565005"/>
    <w:rsid w:val="0056541A"/>
    <w:rsid w:val="0056573A"/>
    <w:rsid w:val="005658ED"/>
    <w:rsid w:val="0056594B"/>
    <w:rsid w:val="00566C15"/>
    <w:rsid w:val="0057005F"/>
    <w:rsid w:val="005708F0"/>
    <w:rsid w:val="0057135E"/>
    <w:rsid w:val="0057194A"/>
    <w:rsid w:val="005720DF"/>
    <w:rsid w:val="00572128"/>
    <w:rsid w:val="00572E9D"/>
    <w:rsid w:val="005735B6"/>
    <w:rsid w:val="00573A2D"/>
    <w:rsid w:val="00573BA8"/>
    <w:rsid w:val="00573F9E"/>
    <w:rsid w:val="0057497D"/>
    <w:rsid w:val="0057503E"/>
    <w:rsid w:val="00575BBE"/>
    <w:rsid w:val="005763B4"/>
    <w:rsid w:val="00576B12"/>
    <w:rsid w:val="00577519"/>
    <w:rsid w:val="00580936"/>
    <w:rsid w:val="0058158C"/>
    <w:rsid w:val="00582176"/>
    <w:rsid w:val="00582313"/>
    <w:rsid w:val="0058242F"/>
    <w:rsid w:val="00582D5A"/>
    <w:rsid w:val="00582F72"/>
    <w:rsid w:val="00583504"/>
    <w:rsid w:val="0058377E"/>
    <w:rsid w:val="005837D7"/>
    <w:rsid w:val="00583804"/>
    <w:rsid w:val="00583DEA"/>
    <w:rsid w:val="005845B6"/>
    <w:rsid w:val="00585151"/>
    <w:rsid w:val="0058566A"/>
    <w:rsid w:val="00585899"/>
    <w:rsid w:val="0058590A"/>
    <w:rsid w:val="00586333"/>
    <w:rsid w:val="00586385"/>
    <w:rsid w:val="00586FCE"/>
    <w:rsid w:val="005873E5"/>
    <w:rsid w:val="00587D23"/>
    <w:rsid w:val="00587D62"/>
    <w:rsid w:val="00587ECB"/>
    <w:rsid w:val="005910E9"/>
    <w:rsid w:val="00591CC6"/>
    <w:rsid w:val="00591D02"/>
    <w:rsid w:val="00592129"/>
    <w:rsid w:val="0059339A"/>
    <w:rsid w:val="005935A5"/>
    <w:rsid w:val="00593695"/>
    <w:rsid w:val="005937B6"/>
    <w:rsid w:val="00593CD7"/>
    <w:rsid w:val="00593FBD"/>
    <w:rsid w:val="00594055"/>
    <w:rsid w:val="00594271"/>
    <w:rsid w:val="00595A75"/>
    <w:rsid w:val="00595EA6"/>
    <w:rsid w:val="00595EB3"/>
    <w:rsid w:val="0059600B"/>
    <w:rsid w:val="00596386"/>
    <w:rsid w:val="00596F59"/>
    <w:rsid w:val="005974AE"/>
    <w:rsid w:val="005A141F"/>
    <w:rsid w:val="005A172B"/>
    <w:rsid w:val="005A1B25"/>
    <w:rsid w:val="005A1D30"/>
    <w:rsid w:val="005A22B1"/>
    <w:rsid w:val="005A23F4"/>
    <w:rsid w:val="005A2441"/>
    <w:rsid w:val="005A253C"/>
    <w:rsid w:val="005A309E"/>
    <w:rsid w:val="005A36EF"/>
    <w:rsid w:val="005A3E25"/>
    <w:rsid w:val="005A4740"/>
    <w:rsid w:val="005A4AA2"/>
    <w:rsid w:val="005A4CB8"/>
    <w:rsid w:val="005A4D14"/>
    <w:rsid w:val="005A4D82"/>
    <w:rsid w:val="005A531A"/>
    <w:rsid w:val="005A5C92"/>
    <w:rsid w:val="005A7FEE"/>
    <w:rsid w:val="005B0791"/>
    <w:rsid w:val="005B0A14"/>
    <w:rsid w:val="005B0F04"/>
    <w:rsid w:val="005B107E"/>
    <w:rsid w:val="005B297B"/>
    <w:rsid w:val="005B31F0"/>
    <w:rsid w:val="005B372B"/>
    <w:rsid w:val="005B387C"/>
    <w:rsid w:val="005B48E5"/>
    <w:rsid w:val="005B4D93"/>
    <w:rsid w:val="005B5A48"/>
    <w:rsid w:val="005B5C01"/>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227"/>
    <w:rsid w:val="005C2896"/>
    <w:rsid w:val="005C382A"/>
    <w:rsid w:val="005C3CCD"/>
    <w:rsid w:val="005C3F52"/>
    <w:rsid w:val="005C485C"/>
    <w:rsid w:val="005C4CF6"/>
    <w:rsid w:val="005C55EB"/>
    <w:rsid w:val="005C597F"/>
    <w:rsid w:val="005C5A27"/>
    <w:rsid w:val="005C5A5B"/>
    <w:rsid w:val="005C6388"/>
    <w:rsid w:val="005C63C4"/>
    <w:rsid w:val="005C647E"/>
    <w:rsid w:val="005C672E"/>
    <w:rsid w:val="005C6C70"/>
    <w:rsid w:val="005C7030"/>
    <w:rsid w:val="005D0FC6"/>
    <w:rsid w:val="005D12C9"/>
    <w:rsid w:val="005D1327"/>
    <w:rsid w:val="005D14F0"/>
    <w:rsid w:val="005D1A15"/>
    <w:rsid w:val="005D1AD1"/>
    <w:rsid w:val="005D1BAF"/>
    <w:rsid w:val="005D2031"/>
    <w:rsid w:val="005D204F"/>
    <w:rsid w:val="005D2680"/>
    <w:rsid w:val="005D2E88"/>
    <w:rsid w:val="005D2F0F"/>
    <w:rsid w:val="005D3212"/>
    <w:rsid w:val="005D346C"/>
    <w:rsid w:val="005D3476"/>
    <w:rsid w:val="005D38A7"/>
    <w:rsid w:val="005D41CC"/>
    <w:rsid w:val="005D46BA"/>
    <w:rsid w:val="005D484B"/>
    <w:rsid w:val="005D4DAB"/>
    <w:rsid w:val="005D4F1F"/>
    <w:rsid w:val="005D54B5"/>
    <w:rsid w:val="005D5C95"/>
    <w:rsid w:val="005D6039"/>
    <w:rsid w:val="005D6C1F"/>
    <w:rsid w:val="005D6E25"/>
    <w:rsid w:val="005D73EC"/>
    <w:rsid w:val="005D753D"/>
    <w:rsid w:val="005D777A"/>
    <w:rsid w:val="005D7F61"/>
    <w:rsid w:val="005E0391"/>
    <w:rsid w:val="005E047F"/>
    <w:rsid w:val="005E0743"/>
    <w:rsid w:val="005E0970"/>
    <w:rsid w:val="005E09A4"/>
    <w:rsid w:val="005E0CA4"/>
    <w:rsid w:val="005E0D68"/>
    <w:rsid w:val="005E1285"/>
    <w:rsid w:val="005E136C"/>
    <w:rsid w:val="005E13D7"/>
    <w:rsid w:val="005E228B"/>
    <w:rsid w:val="005E2A84"/>
    <w:rsid w:val="005E31BA"/>
    <w:rsid w:val="005E3B5E"/>
    <w:rsid w:val="005E439B"/>
    <w:rsid w:val="005E4C78"/>
    <w:rsid w:val="005E4D82"/>
    <w:rsid w:val="005E5DE0"/>
    <w:rsid w:val="005E706E"/>
    <w:rsid w:val="005E70EF"/>
    <w:rsid w:val="005E7F0D"/>
    <w:rsid w:val="005E7FA5"/>
    <w:rsid w:val="005F0406"/>
    <w:rsid w:val="005F089F"/>
    <w:rsid w:val="005F0E97"/>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4FE1"/>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7F1"/>
    <w:rsid w:val="00612FCC"/>
    <w:rsid w:val="00613063"/>
    <w:rsid w:val="0061393F"/>
    <w:rsid w:val="00613966"/>
    <w:rsid w:val="00613BBB"/>
    <w:rsid w:val="0061415A"/>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115"/>
    <w:rsid w:val="0062725E"/>
    <w:rsid w:val="006272E0"/>
    <w:rsid w:val="00627361"/>
    <w:rsid w:val="006273AE"/>
    <w:rsid w:val="00627BCB"/>
    <w:rsid w:val="0063020A"/>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E62"/>
    <w:rsid w:val="00635F6C"/>
    <w:rsid w:val="006362B0"/>
    <w:rsid w:val="00636988"/>
    <w:rsid w:val="00637914"/>
    <w:rsid w:val="00637F54"/>
    <w:rsid w:val="006408AF"/>
    <w:rsid w:val="00640CE4"/>
    <w:rsid w:val="0064257F"/>
    <w:rsid w:val="00643249"/>
    <w:rsid w:val="00643573"/>
    <w:rsid w:val="00643D74"/>
    <w:rsid w:val="0064463E"/>
    <w:rsid w:val="00644FD3"/>
    <w:rsid w:val="00645FC1"/>
    <w:rsid w:val="00646484"/>
    <w:rsid w:val="0064651F"/>
    <w:rsid w:val="006468BB"/>
    <w:rsid w:val="00646AA2"/>
    <w:rsid w:val="00646E12"/>
    <w:rsid w:val="00647923"/>
    <w:rsid w:val="00647BB8"/>
    <w:rsid w:val="00647E1E"/>
    <w:rsid w:val="0065119A"/>
    <w:rsid w:val="00651709"/>
    <w:rsid w:val="0065196E"/>
    <w:rsid w:val="00651E9C"/>
    <w:rsid w:val="00652053"/>
    <w:rsid w:val="00652366"/>
    <w:rsid w:val="00652716"/>
    <w:rsid w:val="0065274B"/>
    <w:rsid w:val="006529B0"/>
    <w:rsid w:val="00652B0A"/>
    <w:rsid w:val="00652B91"/>
    <w:rsid w:val="006533DF"/>
    <w:rsid w:val="0065382D"/>
    <w:rsid w:val="00653A20"/>
    <w:rsid w:val="00653A42"/>
    <w:rsid w:val="00655039"/>
    <w:rsid w:val="00655FC5"/>
    <w:rsid w:val="006562FC"/>
    <w:rsid w:val="00656592"/>
    <w:rsid w:val="00656B16"/>
    <w:rsid w:val="00656DC8"/>
    <w:rsid w:val="006571B7"/>
    <w:rsid w:val="00657DCB"/>
    <w:rsid w:val="006615A9"/>
    <w:rsid w:val="006615D1"/>
    <w:rsid w:val="006622B5"/>
    <w:rsid w:val="00662388"/>
    <w:rsid w:val="006623D3"/>
    <w:rsid w:val="00662997"/>
    <w:rsid w:val="00662A44"/>
    <w:rsid w:val="00663E4F"/>
    <w:rsid w:val="006640D1"/>
    <w:rsid w:val="00664EE9"/>
    <w:rsid w:val="00664EEB"/>
    <w:rsid w:val="00665832"/>
    <w:rsid w:val="00665A44"/>
    <w:rsid w:val="00665CC8"/>
    <w:rsid w:val="00666A13"/>
    <w:rsid w:val="00667807"/>
    <w:rsid w:val="006679D2"/>
    <w:rsid w:val="00667FDA"/>
    <w:rsid w:val="00670296"/>
    <w:rsid w:val="006705D4"/>
    <w:rsid w:val="006707A3"/>
    <w:rsid w:val="0067080E"/>
    <w:rsid w:val="006714D8"/>
    <w:rsid w:val="00671A08"/>
    <w:rsid w:val="006721D5"/>
    <w:rsid w:val="006723FB"/>
    <w:rsid w:val="00672BCE"/>
    <w:rsid w:val="00672DE1"/>
    <w:rsid w:val="00672E44"/>
    <w:rsid w:val="00673183"/>
    <w:rsid w:val="006734A8"/>
    <w:rsid w:val="006735B2"/>
    <w:rsid w:val="006738F6"/>
    <w:rsid w:val="00673E92"/>
    <w:rsid w:val="0067458B"/>
    <w:rsid w:val="00675017"/>
    <w:rsid w:val="0067513B"/>
    <w:rsid w:val="0067535C"/>
    <w:rsid w:val="006754E7"/>
    <w:rsid w:val="00675BBE"/>
    <w:rsid w:val="0067627F"/>
    <w:rsid w:val="006765D4"/>
    <w:rsid w:val="00676723"/>
    <w:rsid w:val="006769C5"/>
    <w:rsid w:val="00677114"/>
    <w:rsid w:val="006771C8"/>
    <w:rsid w:val="0067725A"/>
    <w:rsid w:val="006776DF"/>
    <w:rsid w:val="00680715"/>
    <w:rsid w:val="00680BDD"/>
    <w:rsid w:val="0068103C"/>
    <w:rsid w:val="006810F6"/>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398"/>
    <w:rsid w:val="00687587"/>
    <w:rsid w:val="00687F64"/>
    <w:rsid w:val="006900D9"/>
    <w:rsid w:val="00690165"/>
    <w:rsid w:val="00690404"/>
    <w:rsid w:val="006905EB"/>
    <w:rsid w:val="00690659"/>
    <w:rsid w:val="00690A2C"/>
    <w:rsid w:val="00691648"/>
    <w:rsid w:val="006933F8"/>
    <w:rsid w:val="00693524"/>
    <w:rsid w:val="00693C3E"/>
    <w:rsid w:val="006949F0"/>
    <w:rsid w:val="00694A6D"/>
    <w:rsid w:val="00694CA1"/>
    <w:rsid w:val="00695A3C"/>
    <w:rsid w:val="00695C01"/>
    <w:rsid w:val="00696E39"/>
    <w:rsid w:val="00697E59"/>
    <w:rsid w:val="006A0156"/>
    <w:rsid w:val="006A02DC"/>
    <w:rsid w:val="006A0A7E"/>
    <w:rsid w:val="006A0B9E"/>
    <w:rsid w:val="006A0F87"/>
    <w:rsid w:val="006A10F4"/>
    <w:rsid w:val="006A137B"/>
    <w:rsid w:val="006A1A85"/>
    <w:rsid w:val="006A1CF0"/>
    <w:rsid w:val="006A29E4"/>
    <w:rsid w:val="006A2B52"/>
    <w:rsid w:val="006A2F66"/>
    <w:rsid w:val="006A33F3"/>
    <w:rsid w:val="006A3AE4"/>
    <w:rsid w:val="006A3C64"/>
    <w:rsid w:val="006A4009"/>
    <w:rsid w:val="006A4498"/>
    <w:rsid w:val="006A507B"/>
    <w:rsid w:val="006A59F4"/>
    <w:rsid w:val="006A5DAE"/>
    <w:rsid w:val="006A63D7"/>
    <w:rsid w:val="006A7812"/>
    <w:rsid w:val="006A7BA0"/>
    <w:rsid w:val="006B0EC3"/>
    <w:rsid w:val="006B1423"/>
    <w:rsid w:val="006B19E5"/>
    <w:rsid w:val="006B1A76"/>
    <w:rsid w:val="006B1B97"/>
    <w:rsid w:val="006B1BAF"/>
    <w:rsid w:val="006B1F3F"/>
    <w:rsid w:val="006B263A"/>
    <w:rsid w:val="006B28B3"/>
    <w:rsid w:val="006B2B6C"/>
    <w:rsid w:val="006B304B"/>
    <w:rsid w:val="006B345A"/>
    <w:rsid w:val="006B37C0"/>
    <w:rsid w:val="006B3EEA"/>
    <w:rsid w:val="006B4EC3"/>
    <w:rsid w:val="006B5174"/>
    <w:rsid w:val="006B5A36"/>
    <w:rsid w:val="006B605F"/>
    <w:rsid w:val="006B615D"/>
    <w:rsid w:val="006B649B"/>
    <w:rsid w:val="006B65DF"/>
    <w:rsid w:val="006B6862"/>
    <w:rsid w:val="006B6D38"/>
    <w:rsid w:val="006B7139"/>
    <w:rsid w:val="006B71CE"/>
    <w:rsid w:val="006B7291"/>
    <w:rsid w:val="006B777B"/>
    <w:rsid w:val="006B7DEF"/>
    <w:rsid w:val="006B7FF7"/>
    <w:rsid w:val="006C08B2"/>
    <w:rsid w:val="006C0F10"/>
    <w:rsid w:val="006C174D"/>
    <w:rsid w:val="006C177D"/>
    <w:rsid w:val="006C295D"/>
    <w:rsid w:val="006C2A69"/>
    <w:rsid w:val="006C2B58"/>
    <w:rsid w:val="006C3191"/>
    <w:rsid w:val="006C3A1B"/>
    <w:rsid w:val="006C465D"/>
    <w:rsid w:val="006C4BAA"/>
    <w:rsid w:val="006C5248"/>
    <w:rsid w:val="006C568B"/>
    <w:rsid w:val="006C5A0F"/>
    <w:rsid w:val="006C5A92"/>
    <w:rsid w:val="006C633E"/>
    <w:rsid w:val="006C6A9F"/>
    <w:rsid w:val="006C73D7"/>
    <w:rsid w:val="006C7B24"/>
    <w:rsid w:val="006D022D"/>
    <w:rsid w:val="006D032B"/>
    <w:rsid w:val="006D0B36"/>
    <w:rsid w:val="006D12CB"/>
    <w:rsid w:val="006D1802"/>
    <w:rsid w:val="006D1AA6"/>
    <w:rsid w:val="006D207A"/>
    <w:rsid w:val="006D2592"/>
    <w:rsid w:val="006D33A5"/>
    <w:rsid w:val="006D3453"/>
    <w:rsid w:val="006D3457"/>
    <w:rsid w:val="006D356F"/>
    <w:rsid w:val="006D3AEC"/>
    <w:rsid w:val="006D440C"/>
    <w:rsid w:val="006D46B2"/>
    <w:rsid w:val="006D494D"/>
    <w:rsid w:val="006D4958"/>
    <w:rsid w:val="006D4BEA"/>
    <w:rsid w:val="006D4ECD"/>
    <w:rsid w:val="006D4F1D"/>
    <w:rsid w:val="006D5161"/>
    <w:rsid w:val="006D51D8"/>
    <w:rsid w:val="006D58DB"/>
    <w:rsid w:val="006D5B20"/>
    <w:rsid w:val="006D5F84"/>
    <w:rsid w:val="006D6A83"/>
    <w:rsid w:val="006D6BED"/>
    <w:rsid w:val="006E1BCB"/>
    <w:rsid w:val="006E1CD2"/>
    <w:rsid w:val="006E28CC"/>
    <w:rsid w:val="006E3E31"/>
    <w:rsid w:val="006E4875"/>
    <w:rsid w:val="006E5645"/>
    <w:rsid w:val="006E5A58"/>
    <w:rsid w:val="006E62DA"/>
    <w:rsid w:val="006E7054"/>
    <w:rsid w:val="006E7166"/>
    <w:rsid w:val="006E7674"/>
    <w:rsid w:val="006E76E8"/>
    <w:rsid w:val="006E7D7A"/>
    <w:rsid w:val="006F0E0F"/>
    <w:rsid w:val="006F0EF5"/>
    <w:rsid w:val="006F15F5"/>
    <w:rsid w:val="006F19B0"/>
    <w:rsid w:val="006F201C"/>
    <w:rsid w:val="006F2217"/>
    <w:rsid w:val="006F2411"/>
    <w:rsid w:val="006F2B51"/>
    <w:rsid w:val="006F34D0"/>
    <w:rsid w:val="006F3BEA"/>
    <w:rsid w:val="006F4670"/>
    <w:rsid w:val="006F4D54"/>
    <w:rsid w:val="006F50DD"/>
    <w:rsid w:val="006F59C1"/>
    <w:rsid w:val="006F5C81"/>
    <w:rsid w:val="006F60D9"/>
    <w:rsid w:val="006F693F"/>
    <w:rsid w:val="006F741C"/>
    <w:rsid w:val="006F7961"/>
    <w:rsid w:val="006F79E4"/>
    <w:rsid w:val="007002E0"/>
    <w:rsid w:val="00700773"/>
    <w:rsid w:val="00700A3E"/>
    <w:rsid w:val="00700BAB"/>
    <w:rsid w:val="00700C31"/>
    <w:rsid w:val="00700CF2"/>
    <w:rsid w:val="00700F2D"/>
    <w:rsid w:val="007015CC"/>
    <w:rsid w:val="00701735"/>
    <w:rsid w:val="007022C1"/>
    <w:rsid w:val="007022CD"/>
    <w:rsid w:val="007025E3"/>
    <w:rsid w:val="00702931"/>
    <w:rsid w:val="00702AEF"/>
    <w:rsid w:val="00703595"/>
    <w:rsid w:val="00703EB2"/>
    <w:rsid w:val="007045C0"/>
    <w:rsid w:val="00704723"/>
    <w:rsid w:val="007047D4"/>
    <w:rsid w:val="0070485B"/>
    <w:rsid w:val="007049D1"/>
    <w:rsid w:val="00704B3A"/>
    <w:rsid w:val="007064CF"/>
    <w:rsid w:val="00706E33"/>
    <w:rsid w:val="0070705D"/>
    <w:rsid w:val="00707A19"/>
    <w:rsid w:val="00707A4C"/>
    <w:rsid w:val="00707D44"/>
    <w:rsid w:val="00710279"/>
    <w:rsid w:val="00710584"/>
    <w:rsid w:val="007112A9"/>
    <w:rsid w:val="0071258F"/>
    <w:rsid w:val="00713A6C"/>
    <w:rsid w:val="0071474B"/>
    <w:rsid w:val="00714962"/>
    <w:rsid w:val="00714F49"/>
    <w:rsid w:val="00715269"/>
    <w:rsid w:val="00716403"/>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1E"/>
    <w:rsid w:val="007250E6"/>
    <w:rsid w:val="00725DE7"/>
    <w:rsid w:val="007268B8"/>
    <w:rsid w:val="007269E6"/>
    <w:rsid w:val="0072703B"/>
    <w:rsid w:val="007304D7"/>
    <w:rsid w:val="00730B6F"/>
    <w:rsid w:val="007311E1"/>
    <w:rsid w:val="007316A1"/>
    <w:rsid w:val="00731885"/>
    <w:rsid w:val="0073207B"/>
    <w:rsid w:val="00732342"/>
    <w:rsid w:val="00732AEF"/>
    <w:rsid w:val="00732D70"/>
    <w:rsid w:val="007330A8"/>
    <w:rsid w:val="007336B9"/>
    <w:rsid w:val="007337A0"/>
    <w:rsid w:val="007339D8"/>
    <w:rsid w:val="00733F61"/>
    <w:rsid w:val="0073424F"/>
    <w:rsid w:val="007348E7"/>
    <w:rsid w:val="007348F0"/>
    <w:rsid w:val="00734C8F"/>
    <w:rsid w:val="00734CEA"/>
    <w:rsid w:val="00734CF4"/>
    <w:rsid w:val="0073502B"/>
    <w:rsid w:val="00735622"/>
    <w:rsid w:val="00735EB2"/>
    <w:rsid w:val="00736C73"/>
    <w:rsid w:val="00737427"/>
    <w:rsid w:val="00737831"/>
    <w:rsid w:val="007379CF"/>
    <w:rsid w:val="00737AED"/>
    <w:rsid w:val="00737CFC"/>
    <w:rsid w:val="007403BA"/>
    <w:rsid w:val="00740A66"/>
    <w:rsid w:val="00740B19"/>
    <w:rsid w:val="00741B73"/>
    <w:rsid w:val="0074329C"/>
    <w:rsid w:val="00744F0F"/>
    <w:rsid w:val="00745179"/>
    <w:rsid w:val="0074530C"/>
    <w:rsid w:val="00745A9C"/>
    <w:rsid w:val="00746207"/>
    <w:rsid w:val="007466F6"/>
    <w:rsid w:val="00746AAC"/>
    <w:rsid w:val="00746F8A"/>
    <w:rsid w:val="00747265"/>
    <w:rsid w:val="00747474"/>
    <w:rsid w:val="0075068E"/>
    <w:rsid w:val="00750ADD"/>
    <w:rsid w:val="00750F48"/>
    <w:rsid w:val="00751573"/>
    <w:rsid w:val="007515DF"/>
    <w:rsid w:val="007516AC"/>
    <w:rsid w:val="00751F50"/>
    <w:rsid w:val="00752977"/>
    <w:rsid w:val="00752DFD"/>
    <w:rsid w:val="00752E78"/>
    <w:rsid w:val="00752EB2"/>
    <w:rsid w:val="0075377C"/>
    <w:rsid w:val="0075467E"/>
    <w:rsid w:val="00754E40"/>
    <w:rsid w:val="007555A9"/>
    <w:rsid w:val="00755633"/>
    <w:rsid w:val="007560E0"/>
    <w:rsid w:val="00756435"/>
    <w:rsid w:val="007564D3"/>
    <w:rsid w:val="00756566"/>
    <w:rsid w:val="00756F07"/>
    <w:rsid w:val="00757265"/>
    <w:rsid w:val="00757B92"/>
    <w:rsid w:val="00757E6D"/>
    <w:rsid w:val="0076025D"/>
    <w:rsid w:val="0076107C"/>
    <w:rsid w:val="00761E3B"/>
    <w:rsid w:val="00762183"/>
    <w:rsid w:val="007627B7"/>
    <w:rsid w:val="00762BDF"/>
    <w:rsid w:val="00762DA9"/>
    <w:rsid w:val="0076312D"/>
    <w:rsid w:val="007631EF"/>
    <w:rsid w:val="00763344"/>
    <w:rsid w:val="00763936"/>
    <w:rsid w:val="00763F00"/>
    <w:rsid w:val="00764636"/>
    <w:rsid w:val="007646CF"/>
    <w:rsid w:val="00764BA4"/>
    <w:rsid w:val="00764CA2"/>
    <w:rsid w:val="00764D99"/>
    <w:rsid w:val="00765482"/>
    <w:rsid w:val="007658FF"/>
    <w:rsid w:val="00765CFD"/>
    <w:rsid w:val="00766C40"/>
    <w:rsid w:val="0076704E"/>
    <w:rsid w:val="007672EA"/>
    <w:rsid w:val="00767765"/>
    <w:rsid w:val="00767C4D"/>
    <w:rsid w:val="00767DA4"/>
    <w:rsid w:val="00767F9E"/>
    <w:rsid w:val="00770044"/>
    <w:rsid w:val="00770FEF"/>
    <w:rsid w:val="00771009"/>
    <w:rsid w:val="007710B7"/>
    <w:rsid w:val="007711EE"/>
    <w:rsid w:val="0077167D"/>
    <w:rsid w:val="00771F32"/>
    <w:rsid w:val="00772877"/>
    <w:rsid w:val="00772B52"/>
    <w:rsid w:val="00772CAE"/>
    <w:rsid w:val="00772DA5"/>
    <w:rsid w:val="007731AC"/>
    <w:rsid w:val="007731FE"/>
    <w:rsid w:val="00773626"/>
    <w:rsid w:val="00773DF5"/>
    <w:rsid w:val="00774C18"/>
    <w:rsid w:val="00775255"/>
    <w:rsid w:val="00775A86"/>
    <w:rsid w:val="00776244"/>
    <w:rsid w:val="00776C34"/>
    <w:rsid w:val="00776E3B"/>
    <w:rsid w:val="00776F42"/>
    <w:rsid w:val="007771A3"/>
    <w:rsid w:val="00777FF7"/>
    <w:rsid w:val="0078132D"/>
    <w:rsid w:val="00781A60"/>
    <w:rsid w:val="007826D0"/>
    <w:rsid w:val="0078325A"/>
    <w:rsid w:val="0078331B"/>
    <w:rsid w:val="00783E17"/>
    <w:rsid w:val="00784113"/>
    <w:rsid w:val="00784C3E"/>
    <w:rsid w:val="0078519A"/>
    <w:rsid w:val="007853A8"/>
    <w:rsid w:val="007854A8"/>
    <w:rsid w:val="007876AC"/>
    <w:rsid w:val="00787978"/>
    <w:rsid w:val="0079021D"/>
    <w:rsid w:val="00790519"/>
    <w:rsid w:val="00790DE9"/>
    <w:rsid w:val="0079143A"/>
    <w:rsid w:val="00791D18"/>
    <w:rsid w:val="00792371"/>
    <w:rsid w:val="00792825"/>
    <w:rsid w:val="00792D1E"/>
    <w:rsid w:val="00793532"/>
    <w:rsid w:val="00793560"/>
    <w:rsid w:val="00793B80"/>
    <w:rsid w:val="00793CBD"/>
    <w:rsid w:val="0079422B"/>
    <w:rsid w:val="0079439D"/>
    <w:rsid w:val="00794495"/>
    <w:rsid w:val="007948A2"/>
    <w:rsid w:val="00795218"/>
    <w:rsid w:val="007957CB"/>
    <w:rsid w:val="00795A88"/>
    <w:rsid w:val="00796355"/>
    <w:rsid w:val="007967C4"/>
    <w:rsid w:val="00796874"/>
    <w:rsid w:val="00796FF5"/>
    <w:rsid w:val="00797A9B"/>
    <w:rsid w:val="00797AC9"/>
    <w:rsid w:val="00797D1C"/>
    <w:rsid w:val="007A0510"/>
    <w:rsid w:val="007A0919"/>
    <w:rsid w:val="007A100E"/>
    <w:rsid w:val="007A1073"/>
    <w:rsid w:val="007A19C9"/>
    <w:rsid w:val="007A1F1C"/>
    <w:rsid w:val="007A2978"/>
    <w:rsid w:val="007A34E3"/>
    <w:rsid w:val="007A4659"/>
    <w:rsid w:val="007A4DCC"/>
    <w:rsid w:val="007A54A5"/>
    <w:rsid w:val="007A5DB8"/>
    <w:rsid w:val="007A5EAF"/>
    <w:rsid w:val="007A6155"/>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5C05"/>
    <w:rsid w:val="007B675E"/>
    <w:rsid w:val="007B699C"/>
    <w:rsid w:val="007B6F8E"/>
    <w:rsid w:val="007C05C1"/>
    <w:rsid w:val="007C0779"/>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A4"/>
    <w:rsid w:val="007C6582"/>
    <w:rsid w:val="007C6ABA"/>
    <w:rsid w:val="007C7643"/>
    <w:rsid w:val="007C7687"/>
    <w:rsid w:val="007C76EC"/>
    <w:rsid w:val="007C799F"/>
    <w:rsid w:val="007C7DB8"/>
    <w:rsid w:val="007D0AD4"/>
    <w:rsid w:val="007D181A"/>
    <w:rsid w:val="007D1966"/>
    <w:rsid w:val="007D1AEF"/>
    <w:rsid w:val="007D1C8D"/>
    <w:rsid w:val="007D2113"/>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0D7"/>
    <w:rsid w:val="007E3162"/>
    <w:rsid w:val="007E3225"/>
    <w:rsid w:val="007E36C8"/>
    <w:rsid w:val="007E3EED"/>
    <w:rsid w:val="007E4138"/>
    <w:rsid w:val="007E42BC"/>
    <w:rsid w:val="007E430D"/>
    <w:rsid w:val="007E4515"/>
    <w:rsid w:val="007E460F"/>
    <w:rsid w:val="007E466C"/>
    <w:rsid w:val="007E66CC"/>
    <w:rsid w:val="007E710C"/>
    <w:rsid w:val="007E724F"/>
    <w:rsid w:val="007E75F9"/>
    <w:rsid w:val="007F0E09"/>
    <w:rsid w:val="007F16CE"/>
    <w:rsid w:val="007F18F6"/>
    <w:rsid w:val="007F36E5"/>
    <w:rsid w:val="007F4157"/>
    <w:rsid w:val="007F430D"/>
    <w:rsid w:val="007F447D"/>
    <w:rsid w:val="007F4AB7"/>
    <w:rsid w:val="007F52A9"/>
    <w:rsid w:val="007F53EA"/>
    <w:rsid w:val="007F54B6"/>
    <w:rsid w:val="007F574F"/>
    <w:rsid w:val="007F58DB"/>
    <w:rsid w:val="007F598E"/>
    <w:rsid w:val="007F5C20"/>
    <w:rsid w:val="007F61F5"/>
    <w:rsid w:val="007F620E"/>
    <w:rsid w:val="007F6648"/>
    <w:rsid w:val="007F6692"/>
    <w:rsid w:val="007F6C11"/>
    <w:rsid w:val="007F769C"/>
    <w:rsid w:val="00803203"/>
    <w:rsid w:val="0080323A"/>
    <w:rsid w:val="0080380B"/>
    <w:rsid w:val="0080395F"/>
    <w:rsid w:val="00803FF8"/>
    <w:rsid w:val="008045B0"/>
    <w:rsid w:val="00804794"/>
    <w:rsid w:val="00804847"/>
    <w:rsid w:val="0080493D"/>
    <w:rsid w:val="008049CB"/>
    <w:rsid w:val="00805364"/>
    <w:rsid w:val="0080556B"/>
    <w:rsid w:val="008057CC"/>
    <w:rsid w:val="00805A36"/>
    <w:rsid w:val="00806487"/>
    <w:rsid w:val="00806515"/>
    <w:rsid w:val="0080688E"/>
    <w:rsid w:val="00806AB8"/>
    <w:rsid w:val="00806FEA"/>
    <w:rsid w:val="00807368"/>
    <w:rsid w:val="00807CBD"/>
    <w:rsid w:val="00807E94"/>
    <w:rsid w:val="00810479"/>
    <w:rsid w:val="00810A00"/>
    <w:rsid w:val="008112AA"/>
    <w:rsid w:val="00811920"/>
    <w:rsid w:val="00812672"/>
    <w:rsid w:val="00813519"/>
    <w:rsid w:val="00813575"/>
    <w:rsid w:val="00813D10"/>
    <w:rsid w:val="00813E1F"/>
    <w:rsid w:val="008140D8"/>
    <w:rsid w:val="00814733"/>
    <w:rsid w:val="00814DAA"/>
    <w:rsid w:val="00814EDA"/>
    <w:rsid w:val="0081523F"/>
    <w:rsid w:val="008156F0"/>
    <w:rsid w:val="00815976"/>
    <w:rsid w:val="00815CF7"/>
    <w:rsid w:val="00815D5C"/>
    <w:rsid w:val="00816DFF"/>
    <w:rsid w:val="00816F76"/>
    <w:rsid w:val="0082086A"/>
    <w:rsid w:val="00820B7B"/>
    <w:rsid w:val="008214E4"/>
    <w:rsid w:val="00821966"/>
    <w:rsid w:val="00822307"/>
    <w:rsid w:val="008223FC"/>
    <w:rsid w:val="00822466"/>
    <w:rsid w:val="00822871"/>
    <w:rsid w:val="008228F8"/>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61F"/>
    <w:rsid w:val="00834C8F"/>
    <w:rsid w:val="008357AC"/>
    <w:rsid w:val="008358AA"/>
    <w:rsid w:val="00836655"/>
    <w:rsid w:val="008368B4"/>
    <w:rsid w:val="00836988"/>
    <w:rsid w:val="00836D9F"/>
    <w:rsid w:val="00837184"/>
    <w:rsid w:val="0083748D"/>
    <w:rsid w:val="00837AE2"/>
    <w:rsid w:val="0084072C"/>
    <w:rsid w:val="00840B13"/>
    <w:rsid w:val="00842875"/>
    <w:rsid w:val="00842F32"/>
    <w:rsid w:val="008432CC"/>
    <w:rsid w:val="008434B8"/>
    <w:rsid w:val="00843C48"/>
    <w:rsid w:val="008446D1"/>
    <w:rsid w:val="00844BAF"/>
    <w:rsid w:val="00845265"/>
    <w:rsid w:val="00845771"/>
    <w:rsid w:val="008459F6"/>
    <w:rsid w:val="00846611"/>
    <w:rsid w:val="008477AF"/>
    <w:rsid w:val="008504F7"/>
    <w:rsid w:val="0085061F"/>
    <w:rsid w:val="00850837"/>
    <w:rsid w:val="00851B29"/>
    <w:rsid w:val="00851DBA"/>
    <w:rsid w:val="00853BB6"/>
    <w:rsid w:val="00853E11"/>
    <w:rsid w:val="00853FEC"/>
    <w:rsid w:val="00854170"/>
    <w:rsid w:val="00854A28"/>
    <w:rsid w:val="00854CC2"/>
    <w:rsid w:val="0085500A"/>
    <w:rsid w:val="008558DC"/>
    <w:rsid w:val="00855B26"/>
    <w:rsid w:val="00855BA5"/>
    <w:rsid w:val="00855C44"/>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1F15"/>
    <w:rsid w:val="00862623"/>
    <w:rsid w:val="00862730"/>
    <w:rsid w:val="00862ED4"/>
    <w:rsid w:val="0086350B"/>
    <w:rsid w:val="008638CF"/>
    <w:rsid w:val="00863AB3"/>
    <w:rsid w:val="00863E6B"/>
    <w:rsid w:val="00864361"/>
    <w:rsid w:val="008643A3"/>
    <w:rsid w:val="0086495B"/>
    <w:rsid w:val="00864B8A"/>
    <w:rsid w:val="00865A60"/>
    <w:rsid w:val="00865F0E"/>
    <w:rsid w:val="00866F29"/>
    <w:rsid w:val="0086733A"/>
    <w:rsid w:val="00867D0C"/>
    <w:rsid w:val="00870095"/>
    <w:rsid w:val="008700FF"/>
    <w:rsid w:val="008701BA"/>
    <w:rsid w:val="008710C9"/>
    <w:rsid w:val="008714DC"/>
    <w:rsid w:val="00871AE2"/>
    <w:rsid w:val="00872A28"/>
    <w:rsid w:val="00872F44"/>
    <w:rsid w:val="00872F81"/>
    <w:rsid w:val="0087388A"/>
    <w:rsid w:val="008741E0"/>
    <w:rsid w:val="00874349"/>
    <w:rsid w:val="008744A3"/>
    <w:rsid w:val="00875F3B"/>
    <w:rsid w:val="00876599"/>
    <w:rsid w:val="008779BC"/>
    <w:rsid w:val="00877DF8"/>
    <w:rsid w:val="00877F4A"/>
    <w:rsid w:val="00880152"/>
    <w:rsid w:val="0088022F"/>
    <w:rsid w:val="008803E5"/>
    <w:rsid w:val="00880CA1"/>
    <w:rsid w:val="0088185F"/>
    <w:rsid w:val="00881897"/>
    <w:rsid w:val="0088192F"/>
    <w:rsid w:val="00881CA5"/>
    <w:rsid w:val="0088225B"/>
    <w:rsid w:val="00882AF9"/>
    <w:rsid w:val="00882B11"/>
    <w:rsid w:val="0088311C"/>
    <w:rsid w:val="008838ED"/>
    <w:rsid w:val="00883D1F"/>
    <w:rsid w:val="00884289"/>
    <w:rsid w:val="008843EF"/>
    <w:rsid w:val="00884478"/>
    <w:rsid w:val="0088525D"/>
    <w:rsid w:val="00885286"/>
    <w:rsid w:val="00885A48"/>
    <w:rsid w:val="008864C6"/>
    <w:rsid w:val="00886719"/>
    <w:rsid w:val="00887E20"/>
    <w:rsid w:val="008904D2"/>
    <w:rsid w:val="00890A37"/>
    <w:rsid w:val="0089130D"/>
    <w:rsid w:val="00891410"/>
    <w:rsid w:val="008914B0"/>
    <w:rsid w:val="00891F36"/>
    <w:rsid w:val="008925CF"/>
    <w:rsid w:val="00892A1D"/>
    <w:rsid w:val="00892D47"/>
    <w:rsid w:val="0089328F"/>
    <w:rsid w:val="008937F1"/>
    <w:rsid w:val="0089387B"/>
    <w:rsid w:val="00893989"/>
    <w:rsid w:val="00894479"/>
    <w:rsid w:val="00894563"/>
    <w:rsid w:val="0089552C"/>
    <w:rsid w:val="008959FD"/>
    <w:rsid w:val="00895F2D"/>
    <w:rsid w:val="008969EA"/>
    <w:rsid w:val="00897CAE"/>
    <w:rsid w:val="00897EF1"/>
    <w:rsid w:val="008A0598"/>
    <w:rsid w:val="008A0671"/>
    <w:rsid w:val="008A085B"/>
    <w:rsid w:val="008A0B7C"/>
    <w:rsid w:val="008A0F85"/>
    <w:rsid w:val="008A13C8"/>
    <w:rsid w:val="008A15A8"/>
    <w:rsid w:val="008A1637"/>
    <w:rsid w:val="008A1A57"/>
    <w:rsid w:val="008A1FD6"/>
    <w:rsid w:val="008A24D7"/>
    <w:rsid w:val="008A27B5"/>
    <w:rsid w:val="008A2D37"/>
    <w:rsid w:val="008A31AE"/>
    <w:rsid w:val="008A36D8"/>
    <w:rsid w:val="008A3D5F"/>
    <w:rsid w:val="008A4525"/>
    <w:rsid w:val="008A4B74"/>
    <w:rsid w:val="008A5D64"/>
    <w:rsid w:val="008A6812"/>
    <w:rsid w:val="008A7529"/>
    <w:rsid w:val="008A7860"/>
    <w:rsid w:val="008A7B14"/>
    <w:rsid w:val="008B0B3C"/>
    <w:rsid w:val="008B15B4"/>
    <w:rsid w:val="008B1D08"/>
    <w:rsid w:val="008B2755"/>
    <w:rsid w:val="008B2AA7"/>
    <w:rsid w:val="008B2CEB"/>
    <w:rsid w:val="008B3D04"/>
    <w:rsid w:val="008B4397"/>
    <w:rsid w:val="008B4B94"/>
    <w:rsid w:val="008B560F"/>
    <w:rsid w:val="008B5F9A"/>
    <w:rsid w:val="008B6C9E"/>
    <w:rsid w:val="008B6E64"/>
    <w:rsid w:val="008B6EDD"/>
    <w:rsid w:val="008B720F"/>
    <w:rsid w:val="008C0608"/>
    <w:rsid w:val="008C0AAD"/>
    <w:rsid w:val="008C0C2B"/>
    <w:rsid w:val="008C15CA"/>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408"/>
    <w:rsid w:val="008D2C42"/>
    <w:rsid w:val="008D4398"/>
    <w:rsid w:val="008D5290"/>
    <w:rsid w:val="008D5507"/>
    <w:rsid w:val="008D6A3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5B3B"/>
    <w:rsid w:val="008E6723"/>
    <w:rsid w:val="008E699C"/>
    <w:rsid w:val="008E7914"/>
    <w:rsid w:val="008F08DE"/>
    <w:rsid w:val="008F1656"/>
    <w:rsid w:val="008F186B"/>
    <w:rsid w:val="008F3C03"/>
    <w:rsid w:val="008F3DA4"/>
    <w:rsid w:val="008F4487"/>
    <w:rsid w:val="008F575D"/>
    <w:rsid w:val="008F59E5"/>
    <w:rsid w:val="008F5F61"/>
    <w:rsid w:val="008F6AA2"/>
    <w:rsid w:val="008F752C"/>
    <w:rsid w:val="009006E2"/>
    <w:rsid w:val="009011FD"/>
    <w:rsid w:val="00901E0D"/>
    <w:rsid w:val="00902862"/>
    <w:rsid w:val="00902C48"/>
    <w:rsid w:val="00902ECB"/>
    <w:rsid w:val="00904239"/>
    <w:rsid w:val="00904467"/>
    <w:rsid w:val="00904A23"/>
    <w:rsid w:val="00904B8D"/>
    <w:rsid w:val="009055B7"/>
    <w:rsid w:val="00905AE0"/>
    <w:rsid w:val="0090699E"/>
    <w:rsid w:val="00906C63"/>
    <w:rsid w:val="00907139"/>
    <w:rsid w:val="009075F6"/>
    <w:rsid w:val="00910113"/>
    <w:rsid w:val="0091016D"/>
    <w:rsid w:val="009103C7"/>
    <w:rsid w:val="00910744"/>
    <w:rsid w:val="009107CB"/>
    <w:rsid w:val="00910A3F"/>
    <w:rsid w:val="009114A1"/>
    <w:rsid w:val="009115D6"/>
    <w:rsid w:val="0091160C"/>
    <w:rsid w:val="0091195E"/>
    <w:rsid w:val="00912205"/>
    <w:rsid w:val="009124DC"/>
    <w:rsid w:val="00912C18"/>
    <w:rsid w:val="00913296"/>
    <w:rsid w:val="00913A0A"/>
    <w:rsid w:val="00913B84"/>
    <w:rsid w:val="00913CBF"/>
    <w:rsid w:val="00913F3F"/>
    <w:rsid w:val="009141A3"/>
    <w:rsid w:val="009144B6"/>
    <w:rsid w:val="00916499"/>
    <w:rsid w:val="00916CA9"/>
    <w:rsid w:val="00916E81"/>
    <w:rsid w:val="0091793D"/>
    <w:rsid w:val="00917A05"/>
    <w:rsid w:val="00920340"/>
    <w:rsid w:val="00920402"/>
    <w:rsid w:val="00920499"/>
    <w:rsid w:val="0092069E"/>
    <w:rsid w:val="009207CD"/>
    <w:rsid w:val="00920939"/>
    <w:rsid w:val="009210DE"/>
    <w:rsid w:val="00922683"/>
    <w:rsid w:val="009233CA"/>
    <w:rsid w:val="009237B2"/>
    <w:rsid w:val="00924690"/>
    <w:rsid w:val="00924D0F"/>
    <w:rsid w:val="009252D9"/>
    <w:rsid w:val="0092546A"/>
    <w:rsid w:val="00925DBB"/>
    <w:rsid w:val="0092602C"/>
    <w:rsid w:val="00926069"/>
    <w:rsid w:val="00926362"/>
    <w:rsid w:val="00926DAA"/>
    <w:rsid w:val="00926DCD"/>
    <w:rsid w:val="0092732E"/>
    <w:rsid w:val="00927331"/>
    <w:rsid w:val="009275A3"/>
    <w:rsid w:val="00927A67"/>
    <w:rsid w:val="00927C5F"/>
    <w:rsid w:val="00930055"/>
    <w:rsid w:val="0093046D"/>
    <w:rsid w:val="00930EA3"/>
    <w:rsid w:val="00931C0A"/>
    <w:rsid w:val="009329C1"/>
    <w:rsid w:val="00932DD0"/>
    <w:rsid w:val="0093301B"/>
    <w:rsid w:val="00933244"/>
    <w:rsid w:val="00933492"/>
    <w:rsid w:val="00933674"/>
    <w:rsid w:val="00933B31"/>
    <w:rsid w:val="00933D79"/>
    <w:rsid w:val="00933FF1"/>
    <w:rsid w:val="009346B3"/>
    <w:rsid w:val="00934C9A"/>
    <w:rsid w:val="00936C19"/>
    <w:rsid w:val="0093711C"/>
    <w:rsid w:val="009374D2"/>
    <w:rsid w:val="00940700"/>
    <w:rsid w:val="009407FE"/>
    <w:rsid w:val="0094112A"/>
    <w:rsid w:val="00941FA2"/>
    <w:rsid w:val="00942C57"/>
    <w:rsid w:val="009447FB"/>
    <w:rsid w:val="00944BDF"/>
    <w:rsid w:val="00944DAD"/>
    <w:rsid w:val="00944DE9"/>
    <w:rsid w:val="00944EE1"/>
    <w:rsid w:val="0094529C"/>
    <w:rsid w:val="0094574D"/>
    <w:rsid w:val="009464CE"/>
    <w:rsid w:val="00946661"/>
    <w:rsid w:val="009466C4"/>
    <w:rsid w:val="00946D45"/>
    <w:rsid w:val="00947901"/>
    <w:rsid w:val="00947EEF"/>
    <w:rsid w:val="009504CA"/>
    <w:rsid w:val="00951490"/>
    <w:rsid w:val="00951852"/>
    <w:rsid w:val="009518B1"/>
    <w:rsid w:val="009520CA"/>
    <w:rsid w:val="009526C0"/>
    <w:rsid w:val="00952A87"/>
    <w:rsid w:val="00952ABB"/>
    <w:rsid w:val="00952FC2"/>
    <w:rsid w:val="00953616"/>
    <w:rsid w:val="00953C63"/>
    <w:rsid w:val="00954586"/>
    <w:rsid w:val="00954BF1"/>
    <w:rsid w:val="00955003"/>
    <w:rsid w:val="00955424"/>
    <w:rsid w:val="00955685"/>
    <w:rsid w:val="00955763"/>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40BB"/>
    <w:rsid w:val="00965679"/>
    <w:rsid w:val="0096634F"/>
    <w:rsid w:val="00966401"/>
    <w:rsid w:val="00966D80"/>
    <w:rsid w:val="009673FE"/>
    <w:rsid w:val="0096780A"/>
    <w:rsid w:val="00967DC7"/>
    <w:rsid w:val="0097015A"/>
    <w:rsid w:val="00970586"/>
    <w:rsid w:val="0097063B"/>
    <w:rsid w:val="00970F6F"/>
    <w:rsid w:val="009714BB"/>
    <w:rsid w:val="00971829"/>
    <w:rsid w:val="00973712"/>
    <w:rsid w:val="00973A93"/>
    <w:rsid w:val="00973B91"/>
    <w:rsid w:val="00974188"/>
    <w:rsid w:val="00974969"/>
    <w:rsid w:val="009763F8"/>
    <w:rsid w:val="009767D2"/>
    <w:rsid w:val="00980240"/>
    <w:rsid w:val="0098068F"/>
    <w:rsid w:val="00980D5C"/>
    <w:rsid w:val="00982A40"/>
    <w:rsid w:val="009832D3"/>
    <w:rsid w:val="0098395B"/>
    <w:rsid w:val="0098415A"/>
    <w:rsid w:val="009843D2"/>
    <w:rsid w:val="00984919"/>
    <w:rsid w:val="00985A08"/>
    <w:rsid w:val="009870CB"/>
    <w:rsid w:val="009876E3"/>
    <w:rsid w:val="00987D07"/>
    <w:rsid w:val="009917CD"/>
    <w:rsid w:val="00991CC1"/>
    <w:rsid w:val="00991DD4"/>
    <w:rsid w:val="00992120"/>
    <w:rsid w:val="00992534"/>
    <w:rsid w:val="00993069"/>
    <w:rsid w:val="00993B81"/>
    <w:rsid w:val="0099402E"/>
    <w:rsid w:val="009943B7"/>
    <w:rsid w:val="00994C3B"/>
    <w:rsid w:val="009956B3"/>
    <w:rsid w:val="00996781"/>
    <w:rsid w:val="00996E19"/>
    <w:rsid w:val="00997034"/>
    <w:rsid w:val="009970ED"/>
    <w:rsid w:val="0099746B"/>
    <w:rsid w:val="00997631"/>
    <w:rsid w:val="0099769C"/>
    <w:rsid w:val="00997972"/>
    <w:rsid w:val="00997D81"/>
    <w:rsid w:val="009A015E"/>
    <w:rsid w:val="009A11AB"/>
    <w:rsid w:val="009A14A4"/>
    <w:rsid w:val="009A2401"/>
    <w:rsid w:val="009A2885"/>
    <w:rsid w:val="009A2DF4"/>
    <w:rsid w:val="009A3284"/>
    <w:rsid w:val="009A3FB8"/>
    <w:rsid w:val="009A52A3"/>
    <w:rsid w:val="009A5491"/>
    <w:rsid w:val="009A5604"/>
    <w:rsid w:val="009A5D6F"/>
    <w:rsid w:val="009A5D91"/>
    <w:rsid w:val="009A63EF"/>
    <w:rsid w:val="009A65DC"/>
    <w:rsid w:val="009A727E"/>
    <w:rsid w:val="009B03E3"/>
    <w:rsid w:val="009B0A8C"/>
    <w:rsid w:val="009B12B7"/>
    <w:rsid w:val="009B1BFC"/>
    <w:rsid w:val="009B1D83"/>
    <w:rsid w:val="009B2474"/>
    <w:rsid w:val="009B26FC"/>
    <w:rsid w:val="009B2BF1"/>
    <w:rsid w:val="009B369E"/>
    <w:rsid w:val="009B3A14"/>
    <w:rsid w:val="009B3A44"/>
    <w:rsid w:val="009B3FA2"/>
    <w:rsid w:val="009B4128"/>
    <w:rsid w:val="009B434E"/>
    <w:rsid w:val="009B47EB"/>
    <w:rsid w:val="009B4A6A"/>
    <w:rsid w:val="009B6439"/>
    <w:rsid w:val="009B78AB"/>
    <w:rsid w:val="009B7D12"/>
    <w:rsid w:val="009C015A"/>
    <w:rsid w:val="009C070D"/>
    <w:rsid w:val="009C0A44"/>
    <w:rsid w:val="009C0DC9"/>
    <w:rsid w:val="009C1970"/>
    <w:rsid w:val="009C1BF6"/>
    <w:rsid w:val="009C2B6B"/>
    <w:rsid w:val="009C2D27"/>
    <w:rsid w:val="009C2D2F"/>
    <w:rsid w:val="009C3006"/>
    <w:rsid w:val="009C3A55"/>
    <w:rsid w:val="009C3D6C"/>
    <w:rsid w:val="009C4345"/>
    <w:rsid w:val="009C5477"/>
    <w:rsid w:val="009C5495"/>
    <w:rsid w:val="009C5AA8"/>
    <w:rsid w:val="009C5D30"/>
    <w:rsid w:val="009C6D1C"/>
    <w:rsid w:val="009C7505"/>
    <w:rsid w:val="009C779A"/>
    <w:rsid w:val="009C7B23"/>
    <w:rsid w:val="009C7BBE"/>
    <w:rsid w:val="009C7FD5"/>
    <w:rsid w:val="009D155A"/>
    <w:rsid w:val="009D184D"/>
    <w:rsid w:val="009D1C57"/>
    <w:rsid w:val="009D1C99"/>
    <w:rsid w:val="009D20A2"/>
    <w:rsid w:val="009D2697"/>
    <w:rsid w:val="009D26EE"/>
    <w:rsid w:val="009D2F88"/>
    <w:rsid w:val="009D3013"/>
    <w:rsid w:val="009D3144"/>
    <w:rsid w:val="009D33C8"/>
    <w:rsid w:val="009D367F"/>
    <w:rsid w:val="009D3F77"/>
    <w:rsid w:val="009D3FB6"/>
    <w:rsid w:val="009D43FB"/>
    <w:rsid w:val="009D4F59"/>
    <w:rsid w:val="009D5C93"/>
    <w:rsid w:val="009D6548"/>
    <w:rsid w:val="009D6A54"/>
    <w:rsid w:val="009D7C8E"/>
    <w:rsid w:val="009E0689"/>
    <w:rsid w:val="009E094A"/>
    <w:rsid w:val="009E0AB4"/>
    <w:rsid w:val="009E115F"/>
    <w:rsid w:val="009E144B"/>
    <w:rsid w:val="009E1FC5"/>
    <w:rsid w:val="009E224B"/>
    <w:rsid w:val="009E22D0"/>
    <w:rsid w:val="009E2BDF"/>
    <w:rsid w:val="009E3460"/>
    <w:rsid w:val="009E3486"/>
    <w:rsid w:val="009E35BC"/>
    <w:rsid w:val="009E3A4C"/>
    <w:rsid w:val="009E3F68"/>
    <w:rsid w:val="009E4001"/>
    <w:rsid w:val="009E4345"/>
    <w:rsid w:val="009E44F4"/>
    <w:rsid w:val="009E494C"/>
    <w:rsid w:val="009E4A3A"/>
    <w:rsid w:val="009E4FDD"/>
    <w:rsid w:val="009E535C"/>
    <w:rsid w:val="009E5BF9"/>
    <w:rsid w:val="009E5FF1"/>
    <w:rsid w:val="009E713F"/>
    <w:rsid w:val="009E71F7"/>
    <w:rsid w:val="009E77DA"/>
    <w:rsid w:val="009E7AE7"/>
    <w:rsid w:val="009E7BA5"/>
    <w:rsid w:val="009F001E"/>
    <w:rsid w:val="009F0AB2"/>
    <w:rsid w:val="009F18E9"/>
    <w:rsid w:val="009F19FE"/>
    <w:rsid w:val="009F1A2B"/>
    <w:rsid w:val="009F207B"/>
    <w:rsid w:val="009F254F"/>
    <w:rsid w:val="009F34B7"/>
    <w:rsid w:val="009F3CA8"/>
    <w:rsid w:val="009F5960"/>
    <w:rsid w:val="009F5AA6"/>
    <w:rsid w:val="009F5CDD"/>
    <w:rsid w:val="009F5F37"/>
    <w:rsid w:val="009F629E"/>
    <w:rsid w:val="009F65DF"/>
    <w:rsid w:val="009F670F"/>
    <w:rsid w:val="00A00733"/>
    <w:rsid w:val="00A00D42"/>
    <w:rsid w:val="00A01320"/>
    <w:rsid w:val="00A01B66"/>
    <w:rsid w:val="00A01EB3"/>
    <w:rsid w:val="00A03334"/>
    <w:rsid w:val="00A0353B"/>
    <w:rsid w:val="00A043FC"/>
    <w:rsid w:val="00A04495"/>
    <w:rsid w:val="00A0550D"/>
    <w:rsid w:val="00A0581B"/>
    <w:rsid w:val="00A05829"/>
    <w:rsid w:val="00A05A1C"/>
    <w:rsid w:val="00A0761E"/>
    <w:rsid w:val="00A0765A"/>
    <w:rsid w:val="00A0794D"/>
    <w:rsid w:val="00A10280"/>
    <w:rsid w:val="00A114EE"/>
    <w:rsid w:val="00A12176"/>
    <w:rsid w:val="00A13300"/>
    <w:rsid w:val="00A13BC3"/>
    <w:rsid w:val="00A13C98"/>
    <w:rsid w:val="00A13E82"/>
    <w:rsid w:val="00A14025"/>
    <w:rsid w:val="00A15092"/>
    <w:rsid w:val="00A15CA1"/>
    <w:rsid w:val="00A15CF5"/>
    <w:rsid w:val="00A15E2F"/>
    <w:rsid w:val="00A16C45"/>
    <w:rsid w:val="00A1729A"/>
    <w:rsid w:val="00A17E03"/>
    <w:rsid w:val="00A2058E"/>
    <w:rsid w:val="00A206C8"/>
    <w:rsid w:val="00A2083B"/>
    <w:rsid w:val="00A20FA1"/>
    <w:rsid w:val="00A226F0"/>
    <w:rsid w:val="00A22771"/>
    <w:rsid w:val="00A22916"/>
    <w:rsid w:val="00A22C66"/>
    <w:rsid w:val="00A22E83"/>
    <w:rsid w:val="00A23FD0"/>
    <w:rsid w:val="00A2524E"/>
    <w:rsid w:val="00A25D59"/>
    <w:rsid w:val="00A26614"/>
    <w:rsid w:val="00A26786"/>
    <w:rsid w:val="00A2724A"/>
    <w:rsid w:val="00A27A73"/>
    <w:rsid w:val="00A30254"/>
    <w:rsid w:val="00A30C15"/>
    <w:rsid w:val="00A30F0B"/>
    <w:rsid w:val="00A3154F"/>
    <w:rsid w:val="00A315D0"/>
    <w:rsid w:val="00A31A6D"/>
    <w:rsid w:val="00A32052"/>
    <w:rsid w:val="00A32CC3"/>
    <w:rsid w:val="00A32F15"/>
    <w:rsid w:val="00A32FE7"/>
    <w:rsid w:val="00A33112"/>
    <w:rsid w:val="00A33592"/>
    <w:rsid w:val="00A33C26"/>
    <w:rsid w:val="00A33CB0"/>
    <w:rsid w:val="00A33CF7"/>
    <w:rsid w:val="00A341D6"/>
    <w:rsid w:val="00A35064"/>
    <w:rsid w:val="00A3706D"/>
    <w:rsid w:val="00A375DC"/>
    <w:rsid w:val="00A4054A"/>
    <w:rsid w:val="00A40838"/>
    <w:rsid w:val="00A40B43"/>
    <w:rsid w:val="00A4121E"/>
    <w:rsid w:val="00A4190C"/>
    <w:rsid w:val="00A41DC9"/>
    <w:rsid w:val="00A41DFC"/>
    <w:rsid w:val="00A424A3"/>
    <w:rsid w:val="00A42868"/>
    <w:rsid w:val="00A42F5B"/>
    <w:rsid w:val="00A42F94"/>
    <w:rsid w:val="00A431D5"/>
    <w:rsid w:val="00A434A4"/>
    <w:rsid w:val="00A43956"/>
    <w:rsid w:val="00A44342"/>
    <w:rsid w:val="00A446E2"/>
    <w:rsid w:val="00A44757"/>
    <w:rsid w:val="00A44B38"/>
    <w:rsid w:val="00A44CC0"/>
    <w:rsid w:val="00A45145"/>
    <w:rsid w:val="00A45174"/>
    <w:rsid w:val="00A45C68"/>
    <w:rsid w:val="00A45DFE"/>
    <w:rsid w:val="00A45E13"/>
    <w:rsid w:val="00A467FE"/>
    <w:rsid w:val="00A46969"/>
    <w:rsid w:val="00A47403"/>
    <w:rsid w:val="00A47BFD"/>
    <w:rsid w:val="00A503DC"/>
    <w:rsid w:val="00A50530"/>
    <w:rsid w:val="00A50C8B"/>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4B70"/>
    <w:rsid w:val="00A652FB"/>
    <w:rsid w:val="00A65414"/>
    <w:rsid w:val="00A65C58"/>
    <w:rsid w:val="00A65EC5"/>
    <w:rsid w:val="00A661A5"/>
    <w:rsid w:val="00A66202"/>
    <w:rsid w:val="00A663C9"/>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4DC1"/>
    <w:rsid w:val="00A757A6"/>
    <w:rsid w:val="00A759CB"/>
    <w:rsid w:val="00A75AEC"/>
    <w:rsid w:val="00A76038"/>
    <w:rsid w:val="00A768BD"/>
    <w:rsid w:val="00A76A85"/>
    <w:rsid w:val="00A76BC6"/>
    <w:rsid w:val="00A77957"/>
    <w:rsid w:val="00A80236"/>
    <w:rsid w:val="00A8084C"/>
    <w:rsid w:val="00A81E83"/>
    <w:rsid w:val="00A83600"/>
    <w:rsid w:val="00A83A52"/>
    <w:rsid w:val="00A83EBB"/>
    <w:rsid w:val="00A84DF7"/>
    <w:rsid w:val="00A8592B"/>
    <w:rsid w:val="00A8613A"/>
    <w:rsid w:val="00A86267"/>
    <w:rsid w:val="00A8629B"/>
    <w:rsid w:val="00A862BA"/>
    <w:rsid w:val="00A86677"/>
    <w:rsid w:val="00A867BC"/>
    <w:rsid w:val="00A86B21"/>
    <w:rsid w:val="00A86BEB"/>
    <w:rsid w:val="00A9013C"/>
    <w:rsid w:val="00A9099B"/>
    <w:rsid w:val="00A90B0F"/>
    <w:rsid w:val="00A9151E"/>
    <w:rsid w:val="00A917BB"/>
    <w:rsid w:val="00A936B5"/>
    <w:rsid w:val="00A948B0"/>
    <w:rsid w:val="00A954A1"/>
    <w:rsid w:val="00A96D60"/>
    <w:rsid w:val="00A97702"/>
    <w:rsid w:val="00AA018E"/>
    <w:rsid w:val="00AA0329"/>
    <w:rsid w:val="00AA07E6"/>
    <w:rsid w:val="00AA1732"/>
    <w:rsid w:val="00AA1833"/>
    <w:rsid w:val="00AA19FE"/>
    <w:rsid w:val="00AA1E8E"/>
    <w:rsid w:val="00AA1F6D"/>
    <w:rsid w:val="00AA31F2"/>
    <w:rsid w:val="00AA3E39"/>
    <w:rsid w:val="00AA4F5D"/>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334"/>
    <w:rsid w:val="00AB558A"/>
    <w:rsid w:val="00AB6D99"/>
    <w:rsid w:val="00AB7127"/>
    <w:rsid w:val="00AB73C1"/>
    <w:rsid w:val="00AB7AC2"/>
    <w:rsid w:val="00AC0924"/>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873"/>
    <w:rsid w:val="00AD69BD"/>
    <w:rsid w:val="00AD6AD6"/>
    <w:rsid w:val="00AD70D9"/>
    <w:rsid w:val="00AD7823"/>
    <w:rsid w:val="00AE1034"/>
    <w:rsid w:val="00AE1762"/>
    <w:rsid w:val="00AE1EA1"/>
    <w:rsid w:val="00AE208C"/>
    <w:rsid w:val="00AE2107"/>
    <w:rsid w:val="00AE2303"/>
    <w:rsid w:val="00AE255F"/>
    <w:rsid w:val="00AE2963"/>
    <w:rsid w:val="00AE3665"/>
    <w:rsid w:val="00AE406D"/>
    <w:rsid w:val="00AE41EE"/>
    <w:rsid w:val="00AE44D3"/>
    <w:rsid w:val="00AE4552"/>
    <w:rsid w:val="00AE4EB8"/>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4CD9"/>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2B3"/>
    <w:rsid w:val="00B057E6"/>
    <w:rsid w:val="00B05BA5"/>
    <w:rsid w:val="00B05E38"/>
    <w:rsid w:val="00B0650B"/>
    <w:rsid w:val="00B0658B"/>
    <w:rsid w:val="00B06AAC"/>
    <w:rsid w:val="00B06FB2"/>
    <w:rsid w:val="00B07D1D"/>
    <w:rsid w:val="00B07E07"/>
    <w:rsid w:val="00B1054F"/>
    <w:rsid w:val="00B10635"/>
    <w:rsid w:val="00B10A0D"/>
    <w:rsid w:val="00B10F79"/>
    <w:rsid w:val="00B1148B"/>
    <w:rsid w:val="00B116F5"/>
    <w:rsid w:val="00B11997"/>
    <w:rsid w:val="00B119D3"/>
    <w:rsid w:val="00B1205D"/>
    <w:rsid w:val="00B12557"/>
    <w:rsid w:val="00B126C0"/>
    <w:rsid w:val="00B12996"/>
    <w:rsid w:val="00B13D5F"/>
    <w:rsid w:val="00B1475C"/>
    <w:rsid w:val="00B147AB"/>
    <w:rsid w:val="00B14C46"/>
    <w:rsid w:val="00B14DEC"/>
    <w:rsid w:val="00B1513C"/>
    <w:rsid w:val="00B16FF7"/>
    <w:rsid w:val="00B1779F"/>
    <w:rsid w:val="00B17BCD"/>
    <w:rsid w:val="00B17EFB"/>
    <w:rsid w:val="00B201E8"/>
    <w:rsid w:val="00B207A5"/>
    <w:rsid w:val="00B20EAC"/>
    <w:rsid w:val="00B20ECB"/>
    <w:rsid w:val="00B20F02"/>
    <w:rsid w:val="00B21037"/>
    <w:rsid w:val="00B215EA"/>
    <w:rsid w:val="00B21811"/>
    <w:rsid w:val="00B2182D"/>
    <w:rsid w:val="00B21FED"/>
    <w:rsid w:val="00B22508"/>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41F"/>
    <w:rsid w:val="00B270F1"/>
    <w:rsid w:val="00B272F7"/>
    <w:rsid w:val="00B27742"/>
    <w:rsid w:val="00B279F5"/>
    <w:rsid w:val="00B27F12"/>
    <w:rsid w:val="00B30E15"/>
    <w:rsid w:val="00B30EF1"/>
    <w:rsid w:val="00B311A9"/>
    <w:rsid w:val="00B31BB3"/>
    <w:rsid w:val="00B31F32"/>
    <w:rsid w:val="00B31F3B"/>
    <w:rsid w:val="00B32853"/>
    <w:rsid w:val="00B32AB1"/>
    <w:rsid w:val="00B3310A"/>
    <w:rsid w:val="00B33887"/>
    <w:rsid w:val="00B33D0E"/>
    <w:rsid w:val="00B33E2C"/>
    <w:rsid w:val="00B33F0B"/>
    <w:rsid w:val="00B34059"/>
    <w:rsid w:val="00B350C6"/>
    <w:rsid w:val="00B35D10"/>
    <w:rsid w:val="00B35E56"/>
    <w:rsid w:val="00B363C7"/>
    <w:rsid w:val="00B367F4"/>
    <w:rsid w:val="00B368E3"/>
    <w:rsid w:val="00B3749F"/>
    <w:rsid w:val="00B37D3C"/>
    <w:rsid w:val="00B404DE"/>
    <w:rsid w:val="00B40674"/>
    <w:rsid w:val="00B412B9"/>
    <w:rsid w:val="00B415AD"/>
    <w:rsid w:val="00B42600"/>
    <w:rsid w:val="00B42A20"/>
    <w:rsid w:val="00B43362"/>
    <w:rsid w:val="00B4350B"/>
    <w:rsid w:val="00B435C3"/>
    <w:rsid w:val="00B43818"/>
    <w:rsid w:val="00B43C8E"/>
    <w:rsid w:val="00B4487A"/>
    <w:rsid w:val="00B45450"/>
    <w:rsid w:val="00B4677F"/>
    <w:rsid w:val="00B47044"/>
    <w:rsid w:val="00B47724"/>
    <w:rsid w:val="00B47893"/>
    <w:rsid w:val="00B47F06"/>
    <w:rsid w:val="00B5071D"/>
    <w:rsid w:val="00B50A5B"/>
    <w:rsid w:val="00B50B1C"/>
    <w:rsid w:val="00B5223A"/>
    <w:rsid w:val="00B525B3"/>
    <w:rsid w:val="00B52890"/>
    <w:rsid w:val="00B52F10"/>
    <w:rsid w:val="00B53C3C"/>
    <w:rsid w:val="00B54C21"/>
    <w:rsid w:val="00B552C5"/>
    <w:rsid w:val="00B56BEB"/>
    <w:rsid w:val="00B56F1D"/>
    <w:rsid w:val="00B57278"/>
    <w:rsid w:val="00B57705"/>
    <w:rsid w:val="00B57855"/>
    <w:rsid w:val="00B60922"/>
    <w:rsid w:val="00B60DC8"/>
    <w:rsid w:val="00B62865"/>
    <w:rsid w:val="00B63107"/>
    <w:rsid w:val="00B6345F"/>
    <w:rsid w:val="00B638ED"/>
    <w:rsid w:val="00B63DDB"/>
    <w:rsid w:val="00B644BE"/>
    <w:rsid w:val="00B64DC7"/>
    <w:rsid w:val="00B65F04"/>
    <w:rsid w:val="00B65F35"/>
    <w:rsid w:val="00B660EF"/>
    <w:rsid w:val="00B663CE"/>
    <w:rsid w:val="00B66401"/>
    <w:rsid w:val="00B6650E"/>
    <w:rsid w:val="00B66574"/>
    <w:rsid w:val="00B66881"/>
    <w:rsid w:val="00B66AC8"/>
    <w:rsid w:val="00B671D2"/>
    <w:rsid w:val="00B672EC"/>
    <w:rsid w:val="00B7048F"/>
    <w:rsid w:val="00B70B6E"/>
    <w:rsid w:val="00B71CF7"/>
    <w:rsid w:val="00B72699"/>
    <w:rsid w:val="00B739A4"/>
    <w:rsid w:val="00B73A46"/>
    <w:rsid w:val="00B743D7"/>
    <w:rsid w:val="00B74FA2"/>
    <w:rsid w:val="00B75269"/>
    <w:rsid w:val="00B754AD"/>
    <w:rsid w:val="00B75885"/>
    <w:rsid w:val="00B75DEA"/>
    <w:rsid w:val="00B76713"/>
    <w:rsid w:val="00B76943"/>
    <w:rsid w:val="00B804D8"/>
    <w:rsid w:val="00B81259"/>
    <w:rsid w:val="00B81E07"/>
    <w:rsid w:val="00B82A66"/>
    <w:rsid w:val="00B82E11"/>
    <w:rsid w:val="00B834BF"/>
    <w:rsid w:val="00B83AEE"/>
    <w:rsid w:val="00B842EC"/>
    <w:rsid w:val="00B844A4"/>
    <w:rsid w:val="00B850B6"/>
    <w:rsid w:val="00B85D2D"/>
    <w:rsid w:val="00B85D3C"/>
    <w:rsid w:val="00B86DF9"/>
    <w:rsid w:val="00B871D7"/>
    <w:rsid w:val="00B8786B"/>
    <w:rsid w:val="00B87B49"/>
    <w:rsid w:val="00B87CA3"/>
    <w:rsid w:val="00B902F6"/>
    <w:rsid w:val="00B909F2"/>
    <w:rsid w:val="00B917CC"/>
    <w:rsid w:val="00B91AB4"/>
    <w:rsid w:val="00B92910"/>
    <w:rsid w:val="00B934F7"/>
    <w:rsid w:val="00B938A6"/>
    <w:rsid w:val="00B939A4"/>
    <w:rsid w:val="00B947E4"/>
    <w:rsid w:val="00B94AE7"/>
    <w:rsid w:val="00B954E3"/>
    <w:rsid w:val="00B95687"/>
    <w:rsid w:val="00B956BE"/>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6E1"/>
    <w:rsid w:val="00BA3C13"/>
    <w:rsid w:val="00BA4512"/>
    <w:rsid w:val="00BA4C27"/>
    <w:rsid w:val="00BA5266"/>
    <w:rsid w:val="00BA68A6"/>
    <w:rsid w:val="00BA729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5EFC"/>
    <w:rsid w:val="00BB6087"/>
    <w:rsid w:val="00BB6A1F"/>
    <w:rsid w:val="00BB756B"/>
    <w:rsid w:val="00BB76DE"/>
    <w:rsid w:val="00BB7769"/>
    <w:rsid w:val="00BB79CD"/>
    <w:rsid w:val="00BB7D5F"/>
    <w:rsid w:val="00BC10BD"/>
    <w:rsid w:val="00BC10CD"/>
    <w:rsid w:val="00BC1157"/>
    <w:rsid w:val="00BC286E"/>
    <w:rsid w:val="00BC345B"/>
    <w:rsid w:val="00BC3A25"/>
    <w:rsid w:val="00BC40EE"/>
    <w:rsid w:val="00BC41D9"/>
    <w:rsid w:val="00BC485C"/>
    <w:rsid w:val="00BC4B23"/>
    <w:rsid w:val="00BC56A6"/>
    <w:rsid w:val="00BC59F9"/>
    <w:rsid w:val="00BC5F47"/>
    <w:rsid w:val="00BC5F57"/>
    <w:rsid w:val="00BC62D4"/>
    <w:rsid w:val="00BC653B"/>
    <w:rsid w:val="00BC692A"/>
    <w:rsid w:val="00BD016D"/>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1C01"/>
    <w:rsid w:val="00BE230B"/>
    <w:rsid w:val="00BE248C"/>
    <w:rsid w:val="00BE2A7F"/>
    <w:rsid w:val="00BE2C51"/>
    <w:rsid w:val="00BE2DEA"/>
    <w:rsid w:val="00BE2E58"/>
    <w:rsid w:val="00BE30E6"/>
    <w:rsid w:val="00BE3268"/>
    <w:rsid w:val="00BE332E"/>
    <w:rsid w:val="00BE3DEA"/>
    <w:rsid w:val="00BE3FBC"/>
    <w:rsid w:val="00BE3FD9"/>
    <w:rsid w:val="00BE4D27"/>
    <w:rsid w:val="00BE50B2"/>
    <w:rsid w:val="00BE51ED"/>
    <w:rsid w:val="00BE6271"/>
    <w:rsid w:val="00BE7645"/>
    <w:rsid w:val="00BE7A36"/>
    <w:rsid w:val="00BE7AC3"/>
    <w:rsid w:val="00BE7C01"/>
    <w:rsid w:val="00BF0FC3"/>
    <w:rsid w:val="00BF183D"/>
    <w:rsid w:val="00BF1889"/>
    <w:rsid w:val="00BF2B29"/>
    <w:rsid w:val="00BF2E89"/>
    <w:rsid w:val="00BF2FFA"/>
    <w:rsid w:val="00BF3086"/>
    <w:rsid w:val="00BF3612"/>
    <w:rsid w:val="00BF4B1C"/>
    <w:rsid w:val="00BF4D66"/>
    <w:rsid w:val="00BF5C56"/>
    <w:rsid w:val="00BF63BF"/>
    <w:rsid w:val="00BF6692"/>
    <w:rsid w:val="00BF6761"/>
    <w:rsid w:val="00BF784B"/>
    <w:rsid w:val="00BF7986"/>
    <w:rsid w:val="00BF7A97"/>
    <w:rsid w:val="00BF7C75"/>
    <w:rsid w:val="00BF7FDE"/>
    <w:rsid w:val="00C0119B"/>
    <w:rsid w:val="00C01202"/>
    <w:rsid w:val="00C012D7"/>
    <w:rsid w:val="00C018D5"/>
    <w:rsid w:val="00C02029"/>
    <w:rsid w:val="00C031FA"/>
    <w:rsid w:val="00C03332"/>
    <w:rsid w:val="00C03555"/>
    <w:rsid w:val="00C036B8"/>
    <w:rsid w:val="00C03D8A"/>
    <w:rsid w:val="00C041C3"/>
    <w:rsid w:val="00C044A3"/>
    <w:rsid w:val="00C04EB6"/>
    <w:rsid w:val="00C06255"/>
    <w:rsid w:val="00C065C2"/>
    <w:rsid w:val="00C06646"/>
    <w:rsid w:val="00C066B5"/>
    <w:rsid w:val="00C066F9"/>
    <w:rsid w:val="00C066FD"/>
    <w:rsid w:val="00C06C70"/>
    <w:rsid w:val="00C06D40"/>
    <w:rsid w:val="00C07009"/>
    <w:rsid w:val="00C070D8"/>
    <w:rsid w:val="00C07F6F"/>
    <w:rsid w:val="00C102BC"/>
    <w:rsid w:val="00C10AE3"/>
    <w:rsid w:val="00C10E55"/>
    <w:rsid w:val="00C10FB6"/>
    <w:rsid w:val="00C117E4"/>
    <w:rsid w:val="00C11978"/>
    <w:rsid w:val="00C12608"/>
    <w:rsid w:val="00C128E2"/>
    <w:rsid w:val="00C12D4C"/>
    <w:rsid w:val="00C1325C"/>
    <w:rsid w:val="00C134F1"/>
    <w:rsid w:val="00C14E34"/>
    <w:rsid w:val="00C151FB"/>
    <w:rsid w:val="00C15789"/>
    <w:rsid w:val="00C15865"/>
    <w:rsid w:val="00C15D86"/>
    <w:rsid w:val="00C1697E"/>
    <w:rsid w:val="00C174CA"/>
    <w:rsid w:val="00C175DE"/>
    <w:rsid w:val="00C177EF"/>
    <w:rsid w:val="00C2048A"/>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27899"/>
    <w:rsid w:val="00C3058D"/>
    <w:rsid w:val="00C31598"/>
    <w:rsid w:val="00C321B6"/>
    <w:rsid w:val="00C32EB9"/>
    <w:rsid w:val="00C32FD1"/>
    <w:rsid w:val="00C3477B"/>
    <w:rsid w:val="00C349AE"/>
    <w:rsid w:val="00C34B2E"/>
    <w:rsid w:val="00C353DE"/>
    <w:rsid w:val="00C358B7"/>
    <w:rsid w:val="00C3613B"/>
    <w:rsid w:val="00C3711E"/>
    <w:rsid w:val="00C372A0"/>
    <w:rsid w:val="00C37D62"/>
    <w:rsid w:val="00C37E9D"/>
    <w:rsid w:val="00C40168"/>
    <w:rsid w:val="00C40AEE"/>
    <w:rsid w:val="00C41189"/>
    <w:rsid w:val="00C4126C"/>
    <w:rsid w:val="00C41ACD"/>
    <w:rsid w:val="00C4261C"/>
    <w:rsid w:val="00C428E6"/>
    <w:rsid w:val="00C42E54"/>
    <w:rsid w:val="00C42F28"/>
    <w:rsid w:val="00C433AB"/>
    <w:rsid w:val="00C4373F"/>
    <w:rsid w:val="00C4383D"/>
    <w:rsid w:val="00C443F9"/>
    <w:rsid w:val="00C44AEB"/>
    <w:rsid w:val="00C45066"/>
    <w:rsid w:val="00C45135"/>
    <w:rsid w:val="00C45C83"/>
    <w:rsid w:val="00C45E6D"/>
    <w:rsid w:val="00C46051"/>
    <w:rsid w:val="00C46089"/>
    <w:rsid w:val="00C465B7"/>
    <w:rsid w:val="00C4660F"/>
    <w:rsid w:val="00C466C0"/>
    <w:rsid w:val="00C4684B"/>
    <w:rsid w:val="00C469F8"/>
    <w:rsid w:val="00C46DD9"/>
    <w:rsid w:val="00C4792F"/>
    <w:rsid w:val="00C5152A"/>
    <w:rsid w:val="00C5197C"/>
    <w:rsid w:val="00C51D15"/>
    <w:rsid w:val="00C51D6F"/>
    <w:rsid w:val="00C52FC6"/>
    <w:rsid w:val="00C530A9"/>
    <w:rsid w:val="00C5333C"/>
    <w:rsid w:val="00C53572"/>
    <w:rsid w:val="00C535B1"/>
    <w:rsid w:val="00C5411F"/>
    <w:rsid w:val="00C54835"/>
    <w:rsid w:val="00C5483E"/>
    <w:rsid w:val="00C562C9"/>
    <w:rsid w:val="00C566D6"/>
    <w:rsid w:val="00C56D67"/>
    <w:rsid w:val="00C571BD"/>
    <w:rsid w:val="00C572EF"/>
    <w:rsid w:val="00C574C9"/>
    <w:rsid w:val="00C579FB"/>
    <w:rsid w:val="00C57C12"/>
    <w:rsid w:val="00C57C5E"/>
    <w:rsid w:val="00C60100"/>
    <w:rsid w:val="00C61C12"/>
    <w:rsid w:val="00C62015"/>
    <w:rsid w:val="00C625E6"/>
    <w:rsid w:val="00C6298B"/>
    <w:rsid w:val="00C6316E"/>
    <w:rsid w:val="00C632F6"/>
    <w:rsid w:val="00C6358E"/>
    <w:rsid w:val="00C64100"/>
    <w:rsid w:val="00C646B3"/>
    <w:rsid w:val="00C64D48"/>
    <w:rsid w:val="00C65612"/>
    <w:rsid w:val="00C65D66"/>
    <w:rsid w:val="00C66B22"/>
    <w:rsid w:val="00C6721E"/>
    <w:rsid w:val="00C67DDA"/>
    <w:rsid w:val="00C703E5"/>
    <w:rsid w:val="00C71A42"/>
    <w:rsid w:val="00C71A7F"/>
    <w:rsid w:val="00C71AA8"/>
    <w:rsid w:val="00C726E3"/>
    <w:rsid w:val="00C72FC2"/>
    <w:rsid w:val="00C730A6"/>
    <w:rsid w:val="00C737B6"/>
    <w:rsid w:val="00C744BC"/>
    <w:rsid w:val="00C7634A"/>
    <w:rsid w:val="00C7675B"/>
    <w:rsid w:val="00C76773"/>
    <w:rsid w:val="00C76F81"/>
    <w:rsid w:val="00C778DB"/>
    <w:rsid w:val="00C77A88"/>
    <w:rsid w:val="00C80194"/>
    <w:rsid w:val="00C801C3"/>
    <w:rsid w:val="00C805A4"/>
    <w:rsid w:val="00C807CF"/>
    <w:rsid w:val="00C80AB8"/>
    <w:rsid w:val="00C8148D"/>
    <w:rsid w:val="00C81507"/>
    <w:rsid w:val="00C82136"/>
    <w:rsid w:val="00C831EC"/>
    <w:rsid w:val="00C834BB"/>
    <w:rsid w:val="00C83DF5"/>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59D"/>
    <w:rsid w:val="00C96860"/>
    <w:rsid w:val="00C96B16"/>
    <w:rsid w:val="00C96BAE"/>
    <w:rsid w:val="00C972FF"/>
    <w:rsid w:val="00C979A6"/>
    <w:rsid w:val="00C97DAD"/>
    <w:rsid w:val="00CA0E2D"/>
    <w:rsid w:val="00CA12DC"/>
    <w:rsid w:val="00CA14C9"/>
    <w:rsid w:val="00CA1594"/>
    <w:rsid w:val="00CA2583"/>
    <w:rsid w:val="00CA2C96"/>
    <w:rsid w:val="00CA2F5A"/>
    <w:rsid w:val="00CA2FD9"/>
    <w:rsid w:val="00CA3884"/>
    <w:rsid w:val="00CA395A"/>
    <w:rsid w:val="00CA4488"/>
    <w:rsid w:val="00CA474E"/>
    <w:rsid w:val="00CA52FE"/>
    <w:rsid w:val="00CA531E"/>
    <w:rsid w:val="00CA5796"/>
    <w:rsid w:val="00CA5C41"/>
    <w:rsid w:val="00CA5DEC"/>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75D"/>
    <w:rsid w:val="00CB2AFD"/>
    <w:rsid w:val="00CB2CE5"/>
    <w:rsid w:val="00CB367A"/>
    <w:rsid w:val="00CB4307"/>
    <w:rsid w:val="00CB436E"/>
    <w:rsid w:val="00CB48E4"/>
    <w:rsid w:val="00CB4959"/>
    <w:rsid w:val="00CB4A7D"/>
    <w:rsid w:val="00CB500D"/>
    <w:rsid w:val="00CB5082"/>
    <w:rsid w:val="00CB5661"/>
    <w:rsid w:val="00CB5745"/>
    <w:rsid w:val="00CB66B8"/>
    <w:rsid w:val="00CB6B7A"/>
    <w:rsid w:val="00CB7342"/>
    <w:rsid w:val="00CB7378"/>
    <w:rsid w:val="00CC0892"/>
    <w:rsid w:val="00CC0B79"/>
    <w:rsid w:val="00CC196E"/>
    <w:rsid w:val="00CC19FC"/>
    <w:rsid w:val="00CC1B99"/>
    <w:rsid w:val="00CC2EF6"/>
    <w:rsid w:val="00CC323E"/>
    <w:rsid w:val="00CC3681"/>
    <w:rsid w:val="00CC3864"/>
    <w:rsid w:val="00CC4602"/>
    <w:rsid w:val="00CC4649"/>
    <w:rsid w:val="00CC4AC7"/>
    <w:rsid w:val="00CC4C9E"/>
    <w:rsid w:val="00CC5223"/>
    <w:rsid w:val="00CC5B84"/>
    <w:rsid w:val="00CC5D76"/>
    <w:rsid w:val="00CC66A0"/>
    <w:rsid w:val="00CC6AEE"/>
    <w:rsid w:val="00CC6E36"/>
    <w:rsid w:val="00CC6F4E"/>
    <w:rsid w:val="00CC7222"/>
    <w:rsid w:val="00CC7741"/>
    <w:rsid w:val="00CC7D81"/>
    <w:rsid w:val="00CD0060"/>
    <w:rsid w:val="00CD0CBF"/>
    <w:rsid w:val="00CD0D74"/>
    <w:rsid w:val="00CD0E70"/>
    <w:rsid w:val="00CD0EBF"/>
    <w:rsid w:val="00CD16CF"/>
    <w:rsid w:val="00CD2437"/>
    <w:rsid w:val="00CD27D4"/>
    <w:rsid w:val="00CD37F8"/>
    <w:rsid w:val="00CD4898"/>
    <w:rsid w:val="00CD4F9A"/>
    <w:rsid w:val="00CD64E2"/>
    <w:rsid w:val="00CD6B77"/>
    <w:rsid w:val="00CD6BE6"/>
    <w:rsid w:val="00CD6ECF"/>
    <w:rsid w:val="00CD7EA6"/>
    <w:rsid w:val="00CE0167"/>
    <w:rsid w:val="00CE0756"/>
    <w:rsid w:val="00CE0C60"/>
    <w:rsid w:val="00CE0CED"/>
    <w:rsid w:val="00CE1716"/>
    <w:rsid w:val="00CE2718"/>
    <w:rsid w:val="00CE2BD2"/>
    <w:rsid w:val="00CE2CE0"/>
    <w:rsid w:val="00CE334A"/>
    <w:rsid w:val="00CE3768"/>
    <w:rsid w:val="00CE377C"/>
    <w:rsid w:val="00CE3B7D"/>
    <w:rsid w:val="00CE3CB8"/>
    <w:rsid w:val="00CE4221"/>
    <w:rsid w:val="00CE44E3"/>
    <w:rsid w:val="00CE49CC"/>
    <w:rsid w:val="00CE4A39"/>
    <w:rsid w:val="00CE4F65"/>
    <w:rsid w:val="00CE5AB1"/>
    <w:rsid w:val="00CE63B4"/>
    <w:rsid w:val="00CE6613"/>
    <w:rsid w:val="00CE68D4"/>
    <w:rsid w:val="00CE7FAD"/>
    <w:rsid w:val="00CF066C"/>
    <w:rsid w:val="00CF0BEE"/>
    <w:rsid w:val="00CF0DC4"/>
    <w:rsid w:val="00CF0EF0"/>
    <w:rsid w:val="00CF0F2D"/>
    <w:rsid w:val="00CF15E7"/>
    <w:rsid w:val="00CF208E"/>
    <w:rsid w:val="00CF3FEE"/>
    <w:rsid w:val="00CF4241"/>
    <w:rsid w:val="00CF42E6"/>
    <w:rsid w:val="00CF4D72"/>
    <w:rsid w:val="00CF4E4B"/>
    <w:rsid w:val="00CF5A3E"/>
    <w:rsid w:val="00CF7343"/>
    <w:rsid w:val="00D0068A"/>
    <w:rsid w:val="00D008DC"/>
    <w:rsid w:val="00D0148E"/>
    <w:rsid w:val="00D015CA"/>
    <w:rsid w:val="00D02999"/>
    <w:rsid w:val="00D02D7A"/>
    <w:rsid w:val="00D030F2"/>
    <w:rsid w:val="00D035AD"/>
    <w:rsid w:val="00D0396C"/>
    <w:rsid w:val="00D04131"/>
    <w:rsid w:val="00D050E2"/>
    <w:rsid w:val="00D05F45"/>
    <w:rsid w:val="00D06270"/>
    <w:rsid w:val="00D07248"/>
    <w:rsid w:val="00D07386"/>
    <w:rsid w:val="00D07BCE"/>
    <w:rsid w:val="00D10A8A"/>
    <w:rsid w:val="00D11241"/>
    <w:rsid w:val="00D112A6"/>
    <w:rsid w:val="00D11CE9"/>
    <w:rsid w:val="00D125D2"/>
    <w:rsid w:val="00D12DB0"/>
    <w:rsid w:val="00D13FD5"/>
    <w:rsid w:val="00D1400E"/>
    <w:rsid w:val="00D14099"/>
    <w:rsid w:val="00D14532"/>
    <w:rsid w:val="00D15A8B"/>
    <w:rsid w:val="00D15BAA"/>
    <w:rsid w:val="00D1628A"/>
    <w:rsid w:val="00D16723"/>
    <w:rsid w:val="00D16C5F"/>
    <w:rsid w:val="00D16E82"/>
    <w:rsid w:val="00D16EA8"/>
    <w:rsid w:val="00D176ED"/>
    <w:rsid w:val="00D17A91"/>
    <w:rsid w:val="00D202A9"/>
    <w:rsid w:val="00D203C1"/>
    <w:rsid w:val="00D20F3D"/>
    <w:rsid w:val="00D214B4"/>
    <w:rsid w:val="00D219F2"/>
    <w:rsid w:val="00D21E5F"/>
    <w:rsid w:val="00D238E0"/>
    <w:rsid w:val="00D238ED"/>
    <w:rsid w:val="00D23C81"/>
    <w:rsid w:val="00D23D62"/>
    <w:rsid w:val="00D2429E"/>
    <w:rsid w:val="00D246DF"/>
    <w:rsid w:val="00D24E3C"/>
    <w:rsid w:val="00D2651A"/>
    <w:rsid w:val="00D27C1C"/>
    <w:rsid w:val="00D303F6"/>
    <w:rsid w:val="00D308C4"/>
    <w:rsid w:val="00D30A4F"/>
    <w:rsid w:val="00D30D3F"/>
    <w:rsid w:val="00D31281"/>
    <w:rsid w:val="00D31591"/>
    <w:rsid w:val="00D31BDF"/>
    <w:rsid w:val="00D3250D"/>
    <w:rsid w:val="00D3250F"/>
    <w:rsid w:val="00D33D18"/>
    <w:rsid w:val="00D33D44"/>
    <w:rsid w:val="00D343C8"/>
    <w:rsid w:val="00D353E6"/>
    <w:rsid w:val="00D35AC9"/>
    <w:rsid w:val="00D363C8"/>
    <w:rsid w:val="00D36B97"/>
    <w:rsid w:val="00D37A86"/>
    <w:rsid w:val="00D409E4"/>
    <w:rsid w:val="00D40D82"/>
    <w:rsid w:val="00D40DF3"/>
    <w:rsid w:val="00D4177D"/>
    <w:rsid w:val="00D41BCF"/>
    <w:rsid w:val="00D41D75"/>
    <w:rsid w:val="00D41E38"/>
    <w:rsid w:val="00D41F45"/>
    <w:rsid w:val="00D433AC"/>
    <w:rsid w:val="00D4456A"/>
    <w:rsid w:val="00D44FEE"/>
    <w:rsid w:val="00D45433"/>
    <w:rsid w:val="00D45F18"/>
    <w:rsid w:val="00D47417"/>
    <w:rsid w:val="00D47CAA"/>
    <w:rsid w:val="00D511CC"/>
    <w:rsid w:val="00D513A8"/>
    <w:rsid w:val="00D52A7B"/>
    <w:rsid w:val="00D54384"/>
    <w:rsid w:val="00D543E9"/>
    <w:rsid w:val="00D55040"/>
    <w:rsid w:val="00D55AB9"/>
    <w:rsid w:val="00D568ED"/>
    <w:rsid w:val="00D57009"/>
    <w:rsid w:val="00D572D6"/>
    <w:rsid w:val="00D574E8"/>
    <w:rsid w:val="00D578B9"/>
    <w:rsid w:val="00D57D2B"/>
    <w:rsid w:val="00D6156A"/>
    <w:rsid w:val="00D621D4"/>
    <w:rsid w:val="00D624B9"/>
    <w:rsid w:val="00D62592"/>
    <w:rsid w:val="00D62681"/>
    <w:rsid w:val="00D62701"/>
    <w:rsid w:val="00D629A3"/>
    <w:rsid w:val="00D62E98"/>
    <w:rsid w:val="00D62EFA"/>
    <w:rsid w:val="00D635E8"/>
    <w:rsid w:val="00D63733"/>
    <w:rsid w:val="00D63BF1"/>
    <w:rsid w:val="00D63C1B"/>
    <w:rsid w:val="00D63C42"/>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1EB"/>
    <w:rsid w:val="00D73853"/>
    <w:rsid w:val="00D739E6"/>
    <w:rsid w:val="00D74119"/>
    <w:rsid w:val="00D744FF"/>
    <w:rsid w:val="00D746A9"/>
    <w:rsid w:val="00D7564E"/>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496"/>
    <w:rsid w:val="00D849C1"/>
    <w:rsid w:val="00D84B50"/>
    <w:rsid w:val="00D84F2C"/>
    <w:rsid w:val="00D8521B"/>
    <w:rsid w:val="00D85FDD"/>
    <w:rsid w:val="00D905EA"/>
    <w:rsid w:val="00D90B00"/>
    <w:rsid w:val="00D912E8"/>
    <w:rsid w:val="00D91350"/>
    <w:rsid w:val="00D9188C"/>
    <w:rsid w:val="00D9212F"/>
    <w:rsid w:val="00D922C3"/>
    <w:rsid w:val="00D9293C"/>
    <w:rsid w:val="00D92F39"/>
    <w:rsid w:val="00D93080"/>
    <w:rsid w:val="00D933F4"/>
    <w:rsid w:val="00D93CA3"/>
    <w:rsid w:val="00D942DF"/>
    <w:rsid w:val="00D94745"/>
    <w:rsid w:val="00D948A7"/>
    <w:rsid w:val="00D94BF5"/>
    <w:rsid w:val="00D95BF4"/>
    <w:rsid w:val="00DA20DB"/>
    <w:rsid w:val="00DA264A"/>
    <w:rsid w:val="00DA2788"/>
    <w:rsid w:val="00DA364B"/>
    <w:rsid w:val="00DA37BA"/>
    <w:rsid w:val="00DA3AEC"/>
    <w:rsid w:val="00DA402D"/>
    <w:rsid w:val="00DA46D5"/>
    <w:rsid w:val="00DA4AA4"/>
    <w:rsid w:val="00DA4D52"/>
    <w:rsid w:val="00DA5063"/>
    <w:rsid w:val="00DA5352"/>
    <w:rsid w:val="00DA5721"/>
    <w:rsid w:val="00DA7284"/>
    <w:rsid w:val="00DA78F3"/>
    <w:rsid w:val="00DA7FE7"/>
    <w:rsid w:val="00DB01E8"/>
    <w:rsid w:val="00DB0A56"/>
    <w:rsid w:val="00DB1239"/>
    <w:rsid w:val="00DB12A2"/>
    <w:rsid w:val="00DB2B7A"/>
    <w:rsid w:val="00DB2D1E"/>
    <w:rsid w:val="00DB2F89"/>
    <w:rsid w:val="00DB3ECB"/>
    <w:rsid w:val="00DB3FEA"/>
    <w:rsid w:val="00DB42FA"/>
    <w:rsid w:val="00DB46B9"/>
    <w:rsid w:val="00DB4827"/>
    <w:rsid w:val="00DB5A77"/>
    <w:rsid w:val="00DB6279"/>
    <w:rsid w:val="00DB6980"/>
    <w:rsid w:val="00DB7520"/>
    <w:rsid w:val="00DB75E3"/>
    <w:rsid w:val="00DB7BD1"/>
    <w:rsid w:val="00DC00BC"/>
    <w:rsid w:val="00DC03A1"/>
    <w:rsid w:val="00DC0853"/>
    <w:rsid w:val="00DC10DF"/>
    <w:rsid w:val="00DC1B1B"/>
    <w:rsid w:val="00DC2291"/>
    <w:rsid w:val="00DC3D78"/>
    <w:rsid w:val="00DC3E36"/>
    <w:rsid w:val="00DC414A"/>
    <w:rsid w:val="00DC4FA0"/>
    <w:rsid w:val="00DC4FEC"/>
    <w:rsid w:val="00DC57A7"/>
    <w:rsid w:val="00DC5AE8"/>
    <w:rsid w:val="00DC6938"/>
    <w:rsid w:val="00DC712B"/>
    <w:rsid w:val="00DC7894"/>
    <w:rsid w:val="00DC7A55"/>
    <w:rsid w:val="00DD033E"/>
    <w:rsid w:val="00DD05DA"/>
    <w:rsid w:val="00DD0F58"/>
    <w:rsid w:val="00DD1054"/>
    <w:rsid w:val="00DD14E6"/>
    <w:rsid w:val="00DD290C"/>
    <w:rsid w:val="00DD35BC"/>
    <w:rsid w:val="00DD367D"/>
    <w:rsid w:val="00DD39C7"/>
    <w:rsid w:val="00DD4360"/>
    <w:rsid w:val="00DD4C58"/>
    <w:rsid w:val="00DD6311"/>
    <w:rsid w:val="00DD7A56"/>
    <w:rsid w:val="00DD7F8E"/>
    <w:rsid w:val="00DE02E2"/>
    <w:rsid w:val="00DE051B"/>
    <w:rsid w:val="00DE0D10"/>
    <w:rsid w:val="00DE0DD8"/>
    <w:rsid w:val="00DE10A5"/>
    <w:rsid w:val="00DE1233"/>
    <w:rsid w:val="00DE147A"/>
    <w:rsid w:val="00DE15E2"/>
    <w:rsid w:val="00DE1AF7"/>
    <w:rsid w:val="00DE2254"/>
    <w:rsid w:val="00DE28FE"/>
    <w:rsid w:val="00DE2906"/>
    <w:rsid w:val="00DE3286"/>
    <w:rsid w:val="00DE34FD"/>
    <w:rsid w:val="00DE4110"/>
    <w:rsid w:val="00DE520D"/>
    <w:rsid w:val="00DE5682"/>
    <w:rsid w:val="00DE5D43"/>
    <w:rsid w:val="00DE6D2B"/>
    <w:rsid w:val="00DE73D4"/>
    <w:rsid w:val="00DE7811"/>
    <w:rsid w:val="00DE7813"/>
    <w:rsid w:val="00DF0C2E"/>
    <w:rsid w:val="00DF0E39"/>
    <w:rsid w:val="00DF118B"/>
    <w:rsid w:val="00DF15CA"/>
    <w:rsid w:val="00DF1738"/>
    <w:rsid w:val="00DF28F2"/>
    <w:rsid w:val="00DF2FC3"/>
    <w:rsid w:val="00DF3AED"/>
    <w:rsid w:val="00DF3CEE"/>
    <w:rsid w:val="00DF3F89"/>
    <w:rsid w:val="00DF400D"/>
    <w:rsid w:val="00DF48E9"/>
    <w:rsid w:val="00DF4A8C"/>
    <w:rsid w:val="00DF4B04"/>
    <w:rsid w:val="00DF4EB7"/>
    <w:rsid w:val="00DF50C5"/>
    <w:rsid w:val="00DF6D7B"/>
    <w:rsid w:val="00DF6F3F"/>
    <w:rsid w:val="00DF7888"/>
    <w:rsid w:val="00DF7962"/>
    <w:rsid w:val="00E00FE0"/>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1994"/>
    <w:rsid w:val="00E134AB"/>
    <w:rsid w:val="00E13599"/>
    <w:rsid w:val="00E14562"/>
    <w:rsid w:val="00E14FF2"/>
    <w:rsid w:val="00E154DF"/>
    <w:rsid w:val="00E155C0"/>
    <w:rsid w:val="00E156E8"/>
    <w:rsid w:val="00E161AF"/>
    <w:rsid w:val="00E16A19"/>
    <w:rsid w:val="00E16F91"/>
    <w:rsid w:val="00E17556"/>
    <w:rsid w:val="00E17FE7"/>
    <w:rsid w:val="00E20102"/>
    <w:rsid w:val="00E20DB7"/>
    <w:rsid w:val="00E20EAD"/>
    <w:rsid w:val="00E21A09"/>
    <w:rsid w:val="00E22E94"/>
    <w:rsid w:val="00E23D7B"/>
    <w:rsid w:val="00E23D9C"/>
    <w:rsid w:val="00E23E08"/>
    <w:rsid w:val="00E2407C"/>
    <w:rsid w:val="00E240C7"/>
    <w:rsid w:val="00E24267"/>
    <w:rsid w:val="00E251C4"/>
    <w:rsid w:val="00E254DE"/>
    <w:rsid w:val="00E25F23"/>
    <w:rsid w:val="00E26657"/>
    <w:rsid w:val="00E26AEB"/>
    <w:rsid w:val="00E26FB5"/>
    <w:rsid w:val="00E27537"/>
    <w:rsid w:val="00E27A85"/>
    <w:rsid w:val="00E27BCD"/>
    <w:rsid w:val="00E27FDC"/>
    <w:rsid w:val="00E303EE"/>
    <w:rsid w:val="00E30E2F"/>
    <w:rsid w:val="00E30EF1"/>
    <w:rsid w:val="00E316C2"/>
    <w:rsid w:val="00E318B1"/>
    <w:rsid w:val="00E319F9"/>
    <w:rsid w:val="00E31C0B"/>
    <w:rsid w:val="00E31CC0"/>
    <w:rsid w:val="00E3259C"/>
    <w:rsid w:val="00E3263C"/>
    <w:rsid w:val="00E32DD5"/>
    <w:rsid w:val="00E33156"/>
    <w:rsid w:val="00E33A4B"/>
    <w:rsid w:val="00E33C07"/>
    <w:rsid w:val="00E3400B"/>
    <w:rsid w:val="00E345B7"/>
    <w:rsid w:val="00E34973"/>
    <w:rsid w:val="00E34B9D"/>
    <w:rsid w:val="00E357D3"/>
    <w:rsid w:val="00E35CB6"/>
    <w:rsid w:val="00E35CF5"/>
    <w:rsid w:val="00E35E95"/>
    <w:rsid w:val="00E36905"/>
    <w:rsid w:val="00E37171"/>
    <w:rsid w:val="00E4006A"/>
    <w:rsid w:val="00E409A7"/>
    <w:rsid w:val="00E41068"/>
    <w:rsid w:val="00E41167"/>
    <w:rsid w:val="00E4117D"/>
    <w:rsid w:val="00E41259"/>
    <w:rsid w:val="00E42F02"/>
    <w:rsid w:val="00E431D1"/>
    <w:rsid w:val="00E43B83"/>
    <w:rsid w:val="00E446A5"/>
    <w:rsid w:val="00E44BAA"/>
    <w:rsid w:val="00E45FC4"/>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712"/>
    <w:rsid w:val="00E579CD"/>
    <w:rsid w:val="00E600D3"/>
    <w:rsid w:val="00E607DB"/>
    <w:rsid w:val="00E61255"/>
    <w:rsid w:val="00E6206A"/>
    <w:rsid w:val="00E62BC4"/>
    <w:rsid w:val="00E63984"/>
    <w:rsid w:val="00E63D1C"/>
    <w:rsid w:val="00E64551"/>
    <w:rsid w:val="00E646F9"/>
    <w:rsid w:val="00E64830"/>
    <w:rsid w:val="00E64CCC"/>
    <w:rsid w:val="00E65F5F"/>
    <w:rsid w:val="00E66087"/>
    <w:rsid w:val="00E668CC"/>
    <w:rsid w:val="00E66F0D"/>
    <w:rsid w:val="00E67091"/>
    <w:rsid w:val="00E67B25"/>
    <w:rsid w:val="00E702AC"/>
    <w:rsid w:val="00E702E0"/>
    <w:rsid w:val="00E70DDA"/>
    <w:rsid w:val="00E7100E"/>
    <w:rsid w:val="00E710DF"/>
    <w:rsid w:val="00E7196C"/>
    <w:rsid w:val="00E71EB9"/>
    <w:rsid w:val="00E71F46"/>
    <w:rsid w:val="00E721EC"/>
    <w:rsid w:val="00E72607"/>
    <w:rsid w:val="00E72B93"/>
    <w:rsid w:val="00E72B9D"/>
    <w:rsid w:val="00E72E76"/>
    <w:rsid w:val="00E72E77"/>
    <w:rsid w:val="00E72EFE"/>
    <w:rsid w:val="00E73DFD"/>
    <w:rsid w:val="00E7419A"/>
    <w:rsid w:val="00E74270"/>
    <w:rsid w:val="00E7470D"/>
    <w:rsid w:val="00E748B7"/>
    <w:rsid w:val="00E74E0D"/>
    <w:rsid w:val="00E7500D"/>
    <w:rsid w:val="00E7558B"/>
    <w:rsid w:val="00E75687"/>
    <w:rsid w:val="00E7620C"/>
    <w:rsid w:val="00E762F8"/>
    <w:rsid w:val="00E766EB"/>
    <w:rsid w:val="00E76AEF"/>
    <w:rsid w:val="00E77153"/>
    <w:rsid w:val="00E77288"/>
    <w:rsid w:val="00E7760C"/>
    <w:rsid w:val="00E7767D"/>
    <w:rsid w:val="00E77F1E"/>
    <w:rsid w:val="00E804FE"/>
    <w:rsid w:val="00E80675"/>
    <w:rsid w:val="00E8080C"/>
    <w:rsid w:val="00E80C25"/>
    <w:rsid w:val="00E80F06"/>
    <w:rsid w:val="00E8102F"/>
    <w:rsid w:val="00E8145C"/>
    <w:rsid w:val="00E81BC1"/>
    <w:rsid w:val="00E822D9"/>
    <w:rsid w:val="00E83155"/>
    <w:rsid w:val="00E849A8"/>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2E6"/>
    <w:rsid w:val="00E97819"/>
    <w:rsid w:val="00EA0170"/>
    <w:rsid w:val="00EA021C"/>
    <w:rsid w:val="00EA0C12"/>
    <w:rsid w:val="00EA0C6C"/>
    <w:rsid w:val="00EA0F2B"/>
    <w:rsid w:val="00EA1157"/>
    <w:rsid w:val="00EA13B8"/>
    <w:rsid w:val="00EA19D3"/>
    <w:rsid w:val="00EA1A1E"/>
    <w:rsid w:val="00EA1A71"/>
    <w:rsid w:val="00EA1A82"/>
    <w:rsid w:val="00EA1BE9"/>
    <w:rsid w:val="00EA26D9"/>
    <w:rsid w:val="00EA2A32"/>
    <w:rsid w:val="00EA31A6"/>
    <w:rsid w:val="00EA31D5"/>
    <w:rsid w:val="00EA35EC"/>
    <w:rsid w:val="00EA38BA"/>
    <w:rsid w:val="00EA3E9A"/>
    <w:rsid w:val="00EA3EB2"/>
    <w:rsid w:val="00EA41CB"/>
    <w:rsid w:val="00EA4575"/>
    <w:rsid w:val="00EA466D"/>
    <w:rsid w:val="00EA4AE5"/>
    <w:rsid w:val="00EA61BC"/>
    <w:rsid w:val="00EA6918"/>
    <w:rsid w:val="00EB0AE5"/>
    <w:rsid w:val="00EB0E46"/>
    <w:rsid w:val="00EB1236"/>
    <w:rsid w:val="00EB18FB"/>
    <w:rsid w:val="00EB1A89"/>
    <w:rsid w:val="00EB1C31"/>
    <w:rsid w:val="00EB2124"/>
    <w:rsid w:val="00EB2234"/>
    <w:rsid w:val="00EB2905"/>
    <w:rsid w:val="00EB2AD8"/>
    <w:rsid w:val="00EB2B3F"/>
    <w:rsid w:val="00EB3514"/>
    <w:rsid w:val="00EB3A5F"/>
    <w:rsid w:val="00EB3E62"/>
    <w:rsid w:val="00EB3EC8"/>
    <w:rsid w:val="00EB4202"/>
    <w:rsid w:val="00EB42F3"/>
    <w:rsid w:val="00EB4DA8"/>
    <w:rsid w:val="00EB5877"/>
    <w:rsid w:val="00EB5B79"/>
    <w:rsid w:val="00EB5DA1"/>
    <w:rsid w:val="00EB6203"/>
    <w:rsid w:val="00EB65CA"/>
    <w:rsid w:val="00EB6C66"/>
    <w:rsid w:val="00EC05F0"/>
    <w:rsid w:val="00EC16BB"/>
    <w:rsid w:val="00EC1C09"/>
    <w:rsid w:val="00EC1F23"/>
    <w:rsid w:val="00EC2E49"/>
    <w:rsid w:val="00EC36C8"/>
    <w:rsid w:val="00EC3F3C"/>
    <w:rsid w:val="00EC3F66"/>
    <w:rsid w:val="00EC415B"/>
    <w:rsid w:val="00EC4C52"/>
    <w:rsid w:val="00EC5B54"/>
    <w:rsid w:val="00EC5BFE"/>
    <w:rsid w:val="00EC5C9D"/>
    <w:rsid w:val="00EC6071"/>
    <w:rsid w:val="00EC699A"/>
    <w:rsid w:val="00EC6A66"/>
    <w:rsid w:val="00EC6ACF"/>
    <w:rsid w:val="00EC6DA4"/>
    <w:rsid w:val="00EC71FB"/>
    <w:rsid w:val="00EC7761"/>
    <w:rsid w:val="00ED091B"/>
    <w:rsid w:val="00ED0F02"/>
    <w:rsid w:val="00ED12C0"/>
    <w:rsid w:val="00ED13E7"/>
    <w:rsid w:val="00ED1DE2"/>
    <w:rsid w:val="00ED1E1D"/>
    <w:rsid w:val="00ED2410"/>
    <w:rsid w:val="00ED2934"/>
    <w:rsid w:val="00ED3095"/>
    <w:rsid w:val="00ED3854"/>
    <w:rsid w:val="00ED3897"/>
    <w:rsid w:val="00ED3E5A"/>
    <w:rsid w:val="00ED3FD8"/>
    <w:rsid w:val="00ED40BF"/>
    <w:rsid w:val="00ED5504"/>
    <w:rsid w:val="00ED589D"/>
    <w:rsid w:val="00ED5B76"/>
    <w:rsid w:val="00ED67C0"/>
    <w:rsid w:val="00ED67E8"/>
    <w:rsid w:val="00ED6F81"/>
    <w:rsid w:val="00ED76AC"/>
    <w:rsid w:val="00EE0216"/>
    <w:rsid w:val="00EE035D"/>
    <w:rsid w:val="00EE06AF"/>
    <w:rsid w:val="00EE08CF"/>
    <w:rsid w:val="00EE13B0"/>
    <w:rsid w:val="00EE19D2"/>
    <w:rsid w:val="00EE2DD6"/>
    <w:rsid w:val="00EE30F1"/>
    <w:rsid w:val="00EE3168"/>
    <w:rsid w:val="00EE3432"/>
    <w:rsid w:val="00EE43E1"/>
    <w:rsid w:val="00EE450B"/>
    <w:rsid w:val="00EE45C1"/>
    <w:rsid w:val="00EE52D4"/>
    <w:rsid w:val="00EE53FF"/>
    <w:rsid w:val="00EE5562"/>
    <w:rsid w:val="00EE5D3F"/>
    <w:rsid w:val="00EE7EA5"/>
    <w:rsid w:val="00EE7F26"/>
    <w:rsid w:val="00EF001C"/>
    <w:rsid w:val="00EF018B"/>
    <w:rsid w:val="00EF02A6"/>
    <w:rsid w:val="00EF0595"/>
    <w:rsid w:val="00EF05F4"/>
    <w:rsid w:val="00EF0617"/>
    <w:rsid w:val="00EF0917"/>
    <w:rsid w:val="00EF0ACF"/>
    <w:rsid w:val="00EF0B6B"/>
    <w:rsid w:val="00EF0E92"/>
    <w:rsid w:val="00EF0EFD"/>
    <w:rsid w:val="00EF1978"/>
    <w:rsid w:val="00EF1D71"/>
    <w:rsid w:val="00EF2279"/>
    <w:rsid w:val="00EF228F"/>
    <w:rsid w:val="00EF2E07"/>
    <w:rsid w:val="00EF2EE6"/>
    <w:rsid w:val="00EF4590"/>
    <w:rsid w:val="00EF49C7"/>
    <w:rsid w:val="00EF4DB9"/>
    <w:rsid w:val="00EF5637"/>
    <w:rsid w:val="00EF56BF"/>
    <w:rsid w:val="00EF69A0"/>
    <w:rsid w:val="00EF6A68"/>
    <w:rsid w:val="00EF6AE8"/>
    <w:rsid w:val="00EF6E9B"/>
    <w:rsid w:val="00EF762C"/>
    <w:rsid w:val="00EF7CDD"/>
    <w:rsid w:val="00EF7D7B"/>
    <w:rsid w:val="00EF7EF4"/>
    <w:rsid w:val="00F003C2"/>
    <w:rsid w:val="00F00D1D"/>
    <w:rsid w:val="00F0154C"/>
    <w:rsid w:val="00F0182C"/>
    <w:rsid w:val="00F0242E"/>
    <w:rsid w:val="00F02C79"/>
    <w:rsid w:val="00F02E9F"/>
    <w:rsid w:val="00F037D5"/>
    <w:rsid w:val="00F039AC"/>
    <w:rsid w:val="00F043EA"/>
    <w:rsid w:val="00F05845"/>
    <w:rsid w:val="00F05D80"/>
    <w:rsid w:val="00F05DA1"/>
    <w:rsid w:val="00F0652C"/>
    <w:rsid w:val="00F06A29"/>
    <w:rsid w:val="00F06EC5"/>
    <w:rsid w:val="00F07323"/>
    <w:rsid w:val="00F079FA"/>
    <w:rsid w:val="00F07ACA"/>
    <w:rsid w:val="00F1020A"/>
    <w:rsid w:val="00F10241"/>
    <w:rsid w:val="00F10B26"/>
    <w:rsid w:val="00F11BEC"/>
    <w:rsid w:val="00F1314F"/>
    <w:rsid w:val="00F135DC"/>
    <w:rsid w:val="00F14B59"/>
    <w:rsid w:val="00F14E3B"/>
    <w:rsid w:val="00F15585"/>
    <w:rsid w:val="00F16141"/>
    <w:rsid w:val="00F20EA0"/>
    <w:rsid w:val="00F214B1"/>
    <w:rsid w:val="00F215C0"/>
    <w:rsid w:val="00F21F1B"/>
    <w:rsid w:val="00F227E2"/>
    <w:rsid w:val="00F22928"/>
    <w:rsid w:val="00F23A1B"/>
    <w:rsid w:val="00F23DD6"/>
    <w:rsid w:val="00F24992"/>
    <w:rsid w:val="00F249BF"/>
    <w:rsid w:val="00F25A10"/>
    <w:rsid w:val="00F26A30"/>
    <w:rsid w:val="00F26AF3"/>
    <w:rsid w:val="00F2776F"/>
    <w:rsid w:val="00F27B29"/>
    <w:rsid w:val="00F30075"/>
    <w:rsid w:val="00F30B59"/>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4A76"/>
    <w:rsid w:val="00F4544C"/>
    <w:rsid w:val="00F4563D"/>
    <w:rsid w:val="00F463AB"/>
    <w:rsid w:val="00F46A5E"/>
    <w:rsid w:val="00F47150"/>
    <w:rsid w:val="00F4773C"/>
    <w:rsid w:val="00F4796F"/>
    <w:rsid w:val="00F47C7D"/>
    <w:rsid w:val="00F50111"/>
    <w:rsid w:val="00F5030D"/>
    <w:rsid w:val="00F50AE8"/>
    <w:rsid w:val="00F50DAE"/>
    <w:rsid w:val="00F51051"/>
    <w:rsid w:val="00F515B3"/>
    <w:rsid w:val="00F515DB"/>
    <w:rsid w:val="00F51B49"/>
    <w:rsid w:val="00F5260D"/>
    <w:rsid w:val="00F528E5"/>
    <w:rsid w:val="00F530ED"/>
    <w:rsid w:val="00F5340E"/>
    <w:rsid w:val="00F53459"/>
    <w:rsid w:val="00F534DE"/>
    <w:rsid w:val="00F53BF1"/>
    <w:rsid w:val="00F54CE5"/>
    <w:rsid w:val="00F55792"/>
    <w:rsid w:val="00F567A4"/>
    <w:rsid w:val="00F567DE"/>
    <w:rsid w:val="00F56A44"/>
    <w:rsid w:val="00F56FC9"/>
    <w:rsid w:val="00F57514"/>
    <w:rsid w:val="00F57D44"/>
    <w:rsid w:val="00F60259"/>
    <w:rsid w:val="00F611A6"/>
    <w:rsid w:val="00F613DA"/>
    <w:rsid w:val="00F6144D"/>
    <w:rsid w:val="00F61D29"/>
    <w:rsid w:val="00F6226C"/>
    <w:rsid w:val="00F6243F"/>
    <w:rsid w:val="00F62841"/>
    <w:rsid w:val="00F62B9E"/>
    <w:rsid w:val="00F62BB2"/>
    <w:rsid w:val="00F62BED"/>
    <w:rsid w:val="00F63129"/>
    <w:rsid w:val="00F6352F"/>
    <w:rsid w:val="00F643B6"/>
    <w:rsid w:val="00F6451A"/>
    <w:rsid w:val="00F64964"/>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954"/>
    <w:rsid w:val="00F73F9F"/>
    <w:rsid w:val="00F74167"/>
    <w:rsid w:val="00F745E1"/>
    <w:rsid w:val="00F74A4C"/>
    <w:rsid w:val="00F754FE"/>
    <w:rsid w:val="00F7568A"/>
    <w:rsid w:val="00F75701"/>
    <w:rsid w:val="00F75C4D"/>
    <w:rsid w:val="00F76E0E"/>
    <w:rsid w:val="00F76ED4"/>
    <w:rsid w:val="00F778D9"/>
    <w:rsid w:val="00F77BFA"/>
    <w:rsid w:val="00F77C13"/>
    <w:rsid w:val="00F77D20"/>
    <w:rsid w:val="00F8080D"/>
    <w:rsid w:val="00F8100D"/>
    <w:rsid w:val="00F812CC"/>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2E5"/>
    <w:rsid w:val="00F94F25"/>
    <w:rsid w:val="00F9515B"/>
    <w:rsid w:val="00F954CB"/>
    <w:rsid w:val="00F95B1B"/>
    <w:rsid w:val="00F95C64"/>
    <w:rsid w:val="00F96682"/>
    <w:rsid w:val="00F96D0C"/>
    <w:rsid w:val="00F9705E"/>
    <w:rsid w:val="00F97460"/>
    <w:rsid w:val="00F9755C"/>
    <w:rsid w:val="00F97D54"/>
    <w:rsid w:val="00FA19CB"/>
    <w:rsid w:val="00FA1B15"/>
    <w:rsid w:val="00FA1CB5"/>
    <w:rsid w:val="00FA1FC2"/>
    <w:rsid w:val="00FA2F75"/>
    <w:rsid w:val="00FA32B9"/>
    <w:rsid w:val="00FA3E46"/>
    <w:rsid w:val="00FA4070"/>
    <w:rsid w:val="00FA4A63"/>
    <w:rsid w:val="00FA4ABC"/>
    <w:rsid w:val="00FA4D81"/>
    <w:rsid w:val="00FA508F"/>
    <w:rsid w:val="00FA5EBA"/>
    <w:rsid w:val="00FA6250"/>
    <w:rsid w:val="00FA6395"/>
    <w:rsid w:val="00FA643D"/>
    <w:rsid w:val="00FA64CA"/>
    <w:rsid w:val="00FA6CB9"/>
    <w:rsid w:val="00FA73F8"/>
    <w:rsid w:val="00FA7E52"/>
    <w:rsid w:val="00FB03CE"/>
    <w:rsid w:val="00FB0BFB"/>
    <w:rsid w:val="00FB1E38"/>
    <w:rsid w:val="00FB2068"/>
    <w:rsid w:val="00FB257E"/>
    <w:rsid w:val="00FB28DC"/>
    <w:rsid w:val="00FB3ABC"/>
    <w:rsid w:val="00FB3CBC"/>
    <w:rsid w:val="00FB3DC2"/>
    <w:rsid w:val="00FB45A4"/>
    <w:rsid w:val="00FB57A5"/>
    <w:rsid w:val="00FB5B40"/>
    <w:rsid w:val="00FB712C"/>
    <w:rsid w:val="00FC0808"/>
    <w:rsid w:val="00FC0957"/>
    <w:rsid w:val="00FC114C"/>
    <w:rsid w:val="00FC31B7"/>
    <w:rsid w:val="00FC36C8"/>
    <w:rsid w:val="00FC42ED"/>
    <w:rsid w:val="00FC43A4"/>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9CE"/>
    <w:rsid w:val="00FE3BE2"/>
    <w:rsid w:val="00FE43DA"/>
    <w:rsid w:val="00FE5CF4"/>
    <w:rsid w:val="00FE5F1D"/>
    <w:rsid w:val="00FE6488"/>
    <w:rsid w:val="00FE6797"/>
    <w:rsid w:val="00FE7FDD"/>
    <w:rsid w:val="00FF02F6"/>
    <w:rsid w:val="00FF0411"/>
    <w:rsid w:val="00FF0515"/>
    <w:rsid w:val="00FF0D73"/>
    <w:rsid w:val="00FF1783"/>
    <w:rsid w:val="00FF1B2B"/>
    <w:rsid w:val="00FF2AF4"/>
    <w:rsid w:val="00FF3343"/>
    <w:rsid w:val="00FF409C"/>
    <w:rsid w:val="00FF4AF4"/>
    <w:rsid w:val="00FF4CAB"/>
    <w:rsid w:val="00FF5C8F"/>
    <w:rsid w:val="00FF5EBF"/>
    <w:rsid w:val="00FF6463"/>
    <w:rsid w:val="00FF73C5"/>
    <w:rsid w:val="00FF7A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DF131398-9AE5-4D87-ACF3-BB5F75ACA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6B21"/>
    <w:rPr>
      <w:rFonts w:ascii="Tahoma" w:hAnsi="Tahoma"/>
      <w:sz w:val="18"/>
      <w:szCs w:val="22"/>
    </w:rPr>
  </w:style>
  <w:style w:type="paragraph" w:styleId="Heading1">
    <w:name w:val="heading 1"/>
    <w:basedOn w:val="Normal"/>
    <w:next w:val="Normal"/>
    <w:link w:val="Heading1Char"/>
    <w:autoRedefine/>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EC3F3C"/>
    <w:pPr>
      <w:keepNext/>
      <w:tabs>
        <w:tab w:val="right" w:leader="dot" w:pos="9360"/>
      </w:tabs>
      <w:spacing w:before="118"/>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255095"/>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8A3D5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8A3D5F"/>
    <w:rPr>
      <w:rFonts w:ascii="Courier New" w:hAnsi="Courier New" w:cs="Courier New"/>
      <w:b w:val="0"/>
      <w:i w:val="0"/>
      <w:color w:val="808080"/>
      <w:sz w:val="18"/>
      <w:szCs w:val="76"/>
    </w:rPr>
  </w:style>
  <w:style w:type="paragraph" w:customStyle="1" w:styleId="Style1">
    <w:name w:val="Style1"/>
    <w:basedOn w:val="Heading1"/>
    <w:link w:val="Style1Char"/>
    <w:autoRedefine/>
    <w:qFormat/>
    <w:rsid w:val="00A86B21"/>
    <w:rPr>
      <w:lang w:val="de-DE"/>
    </w:rPr>
  </w:style>
  <w:style w:type="character" w:customStyle="1" w:styleId="Style1Char">
    <w:name w:val="Style1 Char"/>
    <w:basedOn w:val="Heading1Char"/>
    <w:link w:val="Style1"/>
    <w:rsid w:val="00A86B21"/>
    <w:rPr>
      <w:rFonts w:ascii="Tahoma" w:hAnsi="Tahoma"/>
      <w:b/>
      <w:bCs/>
      <w:caps/>
      <w:color w:val="000000"/>
      <w:sz w:val="36"/>
      <w:szCs w:val="36"/>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mailto:bmesupp@microsoft.com" TargetMode="External"/><Relationship Id="rId47" Type="http://schemas.openxmlformats.org/officeDocument/2006/relationships/hyperlink" Target="http://www.microsoft.com/online/faq.aspx" TargetMode="External"/><Relationship Id="rId50" Type="http://schemas.openxmlformats.org/officeDocument/2006/relationships/image" Target="media/image5.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support.microsoft.com/oas/default.aspx?prid=13766&amp;st=1"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F0B30B07-12DF-4900-BD5C-4439388DAE93}">
  <ds:schemaRefs>
    <ds:schemaRef ds:uri="http://schemas.openxmlformats.org/officeDocument/2006/bibliography"/>
  </ds:schemaRefs>
</ds:datastoreItem>
</file>

<file path=customXml/itemProps5.xml><?xml version="1.0" encoding="utf-8"?>
<ds:datastoreItem xmlns:ds="http://schemas.openxmlformats.org/officeDocument/2006/customXml" ds:itemID="{3C9834E7-3CB5-4CB8-B65C-173A5EE23CAE}">
  <ds:schemaRefs>
    <ds:schemaRef ds:uri="http://schemas.openxmlformats.org/officeDocument/2006/bibliography"/>
  </ds:schemaRefs>
</ds:datastoreItem>
</file>

<file path=customXml/itemProps6.xml><?xml version="1.0" encoding="utf-8"?>
<ds:datastoreItem xmlns:ds="http://schemas.openxmlformats.org/officeDocument/2006/customXml" ds:itemID="{4C39532E-F2DD-4A51-B1A9-89CF5B2F82A7}">
  <ds:schemaRefs>
    <ds:schemaRef ds:uri="http://schemas.openxmlformats.org/officeDocument/2006/bibliography"/>
  </ds:schemaRefs>
</ds:datastoreItem>
</file>

<file path=customXml/itemProps7.xml><?xml version="1.0" encoding="utf-8"?>
<ds:datastoreItem xmlns:ds="http://schemas.openxmlformats.org/officeDocument/2006/customXml" ds:itemID="{D9B02BB9-6092-4230-962D-8A352627D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207</Pages>
  <Words>96434</Words>
  <Characters>549678</Characters>
  <Application>Microsoft Office Word</Application>
  <DocSecurity>8</DocSecurity>
  <Lines>4580</Lines>
  <Paragraphs>1289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644823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2013-10-15T13:41:00Z</cp:lastPrinted>
  <dcterms:created xsi:type="dcterms:W3CDTF">2013-10-31T18:41:00Z</dcterms:created>
  <dcterms:modified xsi:type="dcterms:W3CDTF">2013-10-31T18:42:00Z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